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58435" w14:textId="57FEB6C6" w:rsidR="00E51749" w:rsidRDefault="00CD5195" w:rsidP="006E0242">
      <w:pPr>
        <w:pStyle w:val="CoverHeading"/>
      </w:pPr>
      <w:r>
        <w:rPr>
          <w:noProof/>
        </w:rPr>
        <w:drawing>
          <wp:anchor distT="0" distB="0" distL="114300" distR="114300" simplePos="0" relativeHeight="251658255" behindDoc="0" locked="0" layoutInCell="1" allowOverlap="1" wp14:anchorId="61B6AF75" wp14:editId="19CBD33A">
            <wp:simplePos x="0" y="0"/>
            <wp:positionH relativeFrom="page">
              <wp:align>center</wp:align>
            </wp:positionH>
            <wp:positionV relativeFrom="page">
              <wp:align>center</wp:align>
            </wp:positionV>
            <wp:extent cx="7556400" cy="10688400"/>
            <wp:effectExtent l="0" t="0" r="6985" b="0"/>
            <wp:wrapNone/>
            <wp:docPr id="309009809" name="Picture 7" descr="Cover of the ACT Leave Annual Report 2025-26. The left side features three circular photographs stacked vertically: two people hiking outdoors, two people in high-visibility vests and hard hats reviewing plans at a construction site, and a family group standing at the edge of a beach. The right side displays the ACT Government and ACT Leave logos, the title “Annual Report 2025-26”, and the subtitle “Long Service Leave Authority”. At the bottom right is an acknowledgement of the Ngunnawal people as Traditional Custodians of the ACT and recognition of other people and families with connections to the ACT and surrounding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09809" name="Picture 7" descr="Cover of the ACT Leave Annual Report 2025-26. The left side features three circular photographs stacked vertically: two people hiking outdoors, two people in high-visibility vests and hard hats reviewing plans at a construction site, and a family group standing at the edge of a beach. The right side displays the ACT Government and ACT Leave logos, the title “Annual Report 2025-26”, and the subtitle “Long Service Leave Authority”. At the bottom right is an acknowledgement of the Ngunnawal people as Traditional Custodians of the ACT and recognition of other people and families with connections to the ACT and surrounding region."/>
                    <pic:cNvPicPr/>
                  </pic:nvPicPr>
                  <pic:blipFill>
                    <a:blip r:embed="rId11"/>
                    <a:stretch>
                      <a:fillRect/>
                    </a:stretch>
                  </pic:blipFill>
                  <pic:spPr>
                    <a:xfrm>
                      <a:off x="0" y="0"/>
                      <a:ext cx="7556400" cy="10688400"/>
                    </a:xfrm>
                    <a:prstGeom prst="rect">
                      <a:avLst/>
                    </a:prstGeom>
                  </pic:spPr>
                </pic:pic>
              </a:graphicData>
            </a:graphic>
            <wp14:sizeRelH relativeFrom="margin">
              <wp14:pctWidth>0</wp14:pctWidth>
            </wp14:sizeRelH>
            <wp14:sizeRelV relativeFrom="margin">
              <wp14:pctHeight>0</wp14:pctHeight>
            </wp14:sizeRelV>
          </wp:anchor>
        </w:drawing>
      </w:r>
      <w:r w:rsidR="00C90EFF">
        <w:t xml:space="preserve"> </w:t>
      </w:r>
      <w:r w:rsidR="00E51749">
        <w:br w:type="page"/>
      </w:r>
    </w:p>
    <w:p w14:paraId="2B16D713" w14:textId="77777777" w:rsidR="00D159B5" w:rsidRDefault="00D159B5">
      <w:pPr>
        <w:spacing w:before="120" w:after="120" w:line="240" w:lineRule="auto"/>
      </w:pPr>
      <w:r>
        <w:lastRenderedPageBreak/>
        <w:br w:type="page"/>
      </w:r>
    </w:p>
    <w:p w14:paraId="3026DDB0" w14:textId="252582C7" w:rsidR="00583F3E" w:rsidRPr="00BB2758" w:rsidRDefault="00C31286" w:rsidP="006E0242">
      <w:r w:rsidRPr="00BB2758">
        <w:lastRenderedPageBreak/>
        <w:t xml:space="preserve">The </w:t>
      </w:r>
      <w:r w:rsidR="00583F3E" w:rsidRPr="00BB2758">
        <w:t xml:space="preserve">Long Service </w:t>
      </w:r>
      <w:r w:rsidR="00583F3E" w:rsidRPr="006E0242">
        <w:t>Leave</w:t>
      </w:r>
      <w:r w:rsidR="00583F3E" w:rsidRPr="00BB2758">
        <w:t xml:space="preserve"> Authority</w:t>
      </w:r>
      <w:r w:rsidR="009758FB" w:rsidRPr="00BB2758">
        <w:t xml:space="preserve"> </w:t>
      </w:r>
      <w:r w:rsidR="00583F3E" w:rsidRPr="00BB2758">
        <w:t>acknowledges the Ngunnawal people as traditional custodians of the ACT and recognise any other people or families with connection to the lands of the ACT and region.</w:t>
      </w:r>
    </w:p>
    <w:p w14:paraId="686623F1" w14:textId="77777777" w:rsidR="00DD3B6B" w:rsidRPr="00472915" w:rsidRDefault="00DD3B6B" w:rsidP="00CF17D1">
      <w:pPr>
        <w:rPr>
          <w:bCs/>
          <w:iCs/>
          <w:lang w:val="en-GB"/>
        </w:rPr>
      </w:pPr>
      <w:r w:rsidRPr="00472915">
        <w:rPr>
          <w:lang w:val="en-GB"/>
        </w:rPr>
        <w:t xml:space="preserve">We respect the Aboriginal and Torres Strait Islander people, particularly our Aboriginal and Torres Strait Islander staff, and their continuing culture and contribution they make to the Canberra region and the life of our city. </w:t>
      </w:r>
    </w:p>
    <w:p w14:paraId="2AFD7B74" w14:textId="77777777" w:rsidR="00583F3E" w:rsidRPr="00BB2758" w:rsidRDefault="00583F3E" w:rsidP="00F45A2F">
      <w:pPr>
        <w:pStyle w:val="Heading1"/>
      </w:pPr>
      <w:bookmarkStart w:id="0" w:name="_Toc171087011"/>
      <w:bookmarkStart w:id="1" w:name="_Toc240533478"/>
      <w:r w:rsidRPr="00BB2758">
        <w:t xml:space="preserve">Contact </w:t>
      </w:r>
      <w:r w:rsidRPr="00F45A2F">
        <w:t>for</w:t>
      </w:r>
      <w:r w:rsidRPr="00BB2758">
        <w:t xml:space="preserve"> this report</w:t>
      </w:r>
      <w:bookmarkEnd w:id="0"/>
      <w:bookmarkEnd w:id="1"/>
      <w:r w:rsidRPr="00BB2758">
        <w:t xml:space="preserve"> </w:t>
      </w:r>
    </w:p>
    <w:p w14:paraId="5975D70C" w14:textId="77777777" w:rsidR="00583F3E" w:rsidRDefault="00583F3E" w:rsidP="006E0242">
      <w:r w:rsidRPr="00BB2758">
        <w:t xml:space="preserve">General enquiries about this report should be directed to: </w:t>
      </w:r>
    </w:p>
    <w:p w14:paraId="5DD83A7E" w14:textId="77777777" w:rsidR="00D27213" w:rsidRPr="00D27213" w:rsidRDefault="00D27213" w:rsidP="005A2CCC">
      <w:pPr>
        <w:spacing w:after="0"/>
      </w:pPr>
      <w:r w:rsidRPr="00D27213">
        <w:t>ACT Leave</w:t>
      </w:r>
    </w:p>
    <w:p w14:paraId="2307288E" w14:textId="77777777" w:rsidR="00D27213" w:rsidRPr="00D27213" w:rsidRDefault="00D27213" w:rsidP="005A2CCC">
      <w:pPr>
        <w:spacing w:after="0"/>
      </w:pPr>
      <w:r w:rsidRPr="00D27213">
        <w:t>PO Box 264, Jamison Centre ACT 2614</w:t>
      </w:r>
    </w:p>
    <w:p w14:paraId="64AB8CF4" w14:textId="7681B327" w:rsidR="00D27213" w:rsidRPr="00D27213" w:rsidRDefault="00D27213" w:rsidP="005A2CCC">
      <w:pPr>
        <w:spacing w:after="0"/>
      </w:pPr>
      <w:r w:rsidRPr="00D27213">
        <w:t>02 6247 3900</w:t>
      </w:r>
    </w:p>
    <w:p w14:paraId="173EDC07" w14:textId="1AAE5446" w:rsidR="006F35FA" w:rsidRPr="004E11DB" w:rsidRDefault="00F63DC8" w:rsidP="004E11DB">
      <w:pPr>
        <w:pStyle w:val="Hyperlinks"/>
        <w:spacing w:after="0"/>
      </w:pPr>
      <w:hyperlink r:id="rId12" w:history="1">
        <w:r w:rsidRPr="004E11DB">
          <w:t>enquiry@actleave.act.gov.au</w:t>
        </w:r>
      </w:hyperlink>
    </w:p>
    <w:p w14:paraId="4C04ABD5" w14:textId="39D1FD37" w:rsidR="004E11DB" w:rsidRPr="00DF718F" w:rsidRDefault="004E11DB" w:rsidP="004E11DB">
      <w:pPr>
        <w:pStyle w:val="Hyperlinks"/>
        <w:spacing w:after="0"/>
      </w:pPr>
      <w:hyperlink r:id="rId13" w:history="1">
        <w:r w:rsidRPr="00DF718F">
          <w:t>actleave.act.gov.au</w:t>
        </w:r>
      </w:hyperlink>
      <w:r w:rsidRPr="00DF718F">
        <w:t xml:space="preserve"> </w:t>
      </w:r>
    </w:p>
    <w:p w14:paraId="2F4E0AF4" w14:textId="12993238" w:rsidR="00583F3E" w:rsidRPr="00887B4D" w:rsidRDefault="00583F3E" w:rsidP="00F45A2F">
      <w:pPr>
        <w:pStyle w:val="Heading1"/>
      </w:pPr>
      <w:bookmarkStart w:id="2" w:name="_Toc171087012"/>
      <w:bookmarkStart w:id="3" w:name="_Toc240533479"/>
      <w:r w:rsidRPr="00887B4D">
        <w:t>Freedom of information</w:t>
      </w:r>
      <w:bookmarkEnd w:id="2"/>
      <w:bookmarkEnd w:id="3"/>
      <w:r w:rsidRPr="00887B4D">
        <w:t xml:space="preserve"> </w:t>
      </w:r>
    </w:p>
    <w:p w14:paraId="60070536" w14:textId="24D9ECAC" w:rsidR="00583F3E" w:rsidRPr="00BB2758" w:rsidRDefault="00583F3E" w:rsidP="006E0242">
      <w:r w:rsidRPr="00BB2758">
        <w:t xml:space="preserve">Freedom of information requests can be made by emailing: </w:t>
      </w:r>
      <w:hyperlink r:id="rId14" w:history="1">
        <w:r w:rsidR="00784DA4" w:rsidRPr="00784DA4">
          <w:rPr>
            <w:rStyle w:val="Hyperlink"/>
            <w:color w:val="081DA4" w:themeColor="accent1"/>
          </w:rPr>
          <w:t>CMTEDDFOI@act.gov.au</w:t>
        </w:r>
      </w:hyperlink>
      <w:r w:rsidR="00784DA4" w:rsidRPr="00784DA4">
        <w:rPr>
          <w:color w:val="081DA4" w:themeColor="accent1"/>
        </w:rPr>
        <w:t xml:space="preserve"> </w:t>
      </w:r>
    </w:p>
    <w:p w14:paraId="085FC8E7" w14:textId="77777777" w:rsidR="00583F3E" w:rsidRPr="00887B4D" w:rsidRDefault="00583F3E" w:rsidP="00F45A2F">
      <w:pPr>
        <w:pStyle w:val="Heading1"/>
      </w:pPr>
      <w:bookmarkStart w:id="4" w:name="_Toc171087013"/>
      <w:bookmarkStart w:id="5" w:name="_Toc240533480"/>
      <w:r w:rsidRPr="00887B4D">
        <w:t>Accessibility</w:t>
      </w:r>
      <w:bookmarkEnd w:id="4"/>
      <w:bookmarkEnd w:id="5"/>
      <w:r w:rsidRPr="00887B4D">
        <w:t xml:space="preserve"> </w:t>
      </w:r>
    </w:p>
    <w:p w14:paraId="04D27996" w14:textId="77777777" w:rsidR="0015424B" w:rsidRPr="00237FD9" w:rsidRDefault="009755F1" w:rsidP="006E0242">
      <w:pPr>
        <w:rPr>
          <w:rFonts w:cs="Calibri"/>
        </w:rPr>
      </w:pPr>
      <w:r w:rsidRPr="00BB2758">
        <w:t xml:space="preserve">The ACT Government is committed to making its information, services, events and venues accessible to as many people as possible. </w:t>
      </w:r>
      <w:r w:rsidR="0015424B" w:rsidRPr="00237FD9">
        <w:rPr>
          <w:rFonts w:cs="Calibri"/>
        </w:rPr>
        <w:t>If you have difficulty reading a standard printed document and would like to understand the alternative formats available for documents or publications, please call 13 22 81.</w:t>
      </w:r>
    </w:p>
    <w:p w14:paraId="198F25E5" w14:textId="21B4E911" w:rsidR="0015424B" w:rsidRPr="00237FD9" w:rsidRDefault="0015424B" w:rsidP="006E0242">
      <w:r w:rsidRPr="00237FD9">
        <w:t>If English is not your first language and</w:t>
      </w:r>
      <w:r w:rsidRPr="00237FD9">
        <w:rPr>
          <w:rStyle w:val="apple-converted-space"/>
          <w:rFonts w:eastAsiaTheme="majorEastAsia" w:cs="Calibri"/>
          <w:color w:val="000000"/>
        </w:rPr>
        <w:t> </w:t>
      </w:r>
      <w:r w:rsidR="000639E3">
        <w:rPr>
          <w:color w:val="111111"/>
        </w:rPr>
        <w:t>i</w:t>
      </w:r>
      <w:r w:rsidRPr="00237FD9">
        <w:rPr>
          <w:color w:val="111111"/>
        </w:rPr>
        <w:t>f you require a translator or interpreter, you can contact us through the</w:t>
      </w:r>
      <w:r w:rsidRPr="00237FD9">
        <w:rPr>
          <w:rStyle w:val="apple-converted-space"/>
          <w:rFonts w:eastAsiaTheme="majorEastAsia" w:cs="Calibri"/>
          <w:color w:val="111111"/>
        </w:rPr>
        <w:t> </w:t>
      </w:r>
      <w:hyperlink r:id="rId15" w:history="1">
        <w:r w:rsidRPr="00184BDE">
          <w:rPr>
            <w:rStyle w:val="HyperlinksChar"/>
          </w:rPr>
          <w:t>Translating and Interpreter Service</w:t>
        </w:r>
      </w:hyperlink>
      <w:r w:rsidRPr="00237FD9">
        <w:rPr>
          <w:color w:val="111111"/>
        </w:rPr>
        <w:t> (TIS) or c</w:t>
      </w:r>
      <w:r w:rsidRPr="00237FD9">
        <w:t>all</w:t>
      </w:r>
      <w:r w:rsidRPr="00237FD9">
        <w:rPr>
          <w:rStyle w:val="apple-converted-space"/>
          <w:rFonts w:eastAsiaTheme="majorEastAsia" w:cs="Calibri"/>
          <w:color w:val="000000"/>
        </w:rPr>
        <w:t> </w:t>
      </w:r>
      <w:hyperlink r:id="rId16" w:history="1">
        <w:r w:rsidRPr="000639E3">
          <w:rPr>
            <w:color w:val="081DA4" w:themeColor="accent1"/>
          </w:rPr>
          <w:t>13 14 50</w:t>
        </w:r>
      </w:hyperlink>
      <w:r w:rsidRPr="00C30653">
        <w:t>.</w:t>
      </w:r>
    </w:p>
    <w:p w14:paraId="23AD70B9" w14:textId="77777777" w:rsidR="0015424B" w:rsidRPr="00237FD9" w:rsidRDefault="0015424B" w:rsidP="007F5887">
      <w:pPr>
        <w:pStyle w:val="Hyperlinks"/>
      </w:pPr>
      <w:r w:rsidRPr="000639E3">
        <w:rPr>
          <w:color w:val="000000" w:themeColor="text1"/>
        </w:rPr>
        <w:t>If you have difficulty hearing or using your voice,</w:t>
      </w:r>
      <w:r w:rsidRPr="00237FD9">
        <w:t xml:space="preserve"> c</w:t>
      </w:r>
      <w:r w:rsidRPr="00237FD9">
        <w:rPr>
          <w:color w:val="111111"/>
        </w:rPr>
        <w:t>ontact us through the</w:t>
      </w:r>
      <w:r w:rsidRPr="00237FD9">
        <w:rPr>
          <w:rStyle w:val="apple-converted-space"/>
          <w:rFonts w:eastAsiaTheme="majorEastAsia"/>
          <w:color w:val="111111"/>
        </w:rPr>
        <w:t> </w:t>
      </w:r>
      <w:hyperlink r:id="rId17" w:history="1">
        <w:r w:rsidRPr="00184BDE">
          <w:t>National Relay Service</w:t>
        </w:r>
      </w:hyperlink>
      <w:r w:rsidRPr="00237FD9">
        <w:rPr>
          <w:color w:val="111111"/>
        </w:rPr>
        <w:t> (NRS):</w:t>
      </w:r>
    </w:p>
    <w:p w14:paraId="4FCA3B54" w14:textId="09744D7D" w:rsidR="0015424B" w:rsidRPr="00237FD9" w:rsidRDefault="0015424B" w:rsidP="000A630C">
      <w:pPr>
        <w:pStyle w:val="ListBullet"/>
      </w:pPr>
      <w:r w:rsidRPr="00237FD9">
        <w:t>TTY users call</w:t>
      </w:r>
      <w:r w:rsidRPr="00237FD9">
        <w:rPr>
          <w:rStyle w:val="apple-converted-space"/>
          <w:rFonts w:eastAsiaTheme="majorEastAsia" w:cs="Calibri"/>
          <w:color w:val="000000"/>
        </w:rPr>
        <w:t> </w:t>
      </w:r>
      <w:hyperlink r:id="rId18" w:history="1">
        <w:r w:rsidRPr="00C30653">
          <w:t>13 36 77</w:t>
        </w:r>
      </w:hyperlink>
      <w:r w:rsidRPr="00C30653">
        <w:t> and then ask for </w:t>
      </w:r>
      <w:hyperlink r:id="rId19" w:history="1">
        <w:r w:rsidRPr="00C30653">
          <w:t>13 22 81</w:t>
        </w:r>
      </w:hyperlink>
      <w:r w:rsidR="00C30653">
        <w:t xml:space="preserve"> </w:t>
      </w:r>
      <w:r w:rsidRPr="00237FD9">
        <w:t>or visit</w:t>
      </w:r>
      <w:r w:rsidRPr="00237FD9">
        <w:rPr>
          <w:rStyle w:val="apple-converted-space"/>
          <w:rFonts w:eastAsiaTheme="majorEastAsia" w:cs="Calibri"/>
          <w:color w:val="000000"/>
        </w:rPr>
        <w:t> </w:t>
      </w:r>
      <w:hyperlink r:id="rId20" w:history="1">
        <w:r w:rsidRPr="00184BDE">
          <w:rPr>
            <w:rStyle w:val="HyperlinksChar"/>
          </w:rPr>
          <w:t>www.accesshub.gov.au</w:t>
        </w:r>
      </w:hyperlink>
      <w:r w:rsidRPr="00237FD9">
        <w:t> to make an internet relay or captioned relay call.</w:t>
      </w:r>
    </w:p>
    <w:p w14:paraId="1C52E25B" w14:textId="77777777" w:rsidR="0015424B" w:rsidRPr="00237FD9" w:rsidRDefault="0015424B" w:rsidP="000A630C">
      <w:pPr>
        <w:pStyle w:val="ListBullet"/>
      </w:pPr>
      <w:r w:rsidRPr="00237FD9">
        <w:t>Speak and Listen users phone</w:t>
      </w:r>
      <w:r w:rsidRPr="00237FD9">
        <w:rPr>
          <w:rStyle w:val="apple-converted-space"/>
          <w:rFonts w:eastAsiaTheme="majorEastAsia" w:cs="Calibri"/>
          <w:color w:val="000000"/>
        </w:rPr>
        <w:t> </w:t>
      </w:r>
      <w:hyperlink r:id="rId21" w:history="1">
        <w:r w:rsidRPr="00184BDE">
          <w:rPr>
            <w:rStyle w:val="HyperlinksChar"/>
          </w:rPr>
          <w:t>1300 555 727</w:t>
        </w:r>
      </w:hyperlink>
      <w:r w:rsidRPr="00237FD9">
        <w:t xml:space="preserve"> and then ask </w:t>
      </w:r>
      <w:r w:rsidRPr="00C30653">
        <w:t>for </w:t>
      </w:r>
      <w:hyperlink r:id="rId22" w:history="1">
        <w:r w:rsidRPr="00C52208">
          <w:rPr>
            <w:color w:val="081DA4" w:themeColor="accent1"/>
          </w:rPr>
          <w:t>13 22 81</w:t>
        </w:r>
      </w:hyperlink>
      <w:r w:rsidRPr="00C30653">
        <w:t>.</w:t>
      </w:r>
    </w:p>
    <w:p w14:paraId="32C2728F" w14:textId="77777777" w:rsidR="0015424B" w:rsidRPr="00237FD9" w:rsidRDefault="0015424B" w:rsidP="000A630C">
      <w:pPr>
        <w:pStyle w:val="ListBullet"/>
      </w:pPr>
      <w:r w:rsidRPr="00237FD9">
        <w:t>Internet relay users connect to the NRS and then ask for</w:t>
      </w:r>
      <w:r w:rsidRPr="00237FD9">
        <w:rPr>
          <w:rStyle w:val="apple-converted-space"/>
          <w:rFonts w:eastAsiaTheme="majorEastAsia" w:cs="Calibri"/>
          <w:color w:val="000000"/>
        </w:rPr>
        <w:t> </w:t>
      </w:r>
      <w:hyperlink r:id="rId23" w:history="1">
        <w:r w:rsidRPr="00C52208">
          <w:rPr>
            <w:color w:val="081DA4" w:themeColor="accent1"/>
          </w:rPr>
          <w:t>13 22 81</w:t>
        </w:r>
      </w:hyperlink>
      <w:r w:rsidRPr="00C30653">
        <w:t>.</w:t>
      </w:r>
    </w:p>
    <w:p w14:paraId="70576705" w14:textId="77777777" w:rsidR="006F35FA" w:rsidRDefault="0015424B" w:rsidP="006E0242">
      <w:r w:rsidRPr="00237FD9">
        <w:rPr>
          <w:rFonts w:cs="Calibri"/>
        </w:rPr>
        <w:t>For more information on these services visit</w:t>
      </w:r>
      <w:r w:rsidRPr="00237FD9">
        <w:rPr>
          <w:rStyle w:val="apple-converted-space"/>
          <w:rFonts w:eastAsiaTheme="majorEastAsia" w:cs="Calibri"/>
          <w:color w:val="000000"/>
        </w:rPr>
        <w:t> </w:t>
      </w:r>
      <w:hyperlink r:id="rId24" w:tooltip="http://www.accesshub.gov.au" w:history="1">
        <w:r w:rsidRPr="00C30653">
          <w:rPr>
            <w:rStyle w:val="HyperlinksChar"/>
          </w:rPr>
          <w:t>www.accesshub.gov.au</w:t>
        </w:r>
      </w:hyperlink>
    </w:p>
    <w:p w14:paraId="19F60E0C" w14:textId="42BEAEA5" w:rsidR="00D477B6" w:rsidRDefault="00D477B6" w:rsidP="006E0242">
      <w:r>
        <w:br w:type="page"/>
      </w:r>
    </w:p>
    <w:p w14:paraId="56EB59A1" w14:textId="77777777" w:rsidR="005B6C3E" w:rsidRDefault="005B6C3E" w:rsidP="006E0242">
      <w:pPr>
        <w:rPr>
          <w:lang w:val="en-GB"/>
        </w:rPr>
      </w:pPr>
    </w:p>
    <w:p w14:paraId="5C612CD5" w14:textId="77777777" w:rsidR="005B6C3E" w:rsidRDefault="005B6C3E" w:rsidP="006E0242">
      <w:pPr>
        <w:rPr>
          <w:lang w:val="en-GB"/>
        </w:rPr>
      </w:pPr>
    </w:p>
    <w:p w14:paraId="39BD2EC0" w14:textId="77777777" w:rsidR="005B6C3E" w:rsidRDefault="005B6C3E" w:rsidP="006E0242">
      <w:pPr>
        <w:rPr>
          <w:lang w:val="en-GB"/>
        </w:rPr>
      </w:pPr>
    </w:p>
    <w:p w14:paraId="76281862" w14:textId="77777777" w:rsidR="005B6C3E" w:rsidRDefault="005B6C3E" w:rsidP="006E0242">
      <w:pPr>
        <w:rPr>
          <w:lang w:val="en-GB"/>
        </w:rPr>
      </w:pPr>
    </w:p>
    <w:p w14:paraId="551F95C3" w14:textId="77777777" w:rsidR="005B6C3E" w:rsidRDefault="005B6C3E" w:rsidP="006E0242">
      <w:pPr>
        <w:rPr>
          <w:lang w:val="en-GB"/>
        </w:rPr>
      </w:pPr>
    </w:p>
    <w:p w14:paraId="08BD7956" w14:textId="77777777" w:rsidR="005B6C3E" w:rsidRDefault="005B6C3E" w:rsidP="006E0242">
      <w:pPr>
        <w:rPr>
          <w:lang w:val="en-GB"/>
        </w:rPr>
      </w:pPr>
    </w:p>
    <w:p w14:paraId="46BC98E9" w14:textId="77777777" w:rsidR="005B6C3E" w:rsidRDefault="005B6C3E" w:rsidP="006E0242">
      <w:pPr>
        <w:rPr>
          <w:lang w:val="en-GB"/>
        </w:rPr>
      </w:pPr>
    </w:p>
    <w:p w14:paraId="41E566D2" w14:textId="77777777" w:rsidR="005B6C3E" w:rsidRDefault="005B6C3E" w:rsidP="006E0242">
      <w:pPr>
        <w:rPr>
          <w:lang w:val="en-GB"/>
        </w:rPr>
      </w:pPr>
    </w:p>
    <w:p w14:paraId="425DDCAD" w14:textId="77777777" w:rsidR="005B6C3E" w:rsidRDefault="005B6C3E" w:rsidP="006E0242">
      <w:pPr>
        <w:rPr>
          <w:lang w:val="en-GB"/>
        </w:rPr>
      </w:pPr>
    </w:p>
    <w:p w14:paraId="45D2CF32" w14:textId="77777777" w:rsidR="005B6C3E" w:rsidRDefault="005B6C3E" w:rsidP="006E0242">
      <w:pPr>
        <w:rPr>
          <w:lang w:val="en-GB"/>
        </w:rPr>
      </w:pPr>
    </w:p>
    <w:p w14:paraId="5AFB4C80" w14:textId="77777777" w:rsidR="005B6C3E" w:rsidRDefault="005B6C3E" w:rsidP="006E0242">
      <w:pPr>
        <w:rPr>
          <w:lang w:val="en-GB"/>
        </w:rPr>
      </w:pPr>
    </w:p>
    <w:p w14:paraId="660EB8F5" w14:textId="77777777" w:rsidR="005B6C3E" w:rsidRDefault="005B6C3E" w:rsidP="006E0242">
      <w:pPr>
        <w:rPr>
          <w:lang w:val="en-GB"/>
        </w:rPr>
      </w:pPr>
    </w:p>
    <w:p w14:paraId="23FCBE34" w14:textId="77777777" w:rsidR="005B6C3E" w:rsidRDefault="005B6C3E" w:rsidP="006E0242">
      <w:pPr>
        <w:rPr>
          <w:lang w:val="en-GB"/>
        </w:rPr>
      </w:pPr>
    </w:p>
    <w:p w14:paraId="1CEE62A9" w14:textId="77777777" w:rsidR="005B6C3E" w:rsidRDefault="005B6C3E" w:rsidP="006E0242">
      <w:pPr>
        <w:rPr>
          <w:lang w:val="en-GB"/>
        </w:rPr>
      </w:pPr>
    </w:p>
    <w:p w14:paraId="7352BB0E" w14:textId="77777777" w:rsidR="005B6C3E" w:rsidRDefault="005B6C3E" w:rsidP="006E0242">
      <w:pPr>
        <w:rPr>
          <w:lang w:val="en-GB"/>
        </w:rPr>
      </w:pPr>
    </w:p>
    <w:p w14:paraId="52A41B23" w14:textId="77777777" w:rsidR="005B6C3E" w:rsidRDefault="005B6C3E" w:rsidP="006E0242">
      <w:pPr>
        <w:rPr>
          <w:lang w:val="en-GB"/>
        </w:rPr>
      </w:pPr>
    </w:p>
    <w:p w14:paraId="4F077007" w14:textId="77777777" w:rsidR="005B6C3E" w:rsidRDefault="005B6C3E" w:rsidP="006E0242">
      <w:pPr>
        <w:rPr>
          <w:lang w:val="en-GB"/>
        </w:rPr>
      </w:pPr>
    </w:p>
    <w:p w14:paraId="187A0ECC" w14:textId="77777777" w:rsidR="005B6C3E" w:rsidRDefault="005B6C3E" w:rsidP="006E0242">
      <w:pPr>
        <w:rPr>
          <w:lang w:val="en-GB"/>
        </w:rPr>
      </w:pPr>
    </w:p>
    <w:p w14:paraId="7BD7AA5B" w14:textId="77777777" w:rsidR="005B088D" w:rsidRDefault="005B088D" w:rsidP="006E0242">
      <w:pPr>
        <w:rPr>
          <w:lang w:val="en-GB"/>
        </w:rPr>
      </w:pPr>
    </w:p>
    <w:p w14:paraId="2DC47D05" w14:textId="77777777" w:rsidR="005B088D" w:rsidRDefault="005B088D" w:rsidP="006E0242">
      <w:pPr>
        <w:rPr>
          <w:lang w:val="en-GB"/>
        </w:rPr>
      </w:pPr>
    </w:p>
    <w:p w14:paraId="06625027" w14:textId="76C7BBB8" w:rsidR="00C347B1" w:rsidRPr="00FC4838" w:rsidRDefault="00C347B1" w:rsidP="006E0242">
      <w:pPr>
        <w:rPr>
          <w:lang w:val="en-AU"/>
        </w:rPr>
      </w:pPr>
      <w:r w:rsidRPr="00472915">
        <w:rPr>
          <w:lang w:val="en-GB"/>
        </w:rPr>
        <w:t xml:space="preserve">ISBN: </w:t>
      </w:r>
      <w:r w:rsidR="00AD66EF" w:rsidRPr="00FC4838">
        <w:rPr>
          <w:lang w:val="en-AU"/>
        </w:rPr>
        <w:t>978-0-642-</w:t>
      </w:r>
      <w:r w:rsidR="00FC4838" w:rsidRPr="00FC4838">
        <w:rPr>
          <w:lang w:val="en-AU"/>
        </w:rPr>
        <w:t>61120-8</w:t>
      </w:r>
    </w:p>
    <w:p w14:paraId="04A99F8B" w14:textId="77777777" w:rsidR="00C347B1" w:rsidRDefault="00C347B1" w:rsidP="006E0242">
      <w:pPr>
        <w:rPr>
          <w:bCs/>
          <w:iCs/>
          <w:lang w:val="en-GB"/>
        </w:rPr>
      </w:pPr>
      <w:r w:rsidRPr="00472915">
        <w:rPr>
          <w:lang w:val="en-GB"/>
        </w:rPr>
        <w:t>© Australian Capital Territory</w:t>
      </w:r>
    </w:p>
    <w:p w14:paraId="7A5A53E3" w14:textId="77777777" w:rsidR="00C347B1" w:rsidRDefault="00C347B1" w:rsidP="006E0242">
      <w:pPr>
        <w:rPr>
          <w:lang w:val="en-GB"/>
        </w:rPr>
      </w:pPr>
    </w:p>
    <w:p w14:paraId="765114BC" w14:textId="77777777" w:rsidR="00C347B1" w:rsidRPr="00472915" w:rsidRDefault="00C347B1" w:rsidP="006E0242">
      <w:pPr>
        <w:rPr>
          <w:rFonts w:eastAsiaTheme="majorEastAsia" w:cs="Calibri"/>
          <w:lang w:val="en-GB"/>
        </w:rPr>
      </w:pPr>
      <w:r w:rsidRPr="00200ACD">
        <w:rPr>
          <w:noProof/>
        </w:rPr>
        <w:drawing>
          <wp:inline distT="0" distB="0" distL="0" distR="0" wp14:anchorId="1F957872" wp14:editId="443A628A">
            <wp:extent cx="1569493" cy="560534"/>
            <wp:effectExtent l="0" t="0" r="0" b="0"/>
            <wp:docPr id="1125461567" name="Picture 5" descr="The Creative Commons Attribution 4.0 licence symbol.">
              <a:extLst xmlns:a="http://schemas.openxmlformats.org/drawingml/2006/main">
                <a:ext uri="{FF2B5EF4-FFF2-40B4-BE49-F238E27FC236}">
                  <a16:creationId xmlns:a16="http://schemas.microsoft.com/office/drawing/2014/main" id="{ED236702-55B5-4FFB-BEA9-CEA28A28C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61567" name="Picture 5" descr="The Creative Commons Attribution 4.0 licence symbol."/>
                    <pic:cNvPicPr/>
                  </pic:nvPicPr>
                  <pic:blipFill>
                    <a:blip r:embed="rId25">
                      <a:extLst>
                        <a:ext uri="{28A0092B-C50C-407E-A947-70E740481C1C}">
                          <a14:useLocalDpi xmlns:a14="http://schemas.microsoft.com/office/drawing/2010/main" val="0"/>
                        </a:ext>
                      </a:extLst>
                    </a:blip>
                    <a:stretch>
                      <a:fillRect/>
                    </a:stretch>
                  </pic:blipFill>
                  <pic:spPr>
                    <a:xfrm>
                      <a:off x="0" y="0"/>
                      <a:ext cx="1711310" cy="611183"/>
                    </a:xfrm>
                    <a:prstGeom prst="rect">
                      <a:avLst/>
                    </a:prstGeom>
                  </pic:spPr>
                </pic:pic>
              </a:graphicData>
            </a:graphic>
          </wp:inline>
        </w:drawing>
      </w:r>
    </w:p>
    <w:p w14:paraId="6D3D5B16" w14:textId="0DF922C5" w:rsidR="001B57A8" w:rsidRPr="0050692A" w:rsidRDefault="001B57A8" w:rsidP="006E0242">
      <w:r w:rsidRPr="00BB2758">
        <w:t>This work, 202</w:t>
      </w:r>
      <w:r w:rsidR="003A0572">
        <w:t>5</w:t>
      </w:r>
      <w:r w:rsidRPr="00BB2758">
        <w:t>-2</w:t>
      </w:r>
      <w:r w:rsidR="003A0572">
        <w:t>6</w:t>
      </w:r>
      <w:r w:rsidRPr="00BB2758">
        <w:t xml:space="preserve"> Long Service Leave Authority Annual Report, is licensed under a </w:t>
      </w:r>
      <w:hyperlink r:id="rId26" w:history="1">
        <w:r w:rsidR="005E61B0" w:rsidRPr="0098710B">
          <w:rPr>
            <w:rStyle w:val="HyperlinksChar"/>
          </w:rPr>
          <w:t xml:space="preserve">Creative Commons Attribution 4.0 </w:t>
        </w:r>
        <w:proofErr w:type="spellStart"/>
        <w:r w:rsidR="005E61B0" w:rsidRPr="0098710B">
          <w:rPr>
            <w:rStyle w:val="HyperlinksChar"/>
          </w:rPr>
          <w:t>licence</w:t>
        </w:r>
        <w:proofErr w:type="spellEnd"/>
      </w:hyperlink>
      <w:r w:rsidR="005E61B0" w:rsidRPr="00F52818">
        <w:rPr>
          <w:rFonts w:eastAsiaTheme="majorEastAsia" w:cs="Calibri"/>
          <w:lang w:val="en-GB"/>
        </w:rPr>
        <w:t>.</w:t>
      </w:r>
      <w:r w:rsidRPr="00BB2758">
        <w:t xml:space="preserve"> You are free to re-use the work under that </w:t>
      </w:r>
      <w:proofErr w:type="spellStart"/>
      <w:r w:rsidRPr="00BB2758">
        <w:t>licence</w:t>
      </w:r>
      <w:proofErr w:type="spellEnd"/>
      <w:r w:rsidRPr="00BB2758">
        <w:t xml:space="preserve">, on the condition that you credit the Australian Capital Territory Government as author, indicate if changes were made and comply with the other </w:t>
      </w:r>
      <w:proofErr w:type="spellStart"/>
      <w:r w:rsidRPr="00BB2758">
        <w:t>licence</w:t>
      </w:r>
      <w:proofErr w:type="spellEnd"/>
      <w:r w:rsidRPr="00BB2758">
        <w:t xml:space="preserve"> terms</w:t>
      </w:r>
      <w:r w:rsidRPr="0050692A">
        <w:t>.</w:t>
      </w:r>
    </w:p>
    <w:p w14:paraId="65DC5A38" w14:textId="77777777" w:rsidR="001B57A8" w:rsidRPr="00BB2758" w:rsidRDefault="001B57A8" w:rsidP="006E0242">
      <w:r w:rsidRPr="00BB2758">
        <w:t xml:space="preserve">The </w:t>
      </w:r>
      <w:proofErr w:type="spellStart"/>
      <w:r w:rsidRPr="00BB2758">
        <w:t>licence</w:t>
      </w:r>
      <w:proofErr w:type="spellEnd"/>
      <w:r w:rsidRPr="00BB2758">
        <w:t xml:space="preserve"> does not apply to the ACT Coat of Arms, the ACT Leave logo and branding, images, artwork,</w:t>
      </w:r>
      <w:r w:rsidRPr="0050692A">
        <w:rPr>
          <w:rStyle w:val="apple-converted-space"/>
          <w:rFonts w:ascii="Arial" w:hAnsi="Arial" w:cs="Arial"/>
          <w:color w:val="212121"/>
        </w:rPr>
        <w:t> </w:t>
      </w:r>
      <w:r w:rsidRPr="0050692A">
        <w:rPr>
          <w:rStyle w:val="grame"/>
          <w:rFonts w:ascii="Arial" w:eastAsiaTheme="majorEastAsia" w:hAnsi="Arial" w:cs="Arial"/>
          <w:color w:val="212121"/>
        </w:rPr>
        <w:t xml:space="preserve">photographs </w:t>
      </w:r>
      <w:r w:rsidRPr="00BB2758">
        <w:t>and any material protected by trademark.</w:t>
      </w:r>
    </w:p>
    <w:p w14:paraId="291C819F" w14:textId="3D0C07B7" w:rsidR="00BF197A" w:rsidRPr="00BF197A" w:rsidRDefault="001B57A8" w:rsidP="00BF197A">
      <w:pPr>
        <w:rPr>
          <w:lang w:val="en-AU"/>
        </w:rPr>
      </w:pPr>
      <w:r w:rsidRPr="0050692A">
        <w:t>Photo credits:</w:t>
      </w:r>
      <w:r w:rsidRPr="002A5717">
        <w:t xml:space="preserve"> </w:t>
      </w:r>
      <w:r w:rsidR="00DE3D65">
        <w:t>Leszek Glasner</w:t>
      </w:r>
      <w:r w:rsidR="006B49F6">
        <w:t>,</w:t>
      </w:r>
      <w:r w:rsidR="00DE3D65">
        <w:t xml:space="preserve"> </w:t>
      </w:r>
      <w:r w:rsidR="006B49F6">
        <w:t xml:space="preserve">Miljan </w:t>
      </w:r>
      <w:r w:rsidR="006B49F6" w:rsidRPr="006B49F6">
        <w:t>Živković</w:t>
      </w:r>
      <w:r w:rsidR="006B49F6">
        <w:t xml:space="preserve"> and </w:t>
      </w:r>
      <w:proofErr w:type="spellStart"/>
      <w:r w:rsidR="006B49F6">
        <w:t>Gajendrra</w:t>
      </w:r>
      <w:proofErr w:type="spellEnd"/>
      <w:r w:rsidR="006B49F6">
        <w:t xml:space="preserve"> Bhati </w:t>
      </w:r>
      <w:r w:rsidR="00DE3D65">
        <w:t>on Adobe Stock</w:t>
      </w:r>
      <w:r w:rsidR="00D66AF4">
        <w:t xml:space="preserve">, </w:t>
      </w:r>
      <w:proofErr w:type="spellStart"/>
      <w:r w:rsidR="00A747BB" w:rsidRPr="00A747BB">
        <w:t>Cecille_Arcurs</w:t>
      </w:r>
      <w:proofErr w:type="spellEnd"/>
      <w:r w:rsidR="00A747BB">
        <w:t xml:space="preserve">, </w:t>
      </w:r>
      <w:proofErr w:type="spellStart"/>
      <w:r w:rsidR="00A747BB" w:rsidRPr="00A747BB">
        <w:t>nazar_ab</w:t>
      </w:r>
      <w:proofErr w:type="spellEnd"/>
      <w:r w:rsidR="00A747BB">
        <w:t xml:space="preserve">, </w:t>
      </w:r>
      <w:r w:rsidR="00A747BB" w:rsidRPr="00A747BB">
        <w:t>Don Wu</w:t>
      </w:r>
      <w:r w:rsidR="00A747BB">
        <w:t xml:space="preserve">, </w:t>
      </w:r>
      <w:r w:rsidR="00A747BB" w:rsidRPr="00A747BB">
        <w:t>Jacob Wackerhausen</w:t>
      </w:r>
      <w:r w:rsidR="00A747BB">
        <w:t xml:space="preserve">, </w:t>
      </w:r>
      <w:r w:rsidR="00A747BB" w:rsidRPr="00A747BB">
        <w:t>miniseries</w:t>
      </w:r>
      <w:r w:rsidR="00A747BB">
        <w:t xml:space="preserve">, </w:t>
      </w:r>
      <w:proofErr w:type="spellStart"/>
      <w:r w:rsidR="00A747BB" w:rsidRPr="00A747BB">
        <w:t>Rockaa</w:t>
      </w:r>
      <w:proofErr w:type="spellEnd"/>
      <w:r w:rsidR="00A747BB">
        <w:t xml:space="preserve">, </w:t>
      </w:r>
      <w:r w:rsidR="00E40477">
        <w:t xml:space="preserve">and </w:t>
      </w:r>
      <w:proofErr w:type="spellStart"/>
      <w:r w:rsidR="00A747BB" w:rsidRPr="00A747BB">
        <w:t>visualspace</w:t>
      </w:r>
      <w:proofErr w:type="spellEnd"/>
      <w:r w:rsidR="00A747BB">
        <w:t xml:space="preserve"> on iStock</w:t>
      </w:r>
      <w:r w:rsidR="00BF197A">
        <w:t xml:space="preserve"> and </w:t>
      </w:r>
      <w:r w:rsidR="00BF197A" w:rsidRPr="00BF197A">
        <w:rPr>
          <w:lang w:val="en-AU"/>
        </w:rPr>
        <w:t>AI-generated using ChatGPT (OpenAI)</w:t>
      </w:r>
      <w:r w:rsidR="00BF197A">
        <w:rPr>
          <w:lang w:val="en-AU"/>
        </w:rPr>
        <w:t>.</w:t>
      </w:r>
    </w:p>
    <w:p w14:paraId="3428C21C" w14:textId="6E525FAB" w:rsidR="0098710B" w:rsidRPr="00DF718F" w:rsidRDefault="001B57A8" w:rsidP="0098710B">
      <w:r w:rsidRPr="0098710B">
        <w:t>Information about the Long Service Leave Authority and an electronic version of this annual report can be found on the website</w:t>
      </w:r>
      <w:r w:rsidRPr="00BB2758">
        <w:t xml:space="preserve"> </w:t>
      </w:r>
      <w:hyperlink r:id="rId27" w:history="1">
        <w:r w:rsidR="0098710B" w:rsidRPr="0098710B">
          <w:rPr>
            <w:rStyle w:val="HyperlinksChar"/>
          </w:rPr>
          <w:t>actleave.act.gov.au</w:t>
        </w:r>
      </w:hyperlink>
    </w:p>
    <w:bookmarkStart w:id="6" w:name="_Toc240533481" w:displacedByCustomXml="next"/>
    <w:bookmarkStart w:id="7" w:name="_Toc237503604" w:displacedByCustomXml="next"/>
    <w:bookmarkStart w:id="8" w:name="_Toc207618019" w:displacedByCustomXml="next"/>
    <w:bookmarkStart w:id="9" w:name="_Toc232520249" w:displacedByCustomXml="next"/>
    <w:bookmarkStart w:id="10" w:name="_Toc232520458" w:displacedByCustomXml="next"/>
    <w:sdt>
      <w:sdtPr>
        <w:rPr>
          <w:rFonts w:asciiTheme="majorHAnsi" w:eastAsia="Calibri" w:hAnsiTheme="majorHAnsi" w:cs="Times New Roman"/>
          <w:b w:val="0"/>
          <w:color w:val="262626" w:themeColor="text1" w:themeTint="D9"/>
          <w:spacing w:val="0"/>
          <w:sz w:val="24"/>
          <w:szCs w:val="24"/>
          <w:lang w:val="en-US" w:eastAsia="en-AU"/>
        </w:rPr>
        <w:id w:val="-50935764"/>
        <w:docPartObj>
          <w:docPartGallery w:val="Table of Contents"/>
          <w:docPartUnique/>
        </w:docPartObj>
      </w:sdtPr>
      <w:sdtEndPr>
        <w:rPr>
          <w:rFonts w:eastAsiaTheme="minorEastAsia"/>
          <w:color w:val="000000" w:themeColor="text1"/>
          <w:sz w:val="20"/>
          <w:szCs w:val="20"/>
        </w:rPr>
      </w:sdtEndPr>
      <w:sdtContent>
        <w:p w14:paraId="08AD5534" w14:textId="77777777" w:rsidR="00C442A8" w:rsidRPr="00D822C5" w:rsidRDefault="00447B7D" w:rsidP="00DB0E46">
          <w:pPr>
            <w:pStyle w:val="Heading1NoNumber"/>
            <w:spacing w:after="200"/>
            <w:rPr>
              <w:rFonts w:cs="Arial"/>
            </w:rPr>
          </w:pPr>
          <w:r w:rsidRPr="00D822C5">
            <w:rPr>
              <w:rFonts w:cs="Arial"/>
            </w:rPr>
            <w:t>Contents</w:t>
          </w:r>
          <w:bookmarkEnd w:id="10"/>
          <w:bookmarkEnd w:id="9"/>
          <w:bookmarkEnd w:id="7"/>
          <w:bookmarkEnd w:id="6"/>
        </w:p>
        <w:bookmarkEnd w:id="8"/>
        <w:p w14:paraId="377BCB9E" w14:textId="5182E2FE" w:rsidR="00D822C5" w:rsidRPr="00D30100" w:rsidRDefault="00D3512E" w:rsidP="00D30100">
          <w:pPr>
            <w:pStyle w:val="TOC1"/>
            <w:spacing w:before="0" w:after="120" w:line="280" w:lineRule="atLeast"/>
            <w:rPr>
              <w:rFonts w:eastAsiaTheme="minorEastAsia" w:cs="Arial"/>
              <w:b w:val="0"/>
              <w:bCs/>
              <w:noProof/>
              <w:color w:val="000000" w:themeColor="text1"/>
              <w:spacing w:val="0"/>
              <w:kern w:val="2"/>
              <w:sz w:val="24"/>
              <w:szCs w:val="24"/>
              <w:lang w:val="en-AU"/>
              <w14:ligatures w14:val="standardContextual"/>
            </w:rPr>
          </w:pPr>
          <w:r w:rsidRPr="00D822C5">
            <w:rPr>
              <w:rFonts w:cs="Arial"/>
              <w:sz w:val="32"/>
            </w:rPr>
            <w:fldChar w:fldCharType="begin"/>
          </w:r>
          <w:r w:rsidRPr="00D822C5">
            <w:rPr>
              <w:rFonts w:cs="Arial"/>
            </w:rPr>
            <w:instrText xml:space="preserve"> TOC \o "1-2" \h \z \u </w:instrText>
          </w:r>
          <w:r w:rsidRPr="00D822C5">
            <w:rPr>
              <w:rFonts w:cs="Arial"/>
              <w:sz w:val="32"/>
            </w:rPr>
            <w:fldChar w:fldCharType="separate"/>
          </w:r>
          <w:hyperlink w:anchor="_Toc240533478" w:history="1">
            <w:r w:rsidR="00D822C5" w:rsidRPr="00D30100">
              <w:rPr>
                <w:rStyle w:val="Hyperlink"/>
                <w:rFonts w:cs="Arial"/>
                <w:b w:val="0"/>
                <w:bCs/>
                <w:noProof/>
                <w:color w:val="000000" w:themeColor="text1"/>
              </w:rPr>
              <w:t>Contact for this report</w:t>
            </w:r>
            <w:r w:rsidR="00D822C5" w:rsidRPr="00D30100">
              <w:rPr>
                <w:rFonts w:cs="Arial"/>
                <w:b w:val="0"/>
                <w:bCs/>
                <w:noProof/>
                <w:webHidden/>
                <w:color w:val="000000" w:themeColor="text1"/>
              </w:rPr>
              <w:tab/>
            </w:r>
            <w:r w:rsidR="00D822C5" w:rsidRPr="00D30100">
              <w:rPr>
                <w:rFonts w:cs="Arial"/>
                <w:b w:val="0"/>
                <w:bCs/>
                <w:noProof/>
                <w:webHidden/>
                <w:color w:val="000000" w:themeColor="text1"/>
              </w:rPr>
              <w:fldChar w:fldCharType="begin"/>
            </w:r>
            <w:r w:rsidR="00D822C5" w:rsidRPr="00D30100">
              <w:rPr>
                <w:rFonts w:cs="Arial"/>
                <w:b w:val="0"/>
                <w:bCs/>
                <w:noProof/>
                <w:webHidden/>
                <w:color w:val="000000" w:themeColor="text1"/>
              </w:rPr>
              <w:instrText xml:space="preserve"> PAGEREF _Toc240533478 \h </w:instrText>
            </w:r>
            <w:r w:rsidR="00D822C5" w:rsidRPr="00D30100">
              <w:rPr>
                <w:rFonts w:cs="Arial"/>
                <w:b w:val="0"/>
                <w:bCs/>
                <w:noProof/>
                <w:webHidden/>
                <w:color w:val="000000" w:themeColor="text1"/>
              </w:rPr>
            </w:r>
            <w:r w:rsidR="00D822C5" w:rsidRPr="00D30100">
              <w:rPr>
                <w:rFonts w:cs="Arial"/>
                <w:b w:val="0"/>
                <w:bCs/>
                <w:noProof/>
                <w:webHidden/>
                <w:color w:val="000000" w:themeColor="text1"/>
              </w:rPr>
              <w:fldChar w:fldCharType="separate"/>
            </w:r>
            <w:r w:rsidR="00DA58F1">
              <w:rPr>
                <w:rFonts w:cs="Arial"/>
                <w:b w:val="0"/>
                <w:bCs/>
                <w:noProof/>
                <w:webHidden/>
                <w:color w:val="000000" w:themeColor="text1"/>
              </w:rPr>
              <w:t>3</w:t>
            </w:r>
            <w:r w:rsidR="00D822C5" w:rsidRPr="00D30100">
              <w:rPr>
                <w:rFonts w:cs="Arial"/>
                <w:b w:val="0"/>
                <w:bCs/>
                <w:noProof/>
                <w:webHidden/>
                <w:color w:val="000000" w:themeColor="text1"/>
              </w:rPr>
              <w:fldChar w:fldCharType="end"/>
            </w:r>
          </w:hyperlink>
        </w:p>
        <w:p w14:paraId="233F40D8" w14:textId="08305A2E" w:rsidR="00D822C5" w:rsidRPr="00D30100" w:rsidRDefault="00D822C5" w:rsidP="00D30100">
          <w:pPr>
            <w:pStyle w:val="TOC1"/>
            <w:spacing w:before="0" w:after="120" w:line="280" w:lineRule="atLeast"/>
            <w:rPr>
              <w:rFonts w:eastAsiaTheme="minorEastAsia" w:cs="Arial"/>
              <w:b w:val="0"/>
              <w:bCs/>
              <w:noProof/>
              <w:color w:val="000000" w:themeColor="text1"/>
              <w:spacing w:val="0"/>
              <w:kern w:val="2"/>
              <w:sz w:val="24"/>
              <w:szCs w:val="24"/>
              <w:lang w:val="en-AU"/>
              <w14:ligatures w14:val="standardContextual"/>
            </w:rPr>
          </w:pPr>
          <w:hyperlink w:anchor="_Toc240533479" w:history="1">
            <w:r w:rsidRPr="00D30100">
              <w:rPr>
                <w:rStyle w:val="Hyperlink"/>
                <w:rFonts w:cs="Arial"/>
                <w:b w:val="0"/>
                <w:bCs/>
                <w:noProof/>
                <w:color w:val="000000" w:themeColor="text1"/>
              </w:rPr>
              <w:t>Freedom of information</w:t>
            </w:r>
            <w:r w:rsidRPr="00D30100">
              <w:rPr>
                <w:rFonts w:cs="Arial"/>
                <w:b w:val="0"/>
                <w:bCs/>
                <w:noProof/>
                <w:webHidden/>
                <w:color w:val="000000" w:themeColor="text1"/>
              </w:rPr>
              <w:tab/>
            </w:r>
            <w:r w:rsidRPr="00D30100">
              <w:rPr>
                <w:rFonts w:cs="Arial"/>
                <w:b w:val="0"/>
                <w:bCs/>
                <w:noProof/>
                <w:webHidden/>
                <w:color w:val="000000" w:themeColor="text1"/>
              </w:rPr>
              <w:fldChar w:fldCharType="begin"/>
            </w:r>
            <w:r w:rsidRPr="00D30100">
              <w:rPr>
                <w:rFonts w:cs="Arial"/>
                <w:b w:val="0"/>
                <w:bCs/>
                <w:noProof/>
                <w:webHidden/>
                <w:color w:val="000000" w:themeColor="text1"/>
              </w:rPr>
              <w:instrText xml:space="preserve"> PAGEREF _Toc240533479 \h </w:instrText>
            </w:r>
            <w:r w:rsidRPr="00D30100">
              <w:rPr>
                <w:rFonts w:cs="Arial"/>
                <w:b w:val="0"/>
                <w:bCs/>
                <w:noProof/>
                <w:webHidden/>
                <w:color w:val="000000" w:themeColor="text1"/>
              </w:rPr>
            </w:r>
            <w:r w:rsidRPr="00D30100">
              <w:rPr>
                <w:rFonts w:cs="Arial"/>
                <w:b w:val="0"/>
                <w:bCs/>
                <w:noProof/>
                <w:webHidden/>
                <w:color w:val="000000" w:themeColor="text1"/>
              </w:rPr>
              <w:fldChar w:fldCharType="separate"/>
            </w:r>
            <w:r w:rsidR="00DA58F1">
              <w:rPr>
                <w:rFonts w:cs="Arial"/>
                <w:b w:val="0"/>
                <w:bCs/>
                <w:noProof/>
                <w:webHidden/>
                <w:color w:val="000000" w:themeColor="text1"/>
              </w:rPr>
              <w:t>3</w:t>
            </w:r>
            <w:r w:rsidRPr="00D30100">
              <w:rPr>
                <w:rFonts w:cs="Arial"/>
                <w:b w:val="0"/>
                <w:bCs/>
                <w:noProof/>
                <w:webHidden/>
                <w:color w:val="000000" w:themeColor="text1"/>
              </w:rPr>
              <w:fldChar w:fldCharType="end"/>
            </w:r>
          </w:hyperlink>
        </w:p>
        <w:p w14:paraId="4CA76D25" w14:textId="07A2DB18" w:rsidR="00D822C5" w:rsidRPr="00D30100" w:rsidRDefault="00D822C5" w:rsidP="00D30100">
          <w:pPr>
            <w:pStyle w:val="TOC1"/>
            <w:spacing w:before="0" w:after="120" w:line="280" w:lineRule="atLeast"/>
            <w:rPr>
              <w:rFonts w:eastAsiaTheme="minorEastAsia" w:cs="Arial"/>
              <w:b w:val="0"/>
              <w:bCs/>
              <w:noProof/>
              <w:color w:val="000000" w:themeColor="text1"/>
              <w:spacing w:val="0"/>
              <w:kern w:val="2"/>
              <w:sz w:val="24"/>
              <w:szCs w:val="24"/>
              <w:lang w:val="en-AU"/>
              <w14:ligatures w14:val="standardContextual"/>
            </w:rPr>
          </w:pPr>
          <w:hyperlink w:anchor="_Toc240533480" w:history="1">
            <w:r w:rsidRPr="00D30100">
              <w:rPr>
                <w:rStyle w:val="Hyperlink"/>
                <w:rFonts w:cs="Arial"/>
                <w:b w:val="0"/>
                <w:bCs/>
                <w:noProof/>
                <w:color w:val="000000" w:themeColor="text1"/>
              </w:rPr>
              <w:t>Accessibility</w:t>
            </w:r>
            <w:r w:rsidRPr="00D30100">
              <w:rPr>
                <w:rFonts w:cs="Arial"/>
                <w:b w:val="0"/>
                <w:bCs/>
                <w:noProof/>
                <w:webHidden/>
                <w:color w:val="000000" w:themeColor="text1"/>
              </w:rPr>
              <w:tab/>
            </w:r>
            <w:r w:rsidRPr="00D30100">
              <w:rPr>
                <w:rFonts w:cs="Arial"/>
                <w:b w:val="0"/>
                <w:bCs/>
                <w:noProof/>
                <w:webHidden/>
                <w:color w:val="000000" w:themeColor="text1"/>
              </w:rPr>
              <w:fldChar w:fldCharType="begin"/>
            </w:r>
            <w:r w:rsidRPr="00D30100">
              <w:rPr>
                <w:rFonts w:cs="Arial"/>
                <w:b w:val="0"/>
                <w:bCs/>
                <w:noProof/>
                <w:webHidden/>
                <w:color w:val="000000" w:themeColor="text1"/>
              </w:rPr>
              <w:instrText xml:space="preserve"> PAGEREF _Toc240533480 \h </w:instrText>
            </w:r>
            <w:r w:rsidRPr="00D30100">
              <w:rPr>
                <w:rFonts w:cs="Arial"/>
                <w:b w:val="0"/>
                <w:bCs/>
                <w:noProof/>
                <w:webHidden/>
                <w:color w:val="000000" w:themeColor="text1"/>
              </w:rPr>
            </w:r>
            <w:r w:rsidRPr="00D30100">
              <w:rPr>
                <w:rFonts w:cs="Arial"/>
                <w:b w:val="0"/>
                <w:bCs/>
                <w:noProof/>
                <w:webHidden/>
                <w:color w:val="000000" w:themeColor="text1"/>
              </w:rPr>
              <w:fldChar w:fldCharType="separate"/>
            </w:r>
            <w:r w:rsidR="00DA58F1">
              <w:rPr>
                <w:rFonts w:cs="Arial"/>
                <w:b w:val="0"/>
                <w:bCs/>
                <w:noProof/>
                <w:webHidden/>
                <w:color w:val="000000" w:themeColor="text1"/>
              </w:rPr>
              <w:t>3</w:t>
            </w:r>
            <w:r w:rsidRPr="00D30100">
              <w:rPr>
                <w:rFonts w:cs="Arial"/>
                <w:b w:val="0"/>
                <w:bCs/>
                <w:noProof/>
                <w:webHidden/>
                <w:color w:val="000000" w:themeColor="text1"/>
              </w:rPr>
              <w:fldChar w:fldCharType="end"/>
            </w:r>
          </w:hyperlink>
        </w:p>
        <w:p w14:paraId="4819B431" w14:textId="26D097A7" w:rsidR="00D822C5" w:rsidRPr="00D822C5" w:rsidRDefault="00D822C5" w:rsidP="00D30100">
          <w:pPr>
            <w:pStyle w:val="TOC1"/>
            <w:spacing w:before="0" w:after="120" w:line="280" w:lineRule="atLeast"/>
            <w:rPr>
              <w:rFonts w:eastAsiaTheme="minorEastAsia" w:cs="Arial"/>
              <w:b w:val="0"/>
              <w:noProof/>
              <w:color w:val="auto"/>
              <w:spacing w:val="0"/>
              <w:kern w:val="2"/>
              <w:sz w:val="24"/>
              <w:szCs w:val="24"/>
              <w:lang w:val="en-AU"/>
              <w14:ligatures w14:val="standardContextual"/>
            </w:rPr>
          </w:pPr>
          <w:hyperlink w:anchor="_Toc240533482" w:history="1">
            <w:r w:rsidRPr="00D822C5">
              <w:rPr>
                <w:rStyle w:val="Hyperlink"/>
                <w:rFonts w:cs="Arial"/>
                <w:noProof/>
              </w:rPr>
              <w:t>Part A. Transmittal Certificate and Compliance Statement</w:t>
            </w:r>
            <w:r w:rsidRPr="00D822C5">
              <w:rPr>
                <w:rFonts w:cs="Arial"/>
                <w:noProof/>
                <w:webHidden/>
              </w:rPr>
              <w:tab/>
            </w:r>
            <w:r w:rsidRPr="00D822C5">
              <w:rPr>
                <w:rFonts w:cs="Arial"/>
                <w:noProof/>
                <w:webHidden/>
              </w:rPr>
              <w:fldChar w:fldCharType="begin"/>
            </w:r>
            <w:r w:rsidRPr="00D822C5">
              <w:rPr>
                <w:rFonts w:cs="Arial"/>
                <w:noProof/>
                <w:webHidden/>
              </w:rPr>
              <w:instrText xml:space="preserve"> PAGEREF _Toc240533482 \h </w:instrText>
            </w:r>
            <w:r w:rsidRPr="00D822C5">
              <w:rPr>
                <w:rFonts w:cs="Arial"/>
                <w:noProof/>
                <w:webHidden/>
              </w:rPr>
            </w:r>
            <w:r w:rsidRPr="00D822C5">
              <w:rPr>
                <w:rFonts w:cs="Arial"/>
                <w:noProof/>
                <w:webHidden/>
              </w:rPr>
              <w:fldChar w:fldCharType="separate"/>
            </w:r>
            <w:r w:rsidR="00DA58F1">
              <w:rPr>
                <w:rFonts w:cs="Arial"/>
                <w:noProof/>
                <w:webHidden/>
              </w:rPr>
              <w:t>7</w:t>
            </w:r>
            <w:r w:rsidRPr="00D822C5">
              <w:rPr>
                <w:rFonts w:cs="Arial"/>
                <w:noProof/>
                <w:webHidden/>
              </w:rPr>
              <w:fldChar w:fldCharType="end"/>
            </w:r>
          </w:hyperlink>
        </w:p>
        <w:p w14:paraId="1D229EEF" w14:textId="1859C61A"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83" w:history="1">
            <w:r w:rsidRPr="00D822C5">
              <w:rPr>
                <w:rStyle w:val="Hyperlink"/>
                <w:rFonts w:ascii="Arial" w:hAnsi="Arial" w:cs="Arial"/>
                <w:noProof/>
              </w:rPr>
              <w:t>Transmittal Certificate</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_Toc240533483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8</w:t>
            </w:r>
            <w:r w:rsidRPr="00D822C5">
              <w:rPr>
                <w:rFonts w:ascii="Arial" w:hAnsi="Arial" w:cs="Arial"/>
                <w:noProof/>
                <w:webHidden/>
              </w:rPr>
              <w:fldChar w:fldCharType="end"/>
            </w:r>
          </w:hyperlink>
        </w:p>
        <w:p w14:paraId="5437F636" w14:textId="38B5F6E9"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84" w:history="1">
            <w:r w:rsidRPr="00D822C5">
              <w:rPr>
                <w:rStyle w:val="Hyperlink"/>
                <w:rFonts w:ascii="Arial" w:hAnsi="Arial" w:cs="Arial"/>
                <w:noProof/>
              </w:rPr>
              <w:t>Compliance Statement</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_Toc240533484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9</w:t>
            </w:r>
            <w:r w:rsidRPr="00D822C5">
              <w:rPr>
                <w:rFonts w:ascii="Arial" w:hAnsi="Arial" w:cs="Arial"/>
                <w:noProof/>
                <w:webHidden/>
              </w:rPr>
              <w:fldChar w:fldCharType="end"/>
            </w:r>
          </w:hyperlink>
        </w:p>
        <w:p w14:paraId="01ED6916" w14:textId="4ACEC19C" w:rsidR="00D822C5" w:rsidRPr="00D822C5" w:rsidRDefault="00D822C5" w:rsidP="00D30100">
          <w:pPr>
            <w:pStyle w:val="TOC1"/>
            <w:spacing w:before="0" w:after="120" w:line="280" w:lineRule="atLeast"/>
            <w:rPr>
              <w:rFonts w:eastAsiaTheme="minorEastAsia" w:cs="Arial"/>
              <w:b w:val="0"/>
              <w:noProof/>
              <w:color w:val="auto"/>
              <w:spacing w:val="0"/>
              <w:kern w:val="2"/>
              <w:sz w:val="24"/>
              <w:szCs w:val="24"/>
              <w:lang w:val="en-AU"/>
              <w14:ligatures w14:val="standardContextual"/>
            </w:rPr>
          </w:pPr>
          <w:hyperlink w:anchor="_Toc240533485" w:history="1">
            <w:r w:rsidRPr="00D822C5">
              <w:rPr>
                <w:rStyle w:val="Hyperlink"/>
                <w:rFonts w:cs="Arial"/>
                <w:noProof/>
              </w:rPr>
              <w:t>Part B. Organisational Overview and Performance</w:t>
            </w:r>
            <w:r w:rsidRPr="00D822C5">
              <w:rPr>
                <w:rFonts w:cs="Arial"/>
                <w:noProof/>
                <w:webHidden/>
              </w:rPr>
              <w:tab/>
            </w:r>
            <w:r w:rsidRPr="00D822C5">
              <w:rPr>
                <w:rFonts w:cs="Arial"/>
                <w:noProof/>
                <w:webHidden/>
              </w:rPr>
              <w:fldChar w:fldCharType="begin"/>
            </w:r>
            <w:r w:rsidRPr="00D822C5">
              <w:rPr>
                <w:rFonts w:cs="Arial"/>
                <w:noProof/>
                <w:webHidden/>
              </w:rPr>
              <w:instrText xml:space="preserve"> PAGEREF _Toc240533485 \h </w:instrText>
            </w:r>
            <w:r w:rsidRPr="00D822C5">
              <w:rPr>
                <w:rFonts w:cs="Arial"/>
                <w:noProof/>
                <w:webHidden/>
              </w:rPr>
            </w:r>
            <w:r w:rsidRPr="00D822C5">
              <w:rPr>
                <w:rFonts w:cs="Arial"/>
                <w:noProof/>
                <w:webHidden/>
              </w:rPr>
              <w:fldChar w:fldCharType="separate"/>
            </w:r>
            <w:r w:rsidR="00DA58F1">
              <w:rPr>
                <w:rFonts w:cs="Arial"/>
                <w:noProof/>
                <w:webHidden/>
              </w:rPr>
              <w:t>11</w:t>
            </w:r>
            <w:r w:rsidRPr="00D822C5">
              <w:rPr>
                <w:rFonts w:cs="Arial"/>
                <w:noProof/>
                <w:webHidden/>
              </w:rPr>
              <w:fldChar w:fldCharType="end"/>
            </w:r>
          </w:hyperlink>
        </w:p>
        <w:p w14:paraId="0BE520F3" w14:textId="492B5F47"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86" w:history="1">
            <w:r w:rsidRPr="00D822C5">
              <w:rPr>
                <w:rStyle w:val="Hyperlink"/>
                <w:rFonts w:ascii="Arial" w:hAnsi="Arial" w:cs="Arial"/>
                <w:noProof/>
              </w:rPr>
              <w:t>B1. Organisation overview</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_Toc240533486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12</w:t>
            </w:r>
            <w:r w:rsidRPr="00D822C5">
              <w:rPr>
                <w:rFonts w:ascii="Arial" w:hAnsi="Arial" w:cs="Arial"/>
                <w:noProof/>
                <w:webHidden/>
              </w:rPr>
              <w:fldChar w:fldCharType="end"/>
            </w:r>
          </w:hyperlink>
        </w:p>
        <w:p w14:paraId="702DC758" w14:textId="288EE23B"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87" w:history="1">
            <w:r w:rsidRPr="00D822C5">
              <w:rPr>
                <w:rStyle w:val="Hyperlink"/>
                <w:rFonts w:ascii="Arial" w:hAnsi="Arial" w:cs="Arial"/>
                <w:noProof/>
              </w:rPr>
              <w:t>B2. Performance analysis</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_Toc240533487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20</w:t>
            </w:r>
            <w:r w:rsidRPr="00D822C5">
              <w:rPr>
                <w:rFonts w:ascii="Arial" w:hAnsi="Arial" w:cs="Arial"/>
                <w:noProof/>
                <w:webHidden/>
              </w:rPr>
              <w:fldChar w:fldCharType="end"/>
            </w:r>
          </w:hyperlink>
        </w:p>
        <w:p w14:paraId="27456D3A" w14:textId="5EF21150"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88" w:history="1">
            <w:r w:rsidRPr="00D822C5">
              <w:rPr>
                <w:rStyle w:val="Hyperlink"/>
                <w:rFonts w:ascii="Arial" w:hAnsi="Arial" w:cs="Arial"/>
                <w:noProof/>
              </w:rPr>
              <w:t>B3. Scrutiny</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_Toc240533488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34</w:t>
            </w:r>
            <w:r w:rsidRPr="00D822C5">
              <w:rPr>
                <w:rFonts w:ascii="Arial" w:hAnsi="Arial" w:cs="Arial"/>
                <w:noProof/>
                <w:webHidden/>
              </w:rPr>
              <w:fldChar w:fldCharType="end"/>
            </w:r>
          </w:hyperlink>
        </w:p>
        <w:p w14:paraId="2D7C14C6" w14:textId="46564F39"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89" w:history="1">
            <w:r w:rsidRPr="00D822C5">
              <w:rPr>
                <w:rStyle w:val="Hyperlink"/>
                <w:rFonts w:ascii="Arial" w:hAnsi="Arial" w:cs="Arial"/>
                <w:noProof/>
              </w:rPr>
              <w:t>B4. Risk management</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_Toc240533489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34</w:t>
            </w:r>
            <w:r w:rsidRPr="00D822C5">
              <w:rPr>
                <w:rFonts w:ascii="Arial" w:hAnsi="Arial" w:cs="Arial"/>
                <w:noProof/>
                <w:webHidden/>
              </w:rPr>
              <w:fldChar w:fldCharType="end"/>
            </w:r>
          </w:hyperlink>
        </w:p>
        <w:p w14:paraId="0C35CD72" w14:textId="0646A997"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90" w:history="1">
            <w:r w:rsidRPr="00D822C5">
              <w:rPr>
                <w:rStyle w:val="Hyperlink"/>
                <w:rFonts w:ascii="Arial" w:hAnsi="Arial" w:cs="Arial"/>
                <w:noProof/>
              </w:rPr>
              <w:t>B5. Internal audit</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_Toc240533490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35</w:t>
            </w:r>
            <w:r w:rsidRPr="00D822C5">
              <w:rPr>
                <w:rFonts w:ascii="Arial" w:hAnsi="Arial" w:cs="Arial"/>
                <w:noProof/>
                <w:webHidden/>
              </w:rPr>
              <w:fldChar w:fldCharType="end"/>
            </w:r>
          </w:hyperlink>
        </w:p>
        <w:p w14:paraId="071735E8" w14:textId="659FBEFA"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91" w:history="1">
            <w:r w:rsidRPr="00D822C5">
              <w:rPr>
                <w:rStyle w:val="Hyperlink"/>
                <w:rFonts w:ascii="Arial" w:hAnsi="Arial" w:cs="Arial"/>
                <w:noProof/>
              </w:rPr>
              <w:t>B6. Fraud prevention</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_Toc240533491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36</w:t>
            </w:r>
            <w:r w:rsidRPr="00D822C5">
              <w:rPr>
                <w:rFonts w:ascii="Arial" w:hAnsi="Arial" w:cs="Arial"/>
                <w:noProof/>
                <w:webHidden/>
              </w:rPr>
              <w:fldChar w:fldCharType="end"/>
            </w:r>
          </w:hyperlink>
        </w:p>
        <w:p w14:paraId="207BAE32" w14:textId="1655B43E"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92" w:history="1">
            <w:r w:rsidRPr="00D822C5">
              <w:rPr>
                <w:rStyle w:val="Hyperlink"/>
                <w:rFonts w:ascii="Arial" w:hAnsi="Arial" w:cs="Arial"/>
                <w:noProof/>
              </w:rPr>
              <w:t>B7. Freedom of information (FOI)</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_Toc240533492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36</w:t>
            </w:r>
            <w:r w:rsidRPr="00D822C5">
              <w:rPr>
                <w:rFonts w:ascii="Arial" w:hAnsi="Arial" w:cs="Arial"/>
                <w:noProof/>
                <w:webHidden/>
              </w:rPr>
              <w:fldChar w:fldCharType="end"/>
            </w:r>
          </w:hyperlink>
        </w:p>
        <w:p w14:paraId="43D66E62" w14:textId="42F9E784"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93" w:history="1">
            <w:r w:rsidRPr="00D822C5">
              <w:rPr>
                <w:rStyle w:val="Hyperlink"/>
                <w:rFonts w:ascii="Arial" w:hAnsi="Arial" w:cs="Arial"/>
                <w:noProof/>
              </w:rPr>
              <w:t>B8. Community engagement and support</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_Toc240533493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37</w:t>
            </w:r>
            <w:r w:rsidRPr="00D822C5">
              <w:rPr>
                <w:rFonts w:ascii="Arial" w:hAnsi="Arial" w:cs="Arial"/>
                <w:noProof/>
                <w:webHidden/>
              </w:rPr>
              <w:fldChar w:fldCharType="end"/>
            </w:r>
          </w:hyperlink>
        </w:p>
        <w:p w14:paraId="1455849D" w14:textId="335838E0"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94" w:history="1">
            <w:r w:rsidRPr="00D822C5">
              <w:rPr>
                <w:rStyle w:val="Hyperlink"/>
                <w:rFonts w:ascii="Arial" w:hAnsi="Arial" w:cs="Arial"/>
                <w:noProof/>
              </w:rPr>
              <w:t>B9. Aboriginal and Torres Strait Islander reporting</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_Toc240533494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37</w:t>
            </w:r>
            <w:r w:rsidRPr="00D822C5">
              <w:rPr>
                <w:rFonts w:ascii="Arial" w:hAnsi="Arial" w:cs="Arial"/>
                <w:noProof/>
                <w:webHidden/>
              </w:rPr>
              <w:fldChar w:fldCharType="end"/>
            </w:r>
          </w:hyperlink>
        </w:p>
        <w:p w14:paraId="2FCD3ACD" w14:textId="4A61A8E9"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95" w:history="1">
            <w:r w:rsidRPr="00D822C5">
              <w:rPr>
                <w:rStyle w:val="Hyperlink"/>
                <w:rFonts w:ascii="Arial" w:hAnsi="Arial" w:cs="Arial"/>
                <w:noProof/>
              </w:rPr>
              <w:t>B10. Disability inclusion reporting</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_Toc240533495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38</w:t>
            </w:r>
            <w:r w:rsidRPr="00D822C5">
              <w:rPr>
                <w:rFonts w:ascii="Arial" w:hAnsi="Arial" w:cs="Arial"/>
                <w:noProof/>
                <w:webHidden/>
              </w:rPr>
              <w:fldChar w:fldCharType="end"/>
            </w:r>
          </w:hyperlink>
        </w:p>
        <w:p w14:paraId="2861DD7D" w14:textId="4FFB0011"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98" w:history="1">
            <w:r w:rsidRPr="00D822C5">
              <w:rPr>
                <w:rStyle w:val="Hyperlink"/>
                <w:rFonts w:ascii="Arial" w:hAnsi="Arial" w:cs="Arial"/>
                <w:noProof/>
              </w:rPr>
              <w:t>B11. Multiculturalism reporting</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_Toc240533498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39</w:t>
            </w:r>
            <w:r w:rsidRPr="00D822C5">
              <w:rPr>
                <w:rFonts w:ascii="Arial" w:hAnsi="Arial" w:cs="Arial"/>
                <w:noProof/>
                <w:webHidden/>
              </w:rPr>
              <w:fldChar w:fldCharType="end"/>
            </w:r>
          </w:hyperlink>
        </w:p>
        <w:p w14:paraId="4D7AD508" w14:textId="79D78129"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499" w:history="1">
            <w:r w:rsidRPr="00D822C5">
              <w:rPr>
                <w:rStyle w:val="Hyperlink"/>
                <w:rFonts w:ascii="Arial" w:hAnsi="Arial" w:cs="Arial"/>
                <w:noProof/>
              </w:rPr>
              <w:t>B12. Period Products and Facilities (Access) Act reporting</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_Toc240533499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40</w:t>
            </w:r>
            <w:r w:rsidRPr="00D822C5">
              <w:rPr>
                <w:rFonts w:ascii="Arial" w:hAnsi="Arial" w:cs="Arial"/>
                <w:noProof/>
                <w:webHidden/>
              </w:rPr>
              <w:fldChar w:fldCharType="end"/>
            </w:r>
          </w:hyperlink>
        </w:p>
        <w:p w14:paraId="7C4B7ED3" w14:textId="049D1C5F"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500" w:history="1">
            <w:r w:rsidRPr="00D822C5">
              <w:rPr>
                <w:rStyle w:val="Hyperlink"/>
                <w:rFonts w:ascii="Arial" w:hAnsi="Arial" w:cs="Arial"/>
                <w:noProof/>
              </w:rPr>
              <w:t>B13. Work health and safety</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_Toc240533500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40</w:t>
            </w:r>
            <w:r w:rsidRPr="00D822C5">
              <w:rPr>
                <w:rFonts w:ascii="Arial" w:hAnsi="Arial" w:cs="Arial"/>
                <w:noProof/>
                <w:webHidden/>
              </w:rPr>
              <w:fldChar w:fldCharType="end"/>
            </w:r>
          </w:hyperlink>
        </w:p>
        <w:p w14:paraId="774D6C92" w14:textId="1DE93939"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501" w:history="1">
            <w:r w:rsidRPr="00D822C5">
              <w:rPr>
                <w:rStyle w:val="Hyperlink"/>
                <w:rFonts w:ascii="Arial" w:hAnsi="Arial" w:cs="Arial"/>
                <w:noProof/>
              </w:rPr>
              <w:t>B14. Human resources management</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_Toc240533501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41</w:t>
            </w:r>
            <w:r w:rsidRPr="00D822C5">
              <w:rPr>
                <w:rFonts w:ascii="Arial" w:hAnsi="Arial" w:cs="Arial"/>
                <w:noProof/>
                <w:webHidden/>
              </w:rPr>
              <w:fldChar w:fldCharType="end"/>
            </w:r>
          </w:hyperlink>
        </w:p>
        <w:p w14:paraId="704B0A0F" w14:textId="31DD31E6"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502" w:history="1">
            <w:r w:rsidRPr="00D822C5">
              <w:rPr>
                <w:rStyle w:val="Hyperlink"/>
                <w:rFonts w:ascii="Arial" w:hAnsi="Arial" w:cs="Arial"/>
                <w:noProof/>
              </w:rPr>
              <w:t>B15. Ecological sustainability reporting</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_Toc240533502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45</w:t>
            </w:r>
            <w:r w:rsidRPr="00D822C5">
              <w:rPr>
                <w:rFonts w:ascii="Arial" w:hAnsi="Arial" w:cs="Arial"/>
                <w:noProof/>
                <w:webHidden/>
              </w:rPr>
              <w:fldChar w:fldCharType="end"/>
            </w:r>
          </w:hyperlink>
        </w:p>
        <w:p w14:paraId="09CDC662" w14:textId="4FA639E1" w:rsidR="00D822C5" w:rsidRPr="00D822C5" w:rsidRDefault="00D822C5" w:rsidP="00D30100">
          <w:pPr>
            <w:pStyle w:val="TOC1"/>
            <w:spacing w:before="0" w:after="120" w:line="280" w:lineRule="atLeast"/>
            <w:rPr>
              <w:rFonts w:eastAsiaTheme="minorEastAsia" w:cs="Arial"/>
              <w:b w:val="0"/>
              <w:noProof/>
              <w:color w:val="auto"/>
              <w:spacing w:val="0"/>
              <w:kern w:val="2"/>
              <w:sz w:val="24"/>
              <w:szCs w:val="24"/>
              <w:lang w:val="en-AU"/>
              <w14:ligatures w14:val="standardContextual"/>
            </w:rPr>
          </w:pPr>
          <w:hyperlink w:anchor="_Toc240533503" w:history="1">
            <w:r w:rsidRPr="00D822C5">
              <w:rPr>
                <w:rStyle w:val="Hyperlink"/>
                <w:rFonts w:cs="Arial"/>
                <w:noProof/>
              </w:rPr>
              <w:t>Part C. Financial Management Reporting</w:t>
            </w:r>
            <w:r w:rsidRPr="00D822C5">
              <w:rPr>
                <w:rFonts w:cs="Arial"/>
                <w:noProof/>
                <w:webHidden/>
              </w:rPr>
              <w:tab/>
            </w:r>
            <w:r w:rsidRPr="00D822C5">
              <w:rPr>
                <w:rFonts w:cs="Arial"/>
                <w:noProof/>
                <w:webHidden/>
              </w:rPr>
              <w:fldChar w:fldCharType="begin"/>
            </w:r>
            <w:r w:rsidRPr="00D822C5">
              <w:rPr>
                <w:rFonts w:cs="Arial"/>
                <w:noProof/>
                <w:webHidden/>
              </w:rPr>
              <w:instrText xml:space="preserve"> PAGEREF _Toc240533503 \h </w:instrText>
            </w:r>
            <w:r w:rsidRPr="00D822C5">
              <w:rPr>
                <w:rFonts w:cs="Arial"/>
                <w:noProof/>
                <w:webHidden/>
              </w:rPr>
            </w:r>
            <w:r w:rsidRPr="00D822C5">
              <w:rPr>
                <w:rFonts w:cs="Arial"/>
                <w:noProof/>
                <w:webHidden/>
              </w:rPr>
              <w:fldChar w:fldCharType="separate"/>
            </w:r>
            <w:r w:rsidR="00DA58F1">
              <w:rPr>
                <w:rFonts w:cs="Arial"/>
                <w:noProof/>
                <w:webHidden/>
              </w:rPr>
              <w:t>47</w:t>
            </w:r>
            <w:r w:rsidRPr="00D822C5">
              <w:rPr>
                <w:rFonts w:cs="Arial"/>
                <w:noProof/>
                <w:webHidden/>
              </w:rPr>
              <w:fldChar w:fldCharType="end"/>
            </w:r>
          </w:hyperlink>
        </w:p>
        <w:p w14:paraId="3640447E" w14:textId="0DA8EAA2"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504" w:history="1">
            <w:r w:rsidRPr="00D822C5">
              <w:rPr>
                <w:rStyle w:val="Hyperlink"/>
                <w:rFonts w:ascii="Arial" w:hAnsi="Arial" w:cs="Arial"/>
                <w:noProof/>
              </w:rPr>
              <w:t>C1. Management discussion and analysis</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_Toc240533504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48</w:t>
            </w:r>
            <w:r w:rsidRPr="00D822C5">
              <w:rPr>
                <w:rFonts w:ascii="Arial" w:hAnsi="Arial" w:cs="Arial"/>
                <w:noProof/>
                <w:webHidden/>
              </w:rPr>
              <w:fldChar w:fldCharType="end"/>
            </w:r>
          </w:hyperlink>
        </w:p>
        <w:p w14:paraId="5A9053AA" w14:textId="2316D58A"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505" w:history="1">
            <w:r w:rsidRPr="00D822C5">
              <w:rPr>
                <w:rStyle w:val="Hyperlink"/>
                <w:rFonts w:ascii="Arial" w:hAnsi="Arial" w:cs="Arial"/>
                <w:noProof/>
              </w:rPr>
              <w:t>C2. Financial statements</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_Toc240533505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58</w:t>
            </w:r>
            <w:r w:rsidRPr="00D822C5">
              <w:rPr>
                <w:rFonts w:ascii="Arial" w:hAnsi="Arial" w:cs="Arial"/>
                <w:noProof/>
                <w:webHidden/>
              </w:rPr>
              <w:fldChar w:fldCharType="end"/>
            </w:r>
          </w:hyperlink>
        </w:p>
        <w:p w14:paraId="6897FAA0" w14:textId="0CFBA580"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559" w:history="1">
            <w:r w:rsidRPr="00D822C5">
              <w:rPr>
                <w:rStyle w:val="Hyperlink"/>
                <w:rFonts w:ascii="Arial" w:hAnsi="Arial" w:cs="Arial"/>
                <w:noProof/>
              </w:rPr>
              <w:t>C3. Capital works</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_Toc240533559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121</w:t>
            </w:r>
            <w:r w:rsidRPr="00D822C5">
              <w:rPr>
                <w:rFonts w:ascii="Arial" w:hAnsi="Arial" w:cs="Arial"/>
                <w:noProof/>
                <w:webHidden/>
              </w:rPr>
              <w:fldChar w:fldCharType="end"/>
            </w:r>
          </w:hyperlink>
        </w:p>
        <w:p w14:paraId="2976AEA8" w14:textId="30619A43"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560" w:history="1">
            <w:r w:rsidRPr="00D822C5">
              <w:rPr>
                <w:rStyle w:val="Hyperlink"/>
                <w:rFonts w:ascii="Arial" w:hAnsi="Arial" w:cs="Arial"/>
                <w:noProof/>
              </w:rPr>
              <w:t>C4. Asset management</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_Toc240533560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121</w:t>
            </w:r>
            <w:r w:rsidRPr="00D822C5">
              <w:rPr>
                <w:rFonts w:ascii="Arial" w:hAnsi="Arial" w:cs="Arial"/>
                <w:noProof/>
                <w:webHidden/>
              </w:rPr>
              <w:fldChar w:fldCharType="end"/>
            </w:r>
          </w:hyperlink>
        </w:p>
        <w:p w14:paraId="49173766" w14:textId="56DE9810"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561" w:history="1">
            <w:r w:rsidRPr="00D822C5">
              <w:rPr>
                <w:rStyle w:val="Hyperlink"/>
                <w:rFonts w:ascii="Arial" w:hAnsi="Arial" w:cs="Arial"/>
                <w:noProof/>
              </w:rPr>
              <w:t>C5. Government contracting</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_Toc240533561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121</w:t>
            </w:r>
            <w:r w:rsidRPr="00D822C5">
              <w:rPr>
                <w:rFonts w:ascii="Arial" w:hAnsi="Arial" w:cs="Arial"/>
                <w:noProof/>
                <w:webHidden/>
              </w:rPr>
              <w:fldChar w:fldCharType="end"/>
            </w:r>
          </w:hyperlink>
        </w:p>
        <w:p w14:paraId="1AB53220" w14:textId="64D0D61A" w:rsidR="00D822C5" w:rsidRPr="00D822C5" w:rsidRDefault="00D822C5" w:rsidP="00D30100">
          <w:pPr>
            <w:pStyle w:val="TOC2"/>
            <w:spacing w:before="0" w:after="120"/>
            <w:rPr>
              <w:rFonts w:ascii="Arial" w:eastAsiaTheme="minorEastAsia" w:hAnsi="Arial" w:cs="Arial"/>
              <w:noProof/>
              <w:color w:val="auto"/>
              <w:spacing w:val="0"/>
              <w:kern w:val="2"/>
              <w:sz w:val="24"/>
              <w:szCs w:val="24"/>
              <w:lang w:val="en-AU"/>
              <w14:ligatures w14:val="standardContextual"/>
            </w:rPr>
          </w:pPr>
          <w:hyperlink w:anchor="_Toc240533562" w:history="1">
            <w:r w:rsidRPr="00D822C5">
              <w:rPr>
                <w:rStyle w:val="Hyperlink"/>
                <w:rFonts w:ascii="Arial" w:hAnsi="Arial" w:cs="Arial"/>
                <w:noProof/>
              </w:rPr>
              <w:t>C6. Statement of performance</w:t>
            </w:r>
            <w:r w:rsidRPr="00D822C5">
              <w:rPr>
                <w:rFonts w:ascii="Arial" w:hAnsi="Arial" w:cs="Arial"/>
                <w:noProof/>
                <w:webHidden/>
              </w:rPr>
              <w:tab/>
            </w:r>
            <w:r w:rsidRPr="00D822C5">
              <w:rPr>
                <w:rFonts w:ascii="Arial" w:hAnsi="Arial" w:cs="Arial"/>
                <w:noProof/>
                <w:webHidden/>
              </w:rPr>
              <w:fldChar w:fldCharType="begin"/>
            </w:r>
            <w:r w:rsidRPr="00D822C5">
              <w:rPr>
                <w:rFonts w:ascii="Arial" w:hAnsi="Arial" w:cs="Arial"/>
                <w:noProof/>
                <w:webHidden/>
              </w:rPr>
              <w:instrText xml:space="preserve"> PAGEREF _Toc240533562 \h </w:instrText>
            </w:r>
            <w:r w:rsidRPr="00D822C5">
              <w:rPr>
                <w:rFonts w:ascii="Arial" w:hAnsi="Arial" w:cs="Arial"/>
                <w:noProof/>
                <w:webHidden/>
              </w:rPr>
            </w:r>
            <w:r w:rsidRPr="00D822C5">
              <w:rPr>
                <w:rFonts w:ascii="Arial" w:hAnsi="Arial" w:cs="Arial"/>
                <w:noProof/>
                <w:webHidden/>
              </w:rPr>
              <w:fldChar w:fldCharType="separate"/>
            </w:r>
            <w:r w:rsidR="00DA58F1">
              <w:rPr>
                <w:rFonts w:ascii="Arial" w:hAnsi="Arial" w:cs="Arial"/>
                <w:noProof/>
                <w:webHidden/>
              </w:rPr>
              <w:t>123</w:t>
            </w:r>
            <w:r w:rsidRPr="00D822C5">
              <w:rPr>
                <w:rFonts w:ascii="Arial" w:hAnsi="Arial" w:cs="Arial"/>
                <w:noProof/>
                <w:webHidden/>
              </w:rPr>
              <w:fldChar w:fldCharType="end"/>
            </w:r>
          </w:hyperlink>
        </w:p>
        <w:p w14:paraId="0C7B6D75" w14:textId="3450C8F2" w:rsidR="00447B7D" w:rsidRPr="00BB2758" w:rsidRDefault="00D3512E" w:rsidP="00ED12A5">
          <w:pPr>
            <w:spacing w:after="120" w:line="360" w:lineRule="atLeast"/>
          </w:pPr>
          <w:r w:rsidRPr="00D822C5">
            <w:rPr>
              <w:rFonts w:ascii="Arial" w:hAnsi="Arial" w:cs="Arial"/>
              <w:b/>
            </w:rPr>
            <w:fldChar w:fldCharType="end"/>
          </w:r>
        </w:p>
      </w:sdtContent>
    </w:sdt>
    <w:p w14:paraId="68757169" w14:textId="755259FF" w:rsidR="008A6051" w:rsidRPr="00BB2758" w:rsidRDefault="008A6051" w:rsidP="006E0242"/>
    <w:p w14:paraId="5BA836FD" w14:textId="0DF2EAF9" w:rsidR="007846A7" w:rsidRDefault="001507BF" w:rsidP="006E0242">
      <w:r w:rsidRPr="00BB2758">
        <w:br w:type="page"/>
      </w:r>
    </w:p>
    <w:p w14:paraId="3B2D0DE0" w14:textId="77777777" w:rsidR="007846A7" w:rsidRDefault="007846A7">
      <w:pPr>
        <w:spacing w:before="120" w:after="120" w:line="240" w:lineRule="auto"/>
      </w:pPr>
      <w:r>
        <w:lastRenderedPageBreak/>
        <w:br w:type="page"/>
      </w:r>
    </w:p>
    <w:p w14:paraId="5C323A49" w14:textId="04A8B4A1" w:rsidR="001507BF" w:rsidRPr="00BB2758" w:rsidRDefault="00A15593" w:rsidP="006E0242">
      <w:pPr>
        <w:rPr>
          <w:rFonts w:eastAsiaTheme="majorEastAsia"/>
          <w:color w:val="081DA4" w:themeColor="text2"/>
          <w:spacing w:val="-10"/>
          <w:sz w:val="44"/>
          <w:szCs w:val="32"/>
        </w:rPr>
      </w:pPr>
      <w:r>
        <w:rPr>
          <w:rFonts w:eastAsia="Times New Roman"/>
          <w:noProof/>
          <w:color w:val="000000"/>
          <w:spacing w:val="2"/>
        </w:rPr>
        <w:lastRenderedPageBreak/>
        <w:drawing>
          <wp:anchor distT="0" distB="0" distL="114300" distR="114300" simplePos="0" relativeHeight="251658247" behindDoc="0" locked="0" layoutInCell="1" allowOverlap="1" wp14:anchorId="373D9D3F" wp14:editId="21D7595A">
            <wp:simplePos x="0" y="0"/>
            <wp:positionH relativeFrom="page">
              <wp:align>center</wp:align>
            </wp:positionH>
            <wp:positionV relativeFrom="page">
              <wp:align>center</wp:align>
            </wp:positionV>
            <wp:extent cx="7556400" cy="10684800"/>
            <wp:effectExtent l="0" t="0" r="6985" b="2540"/>
            <wp:wrapNone/>
            <wp:docPr id="873508898" name="Picture 16" descr="Section divider page for Part A: Transmittal Certificate and Compliance Statement. The page displays the section title prominently and serves as an introductory page to Part A of the Long Service Leave Authority Annual Report 2025-26. The page incorporates ACT Leave and ACT Government branding and design elements consistent with the overall visual style of the report. No other substantive content is included on the page apart from the section heading and branding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08898" name="Picture 16" descr="Section divider page for Part A: Transmittal Certificate and Compliance Statement. The page displays the section title prominently and serves as an introductory page to Part A of the Long Service Leave Authority Annual Report 2025-26. The page incorporates ACT Leave and ACT Government branding and design elements consistent with the overall visual style of the report. No other substantive content is included on the page apart from the section heading and branding elements."/>
                    <pic:cNvPicPr/>
                  </pic:nvPicPr>
                  <pic:blipFill>
                    <a:blip r:embed="rId28"/>
                    <a:stretch>
                      <a:fillRect/>
                    </a:stretch>
                  </pic:blipFill>
                  <pic:spPr>
                    <a:xfrm>
                      <a:off x="0" y="0"/>
                      <a:ext cx="7556400" cy="10684800"/>
                    </a:xfrm>
                    <a:prstGeom prst="rect">
                      <a:avLst/>
                    </a:prstGeom>
                  </pic:spPr>
                </pic:pic>
              </a:graphicData>
            </a:graphic>
            <wp14:sizeRelH relativeFrom="margin">
              <wp14:pctWidth>0</wp14:pctWidth>
            </wp14:sizeRelH>
            <wp14:sizeRelV relativeFrom="margin">
              <wp14:pctHeight>0</wp14:pctHeight>
            </wp14:sizeRelV>
          </wp:anchor>
        </w:drawing>
      </w:r>
    </w:p>
    <w:bookmarkStart w:id="11" w:name="_Toc240533482"/>
    <w:p w14:paraId="62B19626" w14:textId="63F68DBF" w:rsidR="003819CB" w:rsidRPr="00BB2758" w:rsidRDefault="008D706A" w:rsidP="00F45A2F">
      <w:pPr>
        <w:pStyle w:val="Heading1"/>
      </w:pPr>
      <w:r w:rsidRPr="00BB2758">
        <w:rPr>
          <w:rFonts w:eastAsia="Times New Roman"/>
          <w:noProof/>
          <w:color w:val="000000"/>
          <w:spacing w:val="2"/>
        </w:rPr>
        <mc:AlternateContent>
          <mc:Choice Requires="wps">
            <w:drawing>
              <wp:anchor distT="0" distB="0" distL="114300" distR="114300" simplePos="0" relativeHeight="251658242" behindDoc="0" locked="0" layoutInCell="1" allowOverlap="1" wp14:anchorId="0EE795EF" wp14:editId="593D75F7">
                <wp:simplePos x="0" y="0"/>
                <wp:positionH relativeFrom="column">
                  <wp:posOffset>-748665</wp:posOffset>
                </wp:positionH>
                <wp:positionV relativeFrom="paragraph">
                  <wp:posOffset>8190230</wp:posOffset>
                </wp:positionV>
                <wp:extent cx="8629650" cy="1733550"/>
                <wp:effectExtent l="0" t="0" r="19050" b="19050"/>
                <wp:wrapNone/>
                <wp:docPr id="14856495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629650" cy="17335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c="http://schemas.openxmlformats.org/drawingml/2006/chart" xmlns:arto="http://schemas.microsoft.com/office/word/2006/arto" xmlns:w16cei="http://schemas.microsoft.com/office/word/2026/wordml/cei">
            <w:pict w14:anchorId="11FD18C2">
              <v:rect id="Rectangle 12" style="position:absolute;margin-left:-58.95pt;margin-top:644.9pt;width:679.5pt;height:136.5pt;z-index:25165824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26" fillcolor="white [3212]" strokecolor="white [3212]" strokeweight="1pt" w14:anchorId="41279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"/>
            </w:pict>
          </mc:Fallback>
        </mc:AlternateContent>
      </w:r>
      <w:r w:rsidR="00732861" w:rsidRPr="00BB2758">
        <w:t xml:space="preserve">Part A. </w:t>
      </w:r>
      <w:r w:rsidR="009B4394" w:rsidRPr="00BB2758">
        <w:t>Transmittal Certificate and Compliance Statement</w:t>
      </w:r>
      <w:bookmarkEnd w:id="11"/>
    </w:p>
    <w:p w14:paraId="668EE726" w14:textId="77777777" w:rsidR="009B4394" w:rsidRPr="00BB2758" w:rsidRDefault="009B4394" w:rsidP="006E0242">
      <w:pPr>
        <w:rPr>
          <w:rFonts w:eastAsiaTheme="majorEastAsia"/>
          <w:color w:val="081DA4" w:themeColor="text2"/>
          <w:spacing w:val="-10"/>
          <w:sz w:val="44"/>
          <w:szCs w:val="32"/>
        </w:rPr>
      </w:pPr>
      <w:r w:rsidRPr="00BB2758">
        <w:br w:type="page"/>
      </w:r>
    </w:p>
    <w:p w14:paraId="66BF6AAA" w14:textId="2D4B5432" w:rsidR="00215F93" w:rsidRPr="00BB2758" w:rsidRDefault="00215F93" w:rsidP="006E0242">
      <w:pPr>
        <w:pStyle w:val="Heading2NoNumber"/>
      </w:pPr>
      <w:bookmarkStart w:id="12" w:name="_Toc240533483"/>
      <w:r w:rsidRPr="00BB2758">
        <w:lastRenderedPageBreak/>
        <w:t>Transmittal Certificate</w:t>
      </w:r>
      <w:bookmarkEnd w:id="12"/>
    </w:p>
    <w:p w14:paraId="64D240CF" w14:textId="058DC91D" w:rsidR="00C84F81" w:rsidRPr="00BB2758" w:rsidRDefault="00C84F81" w:rsidP="006E0242">
      <w:pPr>
        <w:pStyle w:val="NoSpacing"/>
      </w:pPr>
      <w:r w:rsidRPr="00BB2758">
        <w:rPr>
          <w:noProof/>
        </w:rPr>
        <w:drawing>
          <wp:anchor distT="0" distB="0" distL="114300" distR="114300" simplePos="0" relativeHeight="251658246" behindDoc="0" locked="0" layoutInCell="1" allowOverlap="1" wp14:anchorId="780014D4" wp14:editId="3CC92EF4">
            <wp:simplePos x="0" y="0"/>
            <wp:positionH relativeFrom="column">
              <wp:posOffset>6350</wp:posOffset>
            </wp:positionH>
            <wp:positionV relativeFrom="paragraph">
              <wp:posOffset>145415</wp:posOffset>
            </wp:positionV>
            <wp:extent cx="2205355" cy="755650"/>
            <wp:effectExtent l="0" t="0" r="4445" b="6350"/>
            <wp:wrapTopAndBottom/>
            <wp:docPr id="1158972961" name="Picture 1158972961" descr="ACT Government and ACT Leave logo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972961" name="Picture 1158972961" descr="ACT Government and ACT Leave logos">
                      <a:extLst>
                        <a:ext uri="{C183D7F6-B498-43B3-948B-1728B52AA6E4}">
                          <adec:decorative xmlns:adec="http://schemas.microsoft.com/office/drawing/2017/decorative" val="0"/>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05355" cy="755650"/>
                    </a:xfrm>
                    <a:prstGeom prst="rect">
                      <a:avLst/>
                    </a:prstGeom>
                  </pic:spPr>
                </pic:pic>
              </a:graphicData>
            </a:graphic>
          </wp:anchor>
        </w:drawing>
      </w:r>
    </w:p>
    <w:p w14:paraId="1BFA191E" w14:textId="51A0168C" w:rsidR="00E1785A" w:rsidRPr="00BB2758" w:rsidRDefault="00E1785A" w:rsidP="006E0242">
      <w:pPr>
        <w:pStyle w:val="NoSpacing"/>
      </w:pPr>
      <w:proofErr w:type="spellStart"/>
      <w:r w:rsidRPr="00BB2758">
        <w:t>Mr</w:t>
      </w:r>
      <w:proofErr w:type="spellEnd"/>
      <w:r w:rsidRPr="00BB2758">
        <w:t xml:space="preserve"> M</w:t>
      </w:r>
      <w:r w:rsidR="002363C6" w:rsidRPr="00BB2758">
        <w:t>ichael Pettersson MLA</w:t>
      </w:r>
    </w:p>
    <w:p w14:paraId="64A25263" w14:textId="318006CB" w:rsidR="00E1785A" w:rsidRPr="00BB2758" w:rsidRDefault="00E1785A" w:rsidP="00FF2CBC">
      <w:pPr>
        <w:spacing w:after="0"/>
      </w:pPr>
      <w:r w:rsidRPr="00BB2758">
        <w:t xml:space="preserve">Minister for </w:t>
      </w:r>
      <w:r w:rsidR="002363C6" w:rsidRPr="00BB2758">
        <w:t>Skills, Training and Industrial Relations</w:t>
      </w:r>
    </w:p>
    <w:p w14:paraId="423F8C89" w14:textId="77777777" w:rsidR="00E1785A" w:rsidRPr="00BB2758" w:rsidRDefault="00E1785A" w:rsidP="00FF2CBC">
      <w:pPr>
        <w:spacing w:after="0"/>
      </w:pPr>
      <w:r w:rsidRPr="00BB2758">
        <w:t>ACT Legislative Assembly</w:t>
      </w:r>
    </w:p>
    <w:p w14:paraId="1AFF452E" w14:textId="77777777" w:rsidR="00E1785A" w:rsidRPr="00BB2758" w:rsidRDefault="00E1785A" w:rsidP="00FF2CBC">
      <w:pPr>
        <w:spacing w:after="0"/>
      </w:pPr>
      <w:r w:rsidRPr="00BB2758">
        <w:t>London Circuit</w:t>
      </w:r>
    </w:p>
    <w:p w14:paraId="4E0DAE48" w14:textId="77777777" w:rsidR="00E1785A" w:rsidRPr="00BB2758" w:rsidRDefault="00E1785A" w:rsidP="00FF2CBC">
      <w:pPr>
        <w:spacing w:after="0"/>
      </w:pPr>
      <w:r w:rsidRPr="00BB2758">
        <w:t>CANBERRA ACT 2601</w:t>
      </w:r>
    </w:p>
    <w:p w14:paraId="7DE3DF50" w14:textId="77777777" w:rsidR="00E1785A" w:rsidRPr="00BB2758" w:rsidRDefault="00E1785A" w:rsidP="006E0242"/>
    <w:p w14:paraId="29FAF421" w14:textId="77777777" w:rsidR="00E1785A" w:rsidRPr="00BB2758" w:rsidRDefault="00E1785A" w:rsidP="006E0242"/>
    <w:p w14:paraId="5949D3D9" w14:textId="77777777" w:rsidR="00E1785A" w:rsidRPr="00BB2758" w:rsidRDefault="00E1785A" w:rsidP="00CF17D1">
      <w:r w:rsidRPr="00BB2758">
        <w:t>Dear Minister</w:t>
      </w:r>
    </w:p>
    <w:p w14:paraId="370FA47C" w14:textId="11D0963D" w:rsidR="00E1785A" w:rsidRPr="001A059B" w:rsidRDefault="00E1785A" w:rsidP="006E0242">
      <w:pPr>
        <w:rPr>
          <w:b/>
        </w:rPr>
      </w:pPr>
      <w:r w:rsidRPr="001A059B">
        <w:rPr>
          <w:b/>
        </w:rPr>
        <w:t>202</w:t>
      </w:r>
      <w:r w:rsidR="0073692C" w:rsidRPr="001A059B">
        <w:rPr>
          <w:b/>
        </w:rPr>
        <w:t>5</w:t>
      </w:r>
      <w:r w:rsidR="002363C6" w:rsidRPr="001A059B">
        <w:rPr>
          <w:b/>
        </w:rPr>
        <w:t>-2</w:t>
      </w:r>
      <w:r w:rsidR="0073692C" w:rsidRPr="001A059B">
        <w:rPr>
          <w:b/>
        </w:rPr>
        <w:t>6</w:t>
      </w:r>
      <w:r w:rsidRPr="001A059B">
        <w:rPr>
          <w:b/>
        </w:rPr>
        <w:t xml:space="preserve"> Long Service Leave Authority Annual Report</w:t>
      </w:r>
    </w:p>
    <w:p w14:paraId="6E260728" w14:textId="77777777" w:rsidR="00E1785A" w:rsidRPr="00BB2758" w:rsidRDefault="00E1785A" w:rsidP="006E0242">
      <w:r w:rsidRPr="00BB2758">
        <w:t xml:space="preserve">This report has been prepared in accordance with section 7(2) of the </w:t>
      </w:r>
      <w:r w:rsidRPr="00BB2758">
        <w:rPr>
          <w:i/>
        </w:rPr>
        <w:t>Annual Reports (Government Agencies) Act 2004</w:t>
      </w:r>
      <w:r w:rsidRPr="00BB2758">
        <w:t xml:space="preserve"> and in accordance with the requirements under the Annual Report Directions.</w:t>
      </w:r>
    </w:p>
    <w:p w14:paraId="05D8FBF3" w14:textId="77777777" w:rsidR="00E1785A" w:rsidRPr="00BB2758" w:rsidRDefault="00E1785A" w:rsidP="006E0242">
      <w:r w:rsidRPr="00BB2758">
        <w:t>It has been prepared in conformity with other legislation applicable to the preparation of the Annual Report by the Long Service Leave Authority (ACT Leave).</w:t>
      </w:r>
    </w:p>
    <w:p w14:paraId="567C5CF2" w14:textId="050C881A" w:rsidR="00E1785A" w:rsidRPr="00BB2758" w:rsidRDefault="00E1785A" w:rsidP="006E0242">
      <w:r w:rsidRPr="00BB2758">
        <w:t>We certify that the information in the attached annual report, and information provided for whole of government reporting, is an honest and accurate account and that all material information on the operations of ACT Leave has been included for the period 1 July 202</w:t>
      </w:r>
      <w:r w:rsidR="00957AAF">
        <w:t>5</w:t>
      </w:r>
      <w:r w:rsidRPr="00BB2758">
        <w:t xml:space="preserve"> to 30 June 202</w:t>
      </w:r>
      <w:r w:rsidR="00957AAF">
        <w:t>6</w:t>
      </w:r>
      <w:r w:rsidRPr="00BB2758">
        <w:t>.</w:t>
      </w:r>
    </w:p>
    <w:p w14:paraId="22134076" w14:textId="77777777" w:rsidR="00E1785A" w:rsidRPr="00BB2758" w:rsidRDefault="00E1785A" w:rsidP="006E0242">
      <w:r w:rsidRPr="00BB2758">
        <w:t xml:space="preserve">We also hereby certify that fraud prevention has been managed in accordance with the </w:t>
      </w:r>
      <w:r w:rsidRPr="00BB2758">
        <w:rPr>
          <w:i/>
          <w:iCs/>
        </w:rPr>
        <w:t>Public Sector Management Standards 2006 (repealed)</w:t>
      </w:r>
      <w:r w:rsidRPr="00BB2758">
        <w:t>, Part 2.3 (see section 113, Public Sector Management Standards 2016).</w:t>
      </w:r>
    </w:p>
    <w:p w14:paraId="2F5D5805" w14:textId="0FD6B0CC" w:rsidR="00E1785A" w:rsidRPr="00BB2758" w:rsidRDefault="00E1785A" w:rsidP="00CF17D1">
      <w:r w:rsidRPr="00BB2758">
        <w:t xml:space="preserve">Section 13 of the </w:t>
      </w:r>
      <w:r w:rsidRPr="00BB2758">
        <w:rPr>
          <w:i/>
        </w:rPr>
        <w:t xml:space="preserve">Annual Reports </w:t>
      </w:r>
      <w:r w:rsidRPr="00BB2758">
        <w:rPr>
          <w:i/>
          <w:iCs/>
        </w:rPr>
        <w:t xml:space="preserve">(Government Agencies) </w:t>
      </w:r>
      <w:r w:rsidRPr="00BB2758">
        <w:rPr>
          <w:i/>
        </w:rPr>
        <w:t xml:space="preserve">Act </w:t>
      </w:r>
      <w:r w:rsidRPr="00BB2758">
        <w:rPr>
          <w:i/>
          <w:iCs/>
        </w:rPr>
        <w:t>2004</w:t>
      </w:r>
      <w:r w:rsidRPr="00BB2758">
        <w:t> requires that you present the Report to the Legislative Assembly within 15 weeks after the end of the reporting year.</w:t>
      </w:r>
    </w:p>
    <w:p w14:paraId="417731D7" w14:textId="4C5291FC" w:rsidR="00911DD0" w:rsidRPr="00BB2758" w:rsidRDefault="00E1785A" w:rsidP="0001749A">
      <w:pPr>
        <w:spacing w:before="240"/>
      </w:pPr>
      <w:r w:rsidRPr="00BB2758">
        <w:t>Yours sincerely</w:t>
      </w:r>
      <w:r w:rsidR="005B5AC9" w:rsidRPr="00BB2758">
        <w:t xml:space="preserve">   </w:t>
      </w:r>
    </w:p>
    <w:p w14:paraId="6C036729" w14:textId="144065D8" w:rsidR="00E1785A" w:rsidRPr="00BB2758" w:rsidRDefault="005B5AC9" w:rsidP="006E0242">
      <w:r w:rsidRPr="00BB2758">
        <w:t xml:space="preserve"> </w:t>
      </w:r>
    </w:p>
    <w:p w14:paraId="7348401B" w14:textId="66805C58" w:rsidR="00E1785A" w:rsidRPr="00BB2758" w:rsidRDefault="00E1785A" w:rsidP="006E0242">
      <w:r w:rsidRPr="00BB2758">
        <w:rPr>
          <w:noProof/>
        </w:rPr>
        <mc:AlternateContent>
          <mc:Choice Requires="wps">
            <w:drawing>
              <wp:anchor distT="0" distB="0" distL="114300" distR="114300" simplePos="0" relativeHeight="251658244" behindDoc="0" locked="0" layoutInCell="1" allowOverlap="1" wp14:anchorId="285F36F8" wp14:editId="35AB00DA">
                <wp:simplePos x="0" y="0"/>
                <wp:positionH relativeFrom="column">
                  <wp:posOffset>-72390</wp:posOffset>
                </wp:positionH>
                <wp:positionV relativeFrom="paragraph">
                  <wp:posOffset>275590</wp:posOffset>
                </wp:positionV>
                <wp:extent cx="2218055" cy="933450"/>
                <wp:effectExtent l="0" t="0" r="0" b="0"/>
                <wp:wrapNone/>
                <wp:docPr id="2002618100" name="Text Box 20026181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218055" cy="933450"/>
                        </a:xfrm>
                        <a:prstGeom prst="rect">
                          <a:avLst/>
                        </a:prstGeom>
                        <a:noFill/>
                        <a:ln w="6350">
                          <a:noFill/>
                        </a:ln>
                        <a:effectLst/>
                      </wps:spPr>
                      <wps:txbx>
                        <w:txbxContent>
                          <w:p w14:paraId="1462CA5A" w14:textId="429142FB" w:rsidR="00E1785A" w:rsidRPr="00026DEF" w:rsidRDefault="00DB3457" w:rsidP="00376D7A">
                            <w:pPr>
                              <w:spacing w:after="0"/>
                            </w:pPr>
                            <w:r>
                              <w:t>Justine Ross</w:t>
                            </w:r>
                          </w:p>
                          <w:p w14:paraId="2CF98C2E" w14:textId="77777777" w:rsidR="00E1785A" w:rsidRPr="00026DEF" w:rsidRDefault="00E1785A" w:rsidP="00376D7A">
                            <w:pPr>
                              <w:spacing w:after="0"/>
                            </w:pPr>
                            <w:r w:rsidRPr="00026DEF">
                              <w:t>Chair</w:t>
                            </w:r>
                          </w:p>
                          <w:p w14:paraId="7C837E00" w14:textId="09543812" w:rsidR="00E1785A" w:rsidRPr="00026DEF" w:rsidRDefault="00AC0B58" w:rsidP="00376D7A">
                            <w:pPr>
                              <w:spacing w:after="0"/>
                            </w:pPr>
                            <w:r>
                              <w:t>22</w:t>
                            </w:r>
                            <w:r w:rsidR="002363C6">
                              <w:t xml:space="preserve"> </w:t>
                            </w:r>
                            <w:r w:rsidR="00E1785A" w:rsidRPr="00026DEF">
                              <w:t>September 202</w:t>
                            </w:r>
                            <w:r w:rsidR="00376D7A">
                              <w:t>6</w:t>
                            </w:r>
                          </w:p>
                          <w:p w14:paraId="2399CFFE" w14:textId="77777777" w:rsidR="00E1785A" w:rsidRDefault="00E1785A" w:rsidP="00CF1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5F36F8" id="_x0000_t202" coordsize="21600,21600" o:spt="202" path="m,l,21600r21600,l21600,xe">
                <v:stroke joinstyle="miter"/>
                <v:path gradientshapeok="t" o:connecttype="rect"/>
              </v:shapetype>
              <v:shape id="Text Box 2002618100" o:spid="_x0000_s1026" type="#_x0000_t202" alt="&quot;&quot;" style="position:absolute;margin-left:-5.7pt;margin-top:21.7pt;width:174.65pt;height:73.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" filled="f" stroked="f" strokeweight=".5pt">
                <v:textbox>
                  <w:txbxContent>
                    <w:p w14:paraId="1462CA5A" w14:textId="429142FB" w:rsidR="00E1785A" w:rsidRPr="00026DEF" w:rsidRDefault="00DB3457" w:rsidP="00376D7A">
                      <w:pPr>
                        <w:spacing w:after="0"/>
                      </w:pPr>
                      <w:r>
                        <w:t>Justine Ross</w:t>
                      </w:r>
                    </w:p>
                    <w:p w14:paraId="2CF98C2E" w14:textId="77777777" w:rsidR="00E1785A" w:rsidRPr="00026DEF" w:rsidRDefault="00E1785A" w:rsidP="00376D7A">
                      <w:pPr>
                        <w:spacing w:after="0"/>
                      </w:pPr>
                      <w:r w:rsidRPr="00026DEF">
                        <w:t>Chair</w:t>
                      </w:r>
                    </w:p>
                    <w:p w14:paraId="7C837E00" w14:textId="09543812" w:rsidR="00E1785A" w:rsidRPr="00026DEF" w:rsidRDefault="00AC0B58" w:rsidP="00376D7A">
                      <w:pPr>
                        <w:spacing w:after="0"/>
                      </w:pPr>
                      <w:r>
                        <w:t>22</w:t>
                      </w:r>
                      <w:r w:rsidR="002363C6">
                        <w:t xml:space="preserve"> </w:t>
                      </w:r>
                      <w:r w:rsidR="00E1785A" w:rsidRPr="00026DEF">
                        <w:t>September 202</w:t>
                      </w:r>
                      <w:r w:rsidR="00376D7A">
                        <w:t>6</w:t>
                      </w:r>
                    </w:p>
                    <w:p w14:paraId="2399CFFE" w14:textId="77777777" w:rsidR="00E1785A" w:rsidRDefault="00E1785A" w:rsidP="00CF17D1"/>
                  </w:txbxContent>
                </v:textbox>
              </v:shape>
            </w:pict>
          </mc:Fallback>
        </mc:AlternateContent>
      </w:r>
    </w:p>
    <w:p w14:paraId="35D036F5" w14:textId="6B77ADC2" w:rsidR="00E1785A" w:rsidRPr="00BB2758" w:rsidRDefault="00353BD5" w:rsidP="006E0242">
      <w:r w:rsidRPr="00BB2758">
        <w:rPr>
          <w:noProof/>
        </w:rPr>
        <mc:AlternateContent>
          <mc:Choice Requires="wps">
            <w:drawing>
              <wp:anchor distT="0" distB="0" distL="114300" distR="114300" simplePos="0" relativeHeight="251658243" behindDoc="0" locked="0" layoutInCell="1" allowOverlap="1" wp14:anchorId="2E5C374B" wp14:editId="038C8969">
                <wp:simplePos x="0" y="0"/>
                <wp:positionH relativeFrom="column">
                  <wp:posOffset>3318510</wp:posOffset>
                </wp:positionH>
                <wp:positionV relativeFrom="paragraph">
                  <wp:posOffset>21590</wp:posOffset>
                </wp:positionV>
                <wp:extent cx="2218055" cy="1419225"/>
                <wp:effectExtent l="0" t="0" r="0" b="0"/>
                <wp:wrapNone/>
                <wp:docPr id="1684095593" name="Text Box 16840955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218055" cy="1419225"/>
                        </a:xfrm>
                        <a:prstGeom prst="rect">
                          <a:avLst/>
                        </a:prstGeom>
                        <a:noFill/>
                        <a:ln w="6350">
                          <a:noFill/>
                        </a:ln>
                        <a:effectLst/>
                      </wps:spPr>
                      <wps:txbx>
                        <w:txbxContent>
                          <w:p w14:paraId="14440CBD" w14:textId="77777777" w:rsidR="005D1FE4" w:rsidRDefault="002363C6" w:rsidP="00376D7A">
                            <w:pPr>
                              <w:spacing w:after="0"/>
                            </w:pPr>
                            <w:r>
                              <w:t>Cassandra Webeck</w:t>
                            </w:r>
                          </w:p>
                          <w:p w14:paraId="33AA6650" w14:textId="77777777" w:rsidR="00E1785A" w:rsidRPr="00026DEF" w:rsidRDefault="00E1785A" w:rsidP="00376D7A">
                            <w:pPr>
                              <w:spacing w:after="0"/>
                            </w:pPr>
                            <w:r w:rsidRPr="00026DEF">
                              <w:t>Chief Executive Officer</w:t>
                            </w:r>
                          </w:p>
                          <w:p w14:paraId="2B23EAF9" w14:textId="6643161A" w:rsidR="00E1785A" w:rsidRPr="00026DEF" w:rsidRDefault="00AC0B58" w:rsidP="00376D7A">
                            <w:pPr>
                              <w:spacing w:after="0"/>
                            </w:pPr>
                            <w:r>
                              <w:t>22</w:t>
                            </w:r>
                            <w:r w:rsidR="00353BD5">
                              <w:t xml:space="preserve"> </w:t>
                            </w:r>
                            <w:r w:rsidR="00E1785A" w:rsidRPr="00026DEF">
                              <w:t>September 202</w:t>
                            </w:r>
                            <w:r w:rsidR="00376D7A">
                              <w:t>6</w:t>
                            </w:r>
                          </w:p>
                          <w:p w14:paraId="18DB9EAD" w14:textId="77777777" w:rsidR="00E1785A" w:rsidRDefault="00E1785A" w:rsidP="006E02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5C374B" id="Text Box 1684095593" o:spid="_x0000_s1027" type="#_x0000_t202" alt="&quot;&quot;" style="position:absolute;margin-left:261.3pt;margin-top:1.7pt;width:174.65pt;height:111.7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" filled="f" stroked="f" strokeweight=".5pt">
                <v:textbox>
                  <w:txbxContent>
                    <w:p w14:paraId="14440CBD" w14:textId="77777777" w:rsidR="005D1FE4" w:rsidRDefault="002363C6" w:rsidP="00376D7A">
                      <w:pPr>
                        <w:spacing w:after="0"/>
                      </w:pPr>
                      <w:r>
                        <w:t>Cassandra Webeck</w:t>
                      </w:r>
                    </w:p>
                    <w:p w14:paraId="33AA6650" w14:textId="77777777" w:rsidR="00E1785A" w:rsidRPr="00026DEF" w:rsidRDefault="00E1785A" w:rsidP="00376D7A">
                      <w:pPr>
                        <w:spacing w:after="0"/>
                      </w:pPr>
                      <w:r w:rsidRPr="00026DEF">
                        <w:t>Chief Executive Officer</w:t>
                      </w:r>
                    </w:p>
                    <w:p w14:paraId="2B23EAF9" w14:textId="6643161A" w:rsidR="00E1785A" w:rsidRPr="00026DEF" w:rsidRDefault="00AC0B58" w:rsidP="00376D7A">
                      <w:pPr>
                        <w:spacing w:after="0"/>
                      </w:pPr>
                      <w:r>
                        <w:t>22</w:t>
                      </w:r>
                      <w:r w:rsidR="00353BD5">
                        <w:t xml:space="preserve"> </w:t>
                      </w:r>
                      <w:r w:rsidR="00E1785A" w:rsidRPr="00026DEF">
                        <w:t>September 202</w:t>
                      </w:r>
                      <w:r w:rsidR="00376D7A">
                        <w:t>6</w:t>
                      </w:r>
                    </w:p>
                    <w:p w14:paraId="18DB9EAD" w14:textId="77777777" w:rsidR="00E1785A" w:rsidRDefault="00E1785A" w:rsidP="006E0242"/>
                  </w:txbxContent>
                </v:textbox>
              </v:shape>
            </w:pict>
          </mc:Fallback>
        </mc:AlternateContent>
      </w:r>
    </w:p>
    <w:p w14:paraId="0FD92541" w14:textId="6951D606" w:rsidR="00E1785A" w:rsidRPr="00BB2758" w:rsidRDefault="00840B61" w:rsidP="006E0242">
      <w:r>
        <w:rPr>
          <w:noProof/>
        </w:rPr>
        <w:drawing>
          <wp:anchor distT="0" distB="0" distL="114300" distR="114300" simplePos="0" relativeHeight="251658252" behindDoc="0" locked="0" layoutInCell="1" allowOverlap="1" wp14:anchorId="0E9DFBFA" wp14:editId="04C6A221">
            <wp:simplePos x="0" y="0"/>
            <wp:positionH relativeFrom="column">
              <wp:posOffset>-1210310</wp:posOffset>
            </wp:positionH>
            <wp:positionV relativeFrom="paragraph">
              <wp:posOffset>268443</wp:posOffset>
            </wp:positionV>
            <wp:extent cx="8812530" cy="2477770"/>
            <wp:effectExtent l="0" t="0" r="0" b="0"/>
            <wp:wrapNone/>
            <wp:docPr id="659633858" name="Picture 24" descr="Decorative green graphic element featuring the ACT Leave dynamic track swirl design. The image is used for branding and visual design purposes only and does not convey information essential to understanding the content of the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633858" name="Picture 24" descr="Decorative green graphic element featuring the ACT Leave dynamic track swirl design. The image is used for branding and visual design purposes only and does not convey information essential to understanding the content of the report."/>
                    <pic:cNvPicPr/>
                  </pic:nvPicPr>
                  <pic:blipFill>
                    <a:blip r:embed="rId30"/>
                    <a:stretch>
                      <a:fillRect/>
                    </a:stretch>
                  </pic:blipFill>
                  <pic:spPr>
                    <a:xfrm>
                      <a:off x="0" y="0"/>
                      <a:ext cx="8812530" cy="2477770"/>
                    </a:xfrm>
                    <a:prstGeom prst="rect">
                      <a:avLst/>
                    </a:prstGeom>
                  </pic:spPr>
                </pic:pic>
              </a:graphicData>
            </a:graphic>
            <wp14:sizeRelH relativeFrom="margin">
              <wp14:pctWidth>0</wp14:pctWidth>
            </wp14:sizeRelH>
            <wp14:sizeRelV relativeFrom="margin">
              <wp14:pctHeight>0</wp14:pctHeight>
            </wp14:sizeRelV>
          </wp:anchor>
        </w:drawing>
      </w:r>
    </w:p>
    <w:p w14:paraId="00AD9E3C" w14:textId="57606F7C" w:rsidR="009E4687" w:rsidRPr="00BB2758" w:rsidRDefault="009E4687" w:rsidP="006E0242"/>
    <w:p w14:paraId="1F9C019F" w14:textId="6D8A3228" w:rsidR="009E4687" w:rsidRPr="00BB2758" w:rsidRDefault="009E4687" w:rsidP="006E0242"/>
    <w:p w14:paraId="3B380FAC" w14:textId="00136760" w:rsidR="00312DE4" w:rsidRPr="00BB2758" w:rsidRDefault="00312DE4" w:rsidP="006E0242"/>
    <w:p w14:paraId="45011F75" w14:textId="327F4263" w:rsidR="00312DE4" w:rsidRPr="00BB2758" w:rsidRDefault="00312DE4" w:rsidP="006E0242"/>
    <w:p w14:paraId="193D809C" w14:textId="3F9822D4" w:rsidR="00312DE4" w:rsidRPr="00BB2758" w:rsidRDefault="00911DD0" w:rsidP="006E0242">
      <w:r w:rsidRPr="00BB2758">
        <w:rPr>
          <w:noProof/>
        </w:rPr>
        <mc:AlternateContent>
          <mc:Choice Requires="wps">
            <w:drawing>
              <wp:anchor distT="0" distB="0" distL="114300" distR="114300" simplePos="0" relativeHeight="251658240" behindDoc="0" locked="0" layoutInCell="1" allowOverlap="1" wp14:anchorId="04AACBC6" wp14:editId="37F374C4">
                <wp:simplePos x="0" y="0"/>
                <wp:positionH relativeFrom="column">
                  <wp:posOffset>-1215390</wp:posOffset>
                </wp:positionH>
                <wp:positionV relativeFrom="paragraph">
                  <wp:posOffset>316230</wp:posOffset>
                </wp:positionV>
                <wp:extent cx="8629650" cy="1733550"/>
                <wp:effectExtent l="0" t="0" r="19050" b="19050"/>
                <wp:wrapNone/>
                <wp:docPr id="1662950154"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629650" cy="17335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6="http://schemas.microsoft.com/office/drawing/2014/main" xmlns:a14="http://schemas.microsoft.com/office/drawing/2010/main" xmlns:adec="http://schemas.microsoft.com/office/drawing/2017/decorative" xmlns:c="http://schemas.openxmlformats.org/drawingml/2006/chart" xmlns:arto="http://schemas.microsoft.com/office/word/2006/arto" xmlns:w16cei="http://schemas.microsoft.com/office/word/2026/wordml/cei">
            <w:pict w14:anchorId="282CC525">
              <v:rect id="Rectangle 12" style="position:absolute;margin-left:-95.7pt;margin-top:24.9pt;width:679.5pt;height:136.5pt;z-index:25165824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26" fillcolor="white [3212]" strokecolor="white [3212]" strokeweight="1pt" w14:anchorId="6817BF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"/>
            </w:pict>
          </mc:Fallback>
        </mc:AlternateContent>
      </w:r>
    </w:p>
    <w:p w14:paraId="0E53606C" w14:textId="4A7CFC9A" w:rsidR="00312DE4" w:rsidRPr="00BB2758" w:rsidRDefault="00840B61" w:rsidP="006E0242">
      <w:r w:rsidRPr="00BB2758">
        <w:rPr>
          <w:noProof/>
        </w:rPr>
        <mc:AlternateContent>
          <mc:Choice Requires="wps">
            <w:drawing>
              <wp:anchor distT="45720" distB="45720" distL="114300" distR="114300" simplePos="0" relativeHeight="251658245" behindDoc="0" locked="0" layoutInCell="1" allowOverlap="1" wp14:anchorId="77C11E9C" wp14:editId="1BA8CF33">
                <wp:simplePos x="0" y="0"/>
                <wp:positionH relativeFrom="column">
                  <wp:posOffset>-71755</wp:posOffset>
                </wp:positionH>
                <wp:positionV relativeFrom="paragraph">
                  <wp:posOffset>190027</wp:posOffset>
                </wp:positionV>
                <wp:extent cx="2609850" cy="1404620"/>
                <wp:effectExtent l="0" t="0" r="0" b="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404620"/>
                        </a:xfrm>
                        <a:prstGeom prst="rect">
                          <a:avLst/>
                        </a:prstGeom>
                        <a:noFill/>
                        <a:ln w="9525">
                          <a:noFill/>
                          <a:miter lim="800000"/>
                          <a:headEnd/>
                          <a:tailEnd/>
                        </a:ln>
                      </wps:spPr>
                      <wps:txbx>
                        <w:txbxContent>
                          <w:p w14:paraId="614B4D54" w14:textId="5D7EEF75" w:rsidR="008D44EC" w:rsidRPr="00A87B9B" w:rsidRDefault="008D44EC" w:rsidP="005D03EB">
                            <w:pPr>
                              <w:spacing w:after="0" w:line="200" w:lineRule="atLeast"/>
                              <w:rPr>
                                <w:sz w:val="16"/>
                                <w:szCs w:val="16"/>
                              </w:rPr>
                            </w:pPr>
                            <w:r w:rsidRPr="00A87B9B">
                              <w:rPr>
                                <w:sz w:val="16"/>
                                <w:szCs w:val="16"/>
                              </w:rPr>
                              <w:t xml:space="preserve">Address: Trevor Pearcey House, </w:t>
                            </w:r>
                            <w:r w:rsidRPr="00A87B9B">
                              <w:rPr>
                                <w:sz w:val="16"/>
                                <w:szCs w:val="16"/>
                              </w:rPr>
                              <w:br/>
                              <w:t>Unit 1/28 Thynne Street, Bruce ACT 2617</w:t>
                            </w:r>
                          </w:p>
                          <w:p w14:paraId="20E26FA7" w14:textId="77777777" w:rsidR="008D44EC" w:rsidRPr="00A87B9B" w:rsidRDefault="008D44EC" w:rsidP="005D03EB">
                            <w:pPr>
                              <w:spacing w:after="0" w:line="200" w:lineRule="atLeast"/>
                              <w:rPr>
                                <w:sz w:val="16"/>
                                <w:szCs w:val="16"/>
                              </w:rPr>
                            </w:pPr>
                            <w:r w:rsidRPr="00A87B9B">
                              <w:rPr>
                                <w:sz w:val="16"/>
                                <w:szCs w:val="16"/>
                              </w:rPr>
                              <w:t>Phone: 02 6247 3900</w:t>
                            </w:r>
                          </w:p>
                          <w:p w14:paraId="29E20EDE" w14:textId="77777777" w:rsidR="008D44EC" w:rsidRPr="00A87B9B" w:rsidRDefault="008D44EC" w:rsidP="005D03EB">
                            <w:pPr>
                              <w:spacing w:after="0" w:line="200" w:lineRule="atLeast"/>
                              <w:rPr>
                                <w:rFonts w:ascii="Arial" w:hAnsi="Arial" w:cs="Arial"/>
                                <w:sz w:val="16"/>
                                <w:szCs w:val="16"/>
                              </w:rPr>
                            </w:pPr>
                            <w:r w:rsidRPr="00A87B9B">
                              <w:rPr>
                                <w:rFonts w:ascii="Arial" w:hAnsi="Arial" w:cs="Arial"/>
                                <w:sz w:val="16"/>
                                <w:szCs w:val="16"/>
                              </w:rPr>
                              <w:t xml:space="preserve">Email: </w:t>
                            </w:r>
                            <w:hyperlink r:id="rId31" w:history="1">
                              <w:r w:rsidRPr="00A87B9B">
                                <w:rPr>
                                  <w:rStyle w:val="Hyperlink"/>
                                  <w:rFonts w:ascii="Arial" w:hAnsi="Arial" w:cs="Arial"/>
                                  <w:color w:val="000000" w:themeColor="text1"/>
                                  <w:sz w:val="16"/>
                                  <w:szCs w:val="16"/>
                                </w:rPr>
                                <w:t>enquiry@actleave.act.gov.au</w:t>
                              </w:r>
                            </w:hyperlink>
                          </w:p>
                          <w:p w14:paraId="60613323" w14:textId="423F94E6" w:rsidR="008D44EC" w:rsidRPr="00A87B9B" w:rsidRDefault="008D44EC" w:rsidP="005D03EB">
                            <w:pPr>
                              <w:spacing w:after="0" w:line="200" w:lineRule="atLeast"/>
                              <w:rPr>
                                <w:sz w:val="16"/>
                                <w:szCs w:val="16"/>
                              </w:rPr>
                            </w:pPr>
                            <w:r w:rsidRPr="00A87B9B">
                              <w:rPr>
                                <w:sz w:val="16"/>
                                <w:szCs w:val="16"/>
                              </w:rPr>
                              <w:t>Web: www.actleave.act.gov.au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C11E9C" id="Text Box 2" o:spid="_x0000_s1028" type="#_x0000_t202" alt="&quot;&quot;" style="position:absolute;margin-left:-5.65pt;margin-top:14.95pt;width:205.5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" filled="f" stroked="f">
                <v:textbox style="mso-fit-shape-to-text:t">
                  <w:txbxContent>
                    <w:p w14:paraId="614B4D54" w14:textId="5D7EEF75" w:rsidR="008D44EC" w:rsidRPr="00A87B9B" w:rsidRDefault="008D44EC" w:rsidP="005D03EB">
                      <w:pPr>
                        <w:spacing w:after="0" w:line="200" w:lineRule="atLeast"/>
                        <w:rPr>
                          <w:sz w:val="16"/>
                          <w:szCs w:val="16"/>
                        </w:rPr>
                      </w:pPr>
                      <w:r w:rsidRPr="00A87B9B">
                        <w:rPr>
                          <w:sz w:val="16"/>
                          <w:szCs w:val="16"/>
                        </w:rPr>
                        <w:t xml:space="preserve">Address: Trevor Pearcey House, </w:t>
                      </w:r>
                      <w:r w:rsidRPr="00A87B9B">
                        <w:rPr>
                          <w:sz w:val="16"/>
                          <w:szCs w:val="16"/>
                        </w:rPr>
                        <w:br/>
                        <w:t>Unit 1/28 Thynne Street, Bruce ACT 2617</w:t>
                      </w:r>
                    </w:p>
                    <w:p w14:paraId="20E26FA7" w14:textId="77777777" w:rsidR="008D44EC" w:rsidRPr="00A87B9B" w:rsidRDefault="008D44EC" w:rsidP="005D03EB">
                      <w:pPr>
                        <w:spacing w:after="0" w:line="200" w:lineRule="atLeast"/>
                        <w:rPr>
                          <w:sz w:val="16"/>
                          <w:szCs w:val="16"/>
                        </w:rPr>
                      </w:pPr>
                      <w:r w:rsidRPr="00A87B9B">
                        <w:rPr>
                          <w:sz w:val="16"/>
                          <w:szCs w:val="16"/>
                        </w:rPr>
                        <w:t>Phone: 02 6247 3900</w:t>
                      </w:r>
                    </w:p>
                    <w:p w14:paraId="29E20EDE" w14:textId="77777777" w:rsidR="008D44EC" w:rsidRPr="00A87B9B" w:rsidRDefault="008D44EC" w:rsidP="005D03EB">
                      <w:pPr>
                        <w:spacing w:after="0" w:line="200" w:lineRule="atLeast"/>
                        <w:rPr>
                          <w:rFonts w:ascii="Arial" w:hAnsi="Arial" w:cs="Arial"/>
                          <w:sz w:val="16"/>
                          <w:szCs w:val="16"/>
                        </w:rPr>
                      </w:pPr>
                      <w:r w:rsidRPr="00A87B9B">
                        <w:rPr>
                          <w:rFonts w:ascii="Arial" w:hAnsi="Arial" w:cs="Arial"/>
                          <w:sz w:val="16"/>
                          <w:szCs w:val="16"/>
                        </w:rPr>
                        <w:t xml:space="preserve">Email: </w:t>
                      </w:r>
                      <w:hyperlink r:id="rId32" w:history="1">
                        <w:r w:rsidRPr="00A87B9B">
                          <w:rPr>
                            <w:rStyle w:val="Hyperlink"/>
                            <w:rFonts w:ascii="Arial" w:hAnsi="Arial" w:cs="Arial"/>
                            <w:color w:val="000000" w:themeColor="text1"/>
                            <w:sz w:val="16"/>
                            <w:szCs w:val="16"/>
                          </w:rPr>
                          <w:t>enquiry@actleave.act.gov.au</w:t>
                        </w:r>
                      </w:hyperlink>
                    </w:p>
                    <w:p w14:paraId="60613323" w14:textId="423F94E6" w:rsidR="008D44EC" w:rsidRPr="00A87B9B" w:rsidRDefault="008D44EC" w:rsidP="005D03EB">
                      <w:pPr>
                        <w:spacing w:after="0" w:line="200" w:lineRule="atLeast"/>
                        <w:rPr>
                          <w:sz w:val="16"/>
                          <w:szCs w:val="16"/>
                        </w:rPr>
                      </w:pPr>
                      <w:r w:rsidRPr="00A87B9B">
                        <w:rPr>
                          <w:sz w:val="16"/>
                          <w:szCs w:val="16"/>
                        </w:rPr>
                        <w:t>Web: www.actleave.act.gov.au</w:t>
                      </w:r>
                    </w:p>
                  </w:txbxContent>
                </v:textbox>
              </v:shape>
            </w:pict>
          </mc:Fallback>
        </mc:AlternateContent>
      </w:r>
    </w:p>
    <w:p w14:paraId="7B4E4922" w14:textId="001A5CC1" w:rsidR="00E71DE7" w:rsidRPr="00BB2758" w:rsidRDefault="00E71DE7" w:rsidP="006E0242">
      <w:pPr>
        <w:pStyle w:val="Heading2"/>
      </w:pPr>
      <w:bookmarkStart w:id="13" w:name="_Toc240533484"/>
      <w:r w:rsidRPr="00BB2758">
        <w:lastRenderedPageBreak/>
        <w:t xml:space="preserve">Compliance </w:t>
      </w:r>
      <w:r w:rsidR="00BD25BA" w:rsidRPr="00BB2758">
        <w:t>S</w:t>
      </w:r>
      <w:r w:rsidRPr="00BB2758">
        <w:t>tatement</w:t>
      </w:r>
      <w:bookmarkEnd w:id="13"/>
    </w:p>
    <w:p w14:paraId="0558A6B3" w14:textId="286DB3CA" w:rsidR="00E71DE7" w:rsidRPr="00BB2758" w:rsidRDefault="00E71DE7" w:rsidP="006E0242">
      <w:r w:rsidRPr="00BB2758">
        <w:t xml:space="preserve">The </w:t>
      </w:r>
      <w:r w:rsidR="000F3C03">
        <w:t>2025-26</w:t>
      </w:r>
      <w:r w:rsidRPr="00BB2758">
        <w:t xml:space="preserve"> Long Service Leave Authority Annual Report must comply with the Annual Report Directions (the Directions) made under section 8 of the </w:t>
      </w:r>
      <w:r w:rsidRPr="00BB2758">
        <w:rPr>
          <w:i/>
        </w:rPr>
        <w:t xml:space="preserve">Annual Reports </w:t>
      </w:r>
      <w:r w:rsidR="005854ED" w:rsidRPr="00BB2758">
        <w:rPr>
          <w:i/>
        </w:rPr>
        <w:t>(</w:t>
      </w:r>
      <w:r w:rsidR="007F6B55" w:rsidRPr="00BB2758">
        <w:rPr>
          <w:i/>
        </w:rPr>
        <w:t xml:space="preserve">Government Agencies) </w:t>
      </w:r>
      <w:r w:rsidRPr="00BB2758">
        <w:rPr>
          <w:i/>
        </w:rPr>
        <w:t>Act</w:t>
      </w:r>
      <w:r w:rsidR="007F6B55" w:rsidRPr="00BB2758">
        <w:rPr>
          <w:i/>
        </w:rPr>
        <w:t xml:space="preserve"> 2004</w:t>
      </w:r>
      <w:r w:rsidRPr="00BB2758">
        <w:t>. The Directions are found at the ACT Legislation Register: </w:t>
      </w:r>
      <w:hyperlink r:id="rId33" w:history="1">
        <w:r w:rsidRPr="00BB2758">
          <w:rPr>
            <w:rStyle w:val="Hyperlink"/>
            <w:rFonts w:ascii="Arial" w:hAnsi="Arial" w:cs="Arial"/>
            <w:color w:val="081DA4" w:themeColor="accent1"/>
          </w:rPr>
          <w:t>www.legislation.act.gov.au</w:t>
        </w:r>
      </w:hyperlink>
      <w:r w:rsidRPr="00BB2758">
        <w:rPr>
          <w:color w:val="081DA4" w:themeColor="accent1"/>
        </w:rPr>
        <w:t>.</w:t>
      </w:r>
    </w:p>
    <w:p w14:paraId="34FFD28E" w14:textId="77777777" w:rsidR="00E71DE7" w:rsidRPr="00BB2758" w:rsidRDefault="00E71DE7" w:rsidP="006E0242">
      <w:r w:rsidRPr="00BB2758">
        <w:t>The Compliance Statement indicates the subsections, under Parts 1 to 5 of the Directions, that are applicable to the Long Service Leave Authority (ACT Leave) and the location of information that satisfies these requirements:</w:t>
      </w:r>
    </w:p>
    <w:p w14:paraId="553D6DE6" w14:textId="77777777" w:rsidR="00E71DE7" w:rsidRPr="00BB2758" w:rsidRDefault="00E71DE7" w:rsidP="00411C87">
      <w:pPr>
        <w:pStyle w:val="Heading3"/>
        <w:rPr>
          <w:rFonts w:cs="Arial"/>
          <w:lang w:eastAsia="en-AU"/>
        </w:rPr>
      </w:pPr>
      <w:r w:rsidRPr="00BB2758">
        <w:rPr>
          <w:rFonts w:cs="Arial"/>
        </w:rPr>
        <w:t xml:space="preserve">Part </w:t>
      </w:r>
      <w:r w:rsidRPr="00BB2758">
        <w:rPr>
          <w:rFonts w:cs="Arial"/>
          <w:lang w:eastAsia="en-AU"/>
        </w:rPr>
        <w:t>1 Directions overview</w:t>
      </w:r>
    </w:p>
    <w:p w14:paraId="30ADE201" w14:textId="23CE21FE" w:rsidR="00E71DE7" w:rsidRPr="00F828A9" w:rsidRDefault="00E71DE7" w:rsidP="006E0242">
      <w:r w:rsidRPr="00F828A9">
        <w:t xml:space="preserve">The requirements under Part 1 of the Directions relate to the purpose, timing and distribution, and records keeping of annual reports. The </w:t>
      </w:r>
      <w:r w:rsidR="000F3C03">
        <w:t>2025-26</w:t>
      </w:r>
      <w:r w:rsidRPr="004C7C9B">
        <w:t xml:space="preserve"> Long Service Leave Authority</w:t>
      </w:r>
      <w:r w:rsidRPr="00F828A9">
        <w:t xml:space="preserve"> </w:t>
      </w:r>
      <w:r w:rsidRPr="004C7C9B">
        <w:t xml:space="preserve">Annual Report </w:t>
      </w:r>
      <w:r w:rsidRPr="00F828A9">
        <w:t>complies with all subsections of Part 1 under the Directions.</w:t>
      </w:r>
      <w:r>
        <w:t xml:space="preserve"> </w:t>
      </w:r>
    </w:p>
    <w:p w14:paraId="19C404DA" w14:textId="70C9CB85" w:rsidR="00E71DE7" w:rsidRPr="00BB2758" w:rsidRDefault="00E71DE7" w:rsidP="006E0242">
      <w:r w:rsidRPr="00BB2758">
        <w:t xml:space="preserve">To meet Section 15 Feedback, Part 1 of the Directions, contact details for ACT Leave are provided within the </w:t>
      </w:r>
      <w:r w:rsidR="000F3C03">
        <w:t>2025-26</w:t>
      </w:r>
      <w:r w:rsidRPr="00BB2758">
        <w:t xml:space="preserve"> Long Service Leave Authority Annual Report to provide readers with the opportunity to provide feedback.</w:t>
      </w:r>
    </w:p>
    <w:p w14:paraId="0FFAD36C" w14:textId="77777777" w:rsidR="00E71DE7" w:rsidRPr="00BB2758" w:rsidRDefault="00E71DE7" w:rsidP="00411C87">
      <w:pPr>
        <w:pStyle w:val="Heading3"/>
        <w:rPr>
          <w:rFonts w:cs="Arial"/>
          <w:lang w:eastAsia="en-AU"/>
        </w:rPr>
      </w:pPr>
      <w:r w:rsidRPr="00BB2758">
        <w:rPr>
          <w:rFonts w:cs="Arial"/>
          <w:lang w:eastAsia="en-AU"/>
        </w:rPr>
        <w:t>Part 2 Reporting entity annual report requirements</w:t>
      </w:r>
    </w:p>
    <w:p w14:paraId="248DA0DD" w14:textId="5855D214" w:rsidR="00E71DE7" w:rsidRPr="005B0104" w:rsidRDefault="00E71DE7" w:rsidP="006E0242">
      <w:r w:rsidRPr="00BB2758">
        <w:t xml:space="preserve">The requirements within Part 2 of the Directions are mandatory for all reporting entities and ACT Leave complies with all subsections. The information that satisfies the requirements of Part 2 is found in the </w:t>
      </w:r>
      <w:r w:rsidR="000F3C03">
        <w:t>2025-26</w:t>
      </w:r>
      <w:r w:rsidRPr="00BB2758">
        <w:t xml:space="preserve"> Long Service L</w:t>
      </w:r>
      <w:r w:rsidRPr="005B0104">
        <w:t>eave Authority Annual Report as follows:</w:t>
      </w:r>
    </w:p>
    <w:p w14:paraId="686114D3" w14:textId="637A6E44" w:rsidR="00E71DE7" w:rsidRPr="005B0104" w:rsidRDefault="0079501A" w:rsidP="000A630C">
      <w:pPr>
        <w:pStyle w:val="ListBullet"/>
      </w:pPr>
      <w:r w:rsidRPr="005B0104">
        <w:t xml:space="preserve"> </w:t>
      </w:r>
      <w:r w:rsidR="00E71DE7" w:rsidRPr="005B0104">
        <w:t xml:space="preserve">Transmittal Certificate, see page </w:t>
      </w:r>
      <w:r w:rsidR="004D55FF" w:rsidRPr="005B0104">
        <w:t>8</w:t>
      </w:r>
    </w:p>
    <w:p w14:paraId="6F68DAFC" w14:textId="768D958E" w:rsidR="00E71DE7" w:rsidRPr="006A3C74" w:rsidRDefault="0079501A" w:rsidP="000A630C">
      <w:pPr>
        <w:pStyle w:val="ListBullet"/>
      </w:pPr>
      <w:r w:rsidRPr="00241552">
        <w:t xml:space="preserve"> </w:t>
      </w:r>
      <w:r w:rsidR="00E71DE7" w:rsidRPr="00241552">
        <w:t xml:space="preserve">Organisational Overview and Performance, inclusive of all subsections, see </w:t>
      </w:r>
      <w:r w:rsidR="00E71DE7" w:rsidRPr="006A3C74">
        <w:t xml:space="preserve">pages </w:t>
      </w:r>
      <w:r w:rsidR="004401E5" w:rsidRPr="006A3C74">
        <w:t>11</w:t>
      </w:r>
      <w:r w:rsidR="00E71DE7" w:rsidRPr="006A3C74">
        <w:t>-</w:t>
      </w:r>
      <w:r w:rsidR="004401E5" w:rsidRPr="006A3C74">
        <w:t>4</w:t>
      </w:r>
      <w:r w:rsidR="005B0104" w:rsidRPr="006A3C74">
        <w:t>6</w:t>
      </w:r>
    </w:p>
    <w:p w14:paraId="24A5EAD0" w14:textId="25A57E6C" w:rsidR="00E71DE7" w:rsidRPr="006A3C74" w:rsidRDefault="0079501A" w:rsidP="000A630C">
      <w:pPr>
        <w:pStyle w:val="ListBullet"/>
      </w:pPr>
      <w:r w:rsidRPr="006A3C74">
        <w:t xml:space="preserve"> </w:t>
      </w:r>
      <w:r w:rsidR="00E71DE7" w:rsidRPr="006A3C74">
        <w:t xml:space="preserve">Financial Management Reporting, inclusive of all subsections, see pages </w:t>
      </w:r>
      <w:r w:rsidR="004401E5" w:rsidRPr="006A3C74">
        <w:t>4</w:t>
      </w:r>
      <w:r w:rsidR="005B0104" w:rsidRPr="006A3C74">
        <w:t>7</w:t>
      </w:r>
      <w:r w:rsidR="00E71DE7" w:rsidRPr="006A3C74">
        <w:t>-1</w:t>
      </w:r>
      <w:r w:rsidR="004401E5" w:rsidRPr="006A3C74">
        <w:t>2</w:t>
      </w:r>
      <w:r w:rsidR="006A3C74" w:rsidRPr="006A3C74">
        <w:t>7</w:t>
      </w:r>
      <w:r w:rsidR="00E71DE7" w:rsidRPr="006A3C74">
        <w:t>.</w:t>
      </w:r>
    </w:p>
    <w:p w14:paraId="0C2DEB62" w14:textId="77777777" w:rsidR="00E71DE7" w:rsidRPr="00BB2758" w:rsidRDefault="00E71DE7" w:rsidP="00411C87">
      <w:pPr>
        <w:pStyle w:val="Heading3"/>
        <w:rPr>
          <w:rFonts w:cs="Arial"/>
          <w:lang w:eastAsia="en-AU"/>
        </w:rPr>
      </w:pPr>
      <w:r w:rsidRPr="00BB2758">
        <w:rPr>
          <w:rFonts w:cs="Arial"/>
          <w:lang w:eastAsia="en-AU"/>
        </w:rPr>
        <w:t>Part 3 Reporting by exception</w:t>
      </w:r>
    </w:p>
    <w:p w14:paraId="58ABBC75" w14:textId="3193DC0A" w:rsidR="00E71DE7" w:rsidRPr="00BB2758" w:rsidRDefault="00E71DE7" w:rsidP="006E0242">
      <w:r w:rsidRPr="00BB2758">
        <w:t xml:space="preserve">ACT Leave has nil information to report by exception under Part 3 of the Directions for the </w:t>
      </w:r>
      <w:r w:rsidR="000F3C03">
        <w:t>2025-26</w:t>
      </w:r>
      <w:r w:rsidRPr="00BB2758">
        <w:t xml:space="preserve"> reporting year.</w:t>
      </w:r>
    </w:p>
    <w:p w14:paraId="4F69B4A3" w14:textId="77777777" w:rsidR="00E71DE7" w:rsidRPr="00BB2758" w:rsidRDefault="00E71DE7" w:rsidP="00411C87">
      <w:pPr>
        <w:pStyle w:val="Heading3"/>
        <w:rPr>
          <w:rFonts w:cs="Arial"/>
          <w:lang w:eastAsia="en-AU"/>
        </w:rPr>
      </w:pPr>
      <w:r w:rsidRPr="00BB2758">
        <w:rPr>
          <w:rFonts w:cs="Arial"/>
          <w:lang w:eastAsia="en-AU"/>
        </w:rPr>
        <w:t>Part 4 Directorate and public sector body specific annual report requirements</w:t>
      </w:r>
    </w:p>
    <w:p w14:paraId="2543ACC7" w14:textId="49431952" w:rsidR="00E71DE7" w:rsidRPr="00BB2758" w:rsidRDefault="00E71DE7" w:rsidP="006E0242">
      <w:r w:rsidRPr="00BB2758">
        <w:t xml:space="preserve">ACT Leave has nil information to report by exception under Part 4 of the Directions for the </w:t>
      </w:r>
      <w:r w:rsidR="000F3C03">
        <w:t>2025-26</w:t>
      </w:r>
      <w:r w:rsidRPr="00BB2758">
        <w:t xml:space="preserve"> reporting year.</w:t>
      </w:r>
    </w:p>
    <w:p w14:paraId="304826C9" w14:textId="77777777" w:rsidR="00E71DE7" w:rsidRPr="00BB2758" w:rsidRDefault="00E71DE7" w:rsidP="00411C87">
      <w:pPr>
        <w:pStyle w:val="Heading3"/>
        <w:rPr>
          <w:rFonts w:cs="Arial"/>
          <w:lang w:eastAsia="en-AU"/>
        </w:rPr>
      </w:pPr>
      <w:r w:rsidRPr="00BB2758">
        <w:rPr>
          <w:rFonts w:cs="Arial"/>
          <w:lang w:eastAsia="en-AU"/>
        </w:rPr>
        <w:t>Part 5 Whole of Government annual reporting</w:t>
      </w:r>
    </w:p>
    <w:p w14:paraId="5B04B45A" w14:textId="77777777" w:rsidR="00E71DE7" w:rsidRPr="00BB2758" w:rsidRDefault="00E71DE7" w:rsidP="006E0242">
      <w:r w:rsidRPr="00BB2758">
        <w:t>All subsections of Part 5 of the Directions apply to ACT Leave. Consistent with the Directions, the information satisfying these requirements is reported in the one place for all ACT Public Service directorates, as follows:</w:t>
      </w:r>
    </w:p>
    <w:p w14:paraId="5E87B789" w14:textId="77777777" w:rsidR="00E71DE7" w:rsidRPr="00F828A9" w:rsidRDefault="00E71DE7" w:rsidP="000A630C">
      <w:pPr>
        <w:pStyle w:val="ListBullet"/>
      </w:pPr>
      <w:r w:rsidRPr="00F828A9">
        <w:t>Bushfire Risk Management, see the annual report of the Justice and Community Safety Directorate</w:t>
      </w:r>
    </w:p>
    <w:p w14:paraId="1798F09E" w14:textId="77777777" w:rsidR="00E71DE7" w:rsidRPr="00F828A9" w:rsidRDefault="00E71DE7" w:rsidP="000A630C">
      <w:pPr>
        <w:pStyle w:val="ListBullet"/>
      </w:pPr>
      <w:r w:rsidRPr="00F828A9">
        <w:t>Human Rights, see the annual report of the Justice and Community Safety Directorate</w:t>
      </w:r>
    </w:p>
    <w:p w14:paraId="61539BD0" w14:textId="77777777" w:rsidR="00E71DE7" w:rsidRPr="00F828A9" w:rsidRDefault="00E71DE7" w:rsidP="000A630C">
      <w:pPr>
        <w:pStyle w:val="ListBullet"/>
      </w:pPr>
      <w:r w:rsidRPr="00F828A9">
        <w:t>Legal Services Directions, see the annual report of the Justice and Community Safety Directorate</w:t>
      </w:r>
    </w:p>
    <w:p w14:paraId="5F8D602A" w14:textId="77777777" w:rsidR="00E71DE7" w:rsidRPr="00F828A9" w:rsidRDefault="00E71DE7" w:rsidP="000A630C">
      <w:pPr>
        <w:pStyle w:val="ListBullet"/>
      </w:pPr>
      <w:r w:rsidRPr="00F828A9">
        <w:t>Public Sector Standards and Workforce Profile, see the annual State of the Service Report</w:t>
      </w:r>
    </w:p>
    <w:p w14:paraId="4DAF10C9" w14:textId="77777777" w:rsidR="00E71DE7" w:rsidRPr="00F828A9" w:rsidRDefault="00E71DE7" w:rsidP="000A630C">
      <w:pPr>
        <w:pStyle w:val="ListBullet"/>
      </w:pPr>
      <w:r w:rsidRPr="00F828A9">
        <w:t>Territory Records, see the annual report of Chief Minister, Treasury and Economic, Development Directorate.</w:t>
      </w:r>
    </w:p>
    <w:p w14:paraId="5023CD94" w14:textId="77777777" w:rsidR="00E71DE7" w:rsidRPr="00BB2758" w:rsidRDefault="00E71DE7" w:rsidP="006E0242">
      <w:pPr>
        <w:rPr>
          <w:rFonts w:eastAsiaTheme="majorEastAsia"/>
          <w:b/>
          <w:color w:val="081DA4" w:themeColor="accent1"/>
          <w:spacing w:val="-4"/>
          <w:sz w:val="32"/>
          <w:szCs w:val="26"/>
        </w:rPr>
      </w:pPr>
      <w:r w:rsidRPr="00BB2758">
        <w:t xml:space="preserve">ACT Public Service Directorate annual reports are found at the following web address: </w:t>
      </w:r>
      <w:hyperlink r:id="rId34" w:history="1">
        <w:r w:rsidRPr="003A1720">
          <w:rPr>
            <w:rStyle w:val="Hyperlink"/>
            <w:rFonts w:ascii="Arial" w:hAnsi="Arial" w:cs="Arial"/>
            <w:color w:val="081DA4" w:themeColor="accent1"/>
          </w:rPr>
          <w:t>https://www.act.gov.au/open/annual-reports</w:t>
        </w:r>
      </w:hyperlink>
      <w:r w:rsidRPr="00BB2758">
        <w:t xml:space="preserve"> </w:t>
      </w:r>
    </w:p>
    <w:p w14:paraId="02264DC2" w14:textId="77777777" w:rsidR="005304F8" w:rsidRDefault="005304F8" w:rsidP="006E0242">
      <w:pPr>
        <w:rPr>
          <w:rFonts w:ascii="Arial" w:eastAsiaTheme="majorEastAsia" w:hAnsi="Arial"/>
          <w:color w:val="081DA4" w:themeColor="text2"/>
          <w:spacing w:val="-10"/>
          <w:sz w:val="44"/>
          <w:szCs w:val="32"/>
          <w:lang w:val="en-AU" w:eastAsia="en-US"/>
        </w:rPr>
      </w:pPr>
      <w:r>
        <w:br w:type="page"/>
      </w:r>
    </w:p>
    <w:p w14:paraId="63921C20" w14:textId="23D17165" w:rsidR="00E71DE7" w:rsidRPr="00BB2758" w:rsidRDefault="00E71DE7" w:rsidP="00F45A2F">
      <w:pPr>
        <w:pStyle w:val="Heading1"/>
        <w:rPr>
          <w:lang w:val="en-US"/>
        </w:rPr>
      </w:pPr>
      <w:r w:rsidRPr="05405795">
        <w:rPr>
          <w:lang w:val="en-US"/>
        </w:rPr>
        <w:lastRenderedPageBreak/>
        <w:br w:type="page"/>
      </w:r>
      <w:bookmarkStart w:id="14" w:name="_Toc240533485"/>
      <w:r w:rsidR="00656B89">
        <w:rPr>
          <w:rFonts w:eastAsia="Times New Roman"/>
          <w:noProof/>
          <w:color w:val="000000"/>
          <w:spacing w:val="2"/>
        </w:rPr>
        <w:lastRenderedPageBreak/>
        <w:drawing>
          <wp:anchor distT="0" distB="0" distL="114300" distR="114300" simplePos="0" relativeHeight="251658248" behindDoc="0" locked="0" layoutInCell="1" allowOverlap="1" wp14:anchorId="04C3D127" wp14:editId="3DDF743B">
            <wp:simplePos x="0" y="0"/>
            <wp:positionH relativeFrom="page">
              <wp:align>center</wp:align>
            </wp:positionH>
            <wp:positionV relativeFrom="page">
              <wp:align>center</wp:align>
            </wp:positionV>
            <wp:extent cx="7556400" cy="10688400"/>
            <wp:effectExtent l="0" t="0" r="6985" b="0"/>
            <wp:wrapNone/>
            <wp:docPr id="2048814117" name="Picture 17" descr="Section divider page for Part B: Organisational Overview and Performance. The page displays the section title prominently and serves as an introductory page to Part B of the Long Service Leave Authority Annual Report 2025-26. The page incorporates ACT Leave and ACT Government branding, including the report's visual design elements and colour palette. Decorative graphic elements, including the ACT Leave dynamic track swirl design, are included for visual interest. No other substantive content is included on the page apart from the section heading and branding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14117" name="Picture 17" descr="Section divider page for Part B: Organisational Overview and Performance. The page displays the section title prominently and serves as an introductory page to Part B of the Long Service Leave Authority Annual Report 2025-26. The page incorporates ACT Leave and ACT Government branding, including the report's visual design elements and colour palette. Decorative graphic elements, including the ACT Leave dynamic track swirl design, are included for visual interest. No other substantive content is included on the page apart from the section heading and branding elements."/>
                    <pic:cNvPicPr/>
                  </pic:nvPicPr>
                  <pic:blipFill>
                    <a:blip r:embed="rId35"/>
                    <a:stretch>
                      <a:fillRect/>
                    </a:stretch>
                  </pic:blipFill>
                  <pic:spPr>
                    <a:xfrm>
                      <a:off x="0" y="0"/>
                      <a:ext cx="7556400" cy="10688400"/>
                    </a:xfrm>
                    <a:prstGeom prst="rect">
                      <a:avLst/>
                    </a:prstGeom>
                  </pic:spPr>
                </pic:pic>
              </a:graphicData>
            </a:graphic>
            <wp14:sizeRelH relativeFrom="page">
              <wp14:pctWidth>0</wp14:pctWidth>
            </wp14:sizeRelH>
            <wp14:sizeRelV relativeFrom="page">
              <wp14:pctHeight>0</wp14:pctHeight>
            </wp14:sizeRelV>
          </wp:anchor>
        </w:drawing>
      </w:r>
      <w:r w:rsidR="00785F53" w:rsidRPr="00BB2758">
        <w:rPr>
          <w:rFonts w:eastAsia="Times New Roman"/>
          <w:noProof/>
          <w:color w:val="000000"/>
          <w:spacing w:val="2"/>
        </w:rPr>
        <mc:AlternateContent>
          <mc:Choice Requires="wps">
            <w:drawing>
              <wp:anchor distT="0" distB="0" distL="114300" distR="114300" simplePos="0" relativeHeight="251658241" behindDoc="0" locked="0" layoutInCell="1" allowOverlap="1" wp14:anchorId="085B9800" wp14:editId="6AAD341D">
                <wp:simplePos x="0" y="0"/>
                <wp:positionH relativeFrom="column">
                  <wp:posOffset>-901065</wp:posOffset>
                </wp:positionH>
                <wp:positionV relativeFrom="paragraph">
                  <wp:posOffset>8312150</wp:posOffset>
                </wp:positionV>
                <wp:extent cx="8629650" cy="1733550"/>
                <wp:effectExtent l="0" t="0" r="19050" b="19050"/>
                <wp:wrapNone/>
                <wp:docPr id="696561296"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629650" cy="17335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c="http://schemas.openxmlformats.org/drawingml/2006/chart" xmlns:arto="http://schemas.microsoft.com/office/word/2006/arto" xmlns:w16cei="http://schemas.microsoft.com/office/word/2026/wordml/cei">
            <w:pict w14:anchorId="209FF6F9">
              <v:rect id="Rectangle 12" style="position:absolute;margin-left:-70.95pt;margin-top:654.5pt;width:679.5pt;height:136.5pt;z-index:251658241;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26" fillcolor="white [3212]" strokecolor="white [3212]" strokeweight="1pt" w14:anchorId="45AB5A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"/>
            </w:pict>
          </mc:Fallback>
        </mc:AlternateContent>
      </w:r>
      <w:r w:rsidR="00C15EA2" w:rsidRPr="05405795">
        <w:rPr>
          <w:lang w:val="en-US"/>
        </w:rPr>
        <w:t>Part B. Organisational Overview and Performance</w:t>
      </w:r>
      <w:bookmarkEnd w:id="14"/>
      <w:r w:rsidRPr="05405795">
        <w:rPr>
          <w:lang w:val="en-US"/>
        </w:rPr>
        <w:br w:type="page"/>
      </w:r>
    </w:p>
    <w:p w14:paraId="08937D0D" w14:textId="32539154" w:rsidR="00EA37BB" w:rsidRPr="00BB2758" w:rsidRDefault="00022D02" w:rsidP="006E0242">
      <w:pPr>
        <w:pStyle w:val="Heading2NoNumber"/>
      </w:pPr>
      <w:bookmarkStart w:id="15" w:name="_Toc171087019"/>
      <w:bookmarkStart w:id="16" w:name="_Toc240533486"/>
      <w:bookmarkStart w:id="17" w:name="_Toc171087018"/>
      <w:bookmarkStart w:id="18" w:name="_Toc178238757"/>
      <w:r>
        <w:rPr>
          <w:noProof/>
        </w:rPr>
        <w:lastRenderedPageBreak/>
        <w:drawing>
          <wp:anchor distT="0" distB="0" distL="114300" distR="114300" simplePos="0" relativeHeight="251658249" behindDoc="1" locked="0" layoutInCell="1" allowOverlap="1" wp14:anchorId="515EE04F" wp14:editId="10EF1464">
            <wp:simplePos x="0" y="0"/>
            <wp:positionH relativeFrom="column">
              <wp:posOffset>-299085</wp:posOffset>
            </wp:positionH>
            <wp:positionV relativeFrom="paragraph">
              <wp:posOffset>257086</wp:posOffset>
            </wp:positionV>
            <wp:extent cx="7057517" cy="7081284"/>
            <wp:effectExtent l="0" t="0" r="0" b="5715"/>
            <wp:wrapNone/>
            <wp:docPr id="2074401897" name="Picture 25" descr="Organisational chart showing the governance and reporting structure of the Long Service Leave Authority. The Minister for Skills, Training and Industrial Relations is at the top of the structure and is connected to the Governing Board. The Audit and Risk Committee reports to the Governing Board.&#10;&#10;Reporting to the Governing Board is the Chief Executive Officer and Registrar. Reporting directly to the Chief Executive Officer and Registrar are the Chief Information Officer, Chief Corporate Services Officer, Chief Finance Officer and Deputy Registrar, Chief Operations Officer, and the Communications Team.&#10;&#10;The Chief Information Officer oversees the ICT Team. The Chief Corporate Services Officer oversees the Records and Information Management Team. The Chief Finance Officer and Deputy Registrar oversees the Finance Team and Compliance Team. The Chief Operations Officer oversees the Client Services Team and Benefits Team.&#10;&#10;The chart uses blue boxes connected by lines to show governance, reporting relationships and organisationa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01897" name="Picture 25" descr="Organisational chart showing the governance and reporting structure of the Long Service Leave Authority. The Minister for Skills, Training and Industrial Relations is at the top of the structure and is connected to the Governing Board. The Audit and Risk Committee reports to the Governing Board.&#10;&#10;Reporting to the Governing Board is the Chief Executive Officer and Registrar. Reporting directly to the Chief Executive Officer and Registrar are the Chief Information Officer, Chief Corporate Services Officer, Chief Finance Officer and Deputy Registrar, Chief Operations Officer, and the Communications Team.&#10;&#10;The Chief Information Officer oversees the ICT Team. The Chief Corporate Services Officer oversees the Records and Information Management Team. The Chief Finance Officer and Deputy Registrar oversees the Finance Team and Compliance Team. The Chief Operations Officer oversees the Client Services Team and Benefits Team.&#10;&#10;The chart uses blue boxes connected by lines to show governance, reporting relationships and organisational structure."/>
                    <pic:cNvPicPr/>
                  </pic:nvPicPr>
                  <pic:blipFill>
                    <a:blip r:embed="rId36"/>
                    <a:stretch>
                      <a:fillRect/>
                    </a:stretch>
                  </pic:blipFill>
                  <pic:spPr>
                    <a:xfrm>
                      <a:off x="0" y="0"/>
                      <a:ext cx="7057517" cy="7081284"/>
                    </a:xfrm>
                    <a:prstGeom prst="rect">
                      <a:avLst/>
                    </a:prstGeom>
                  </pic:spPr>
                </pic:pic>
              </a:graphicData>
            </a:graphic>
            <wp14:sizeRelH relativeFrom="margin">
              <wp14:pctWidth>0</wp14:pctWidth>
            </wp14:sizeRelH>
            <wp14:sizeRelV relativeFrom="margin">
              <wp14:pctHeight>0</wp14:pctHeight>
            </wp14:sizeRelV>
          </wp:anchor>
        </w:drawing>
      </w:r>
      <w:r w:rsidR="00EA37BB" w:rsidRPr="00BB2758">
        <w:t>B1. Organisation overview</w:t>
      </w:r>
      <w:bookmarkEnd w:id="15"/>
      <w:bookmarkEnd w:id="16"/>
    </w:p>
    <w:p w14:paraId="5E3C31B8" w14:textId="2FB0465A" w:rsidR="00583F3E" w:rsidRPr="00BB2758" w:rsidRDefault="00583F3E" w:rsidP="00EA37BB">
      <w:pPr>
        <w:pStyle w:val="Heading3"/>
        <w:rPr>
          <w:rFonts w:cs="Arial"/>
          <w:sz w:val="28"/>
          <w:szCs w:val="28"/>
        </w:rPr>
      </w:pPr>
      <w:r w:rsidRPr="00BB2758">
        <w:rPr>
          <w:rFonts w:cs="Arial"/>
          <w:sz w:val="28"/>
          <w:szCs w:val="28"/>
        </w:rPr>
        <w:t xml:space="preserve">Organisation </w:t>
      </w:r>
      <w:r w:rsidR="00257BA2" w:rsidRPr="00BB2758">
        <w:rPr>
          <w:rFonts w:cs="Arial"/>
          <w:sz w:val="28"/>
          <w:szCs w:val="28"/>
        </w:rPr>
        <w:t>c</w:t>
      </w:r>
      <w:r w:rsidRPr="00BB2758">
        <w:rPr>
          <w:rFonts w:cs="Arial"/>
          <w:sz w:val="28"/>
          <w:szCs w:val="28"/>
        </w:rPr>
        <w:t>hart</w:t>
      </w:r>
      <w:bookmarkEnd w:id="17"/>
      <w:bookmarkEnd w:id="18"/>
    </w:p>
    <w:p w14:paraId="77566234" w14:textId="199239EB" w:rsidR="00312DE4" w:rsidRPr="00BB2758" w:rsidRDefault="001A4233" w:rsidP="006E0242">
      <w:r w:rsidRPr="00BB2758">
        <w:tab/>
      </w:r>
      <w:r w:rsidR="00F9292E" w:rsidRPr="00BB2758">
        <w:tab/>
      </w:r>
    </w:p>
    <w:p w14:paraId="6F533260" w14:textId="34F80303" w:rsidR="00311647" w:rsidRPr="00BB2758" w:rsidRDefault="00194669" w:rsidP="006E0242">
      <w:pPr>
        <w:rPr>
          <w:highlight w:val="magenta"/>
        </w:rPr>
      </w:pPr>
      <w:r>
        <w:rPr>
          <w:noProof/>
        </w:rPr>
        <w:drawing>
          <wp:anchor distT="0" distB="0" distL="114300" distR="114300" simplePos="0" relativeHeight="251658250" behindDoc="0" locked="0" layoutInCell="1" allowOverlap="1" wp14:anchorId="39075775" wp14:editId="713D2E7A">
            <wp:simplePos x="0" y="0"/>
            <wp:positionH relativeFrom="column">
              <wp:posOffset>-889774</wp:posOffset>
            </wp:positionH>
            <wp:positionV relativeFrom="paragraph">
              <wp:posOffset>5987218</wp:posOffset>
            </wp:positionV>
            <wp:extent cx="8812925" cy="2478199"/>
            <wp:effectExtent l="0" t="0" r="0" b="0"/>
            <wp:wrapNone/>
            <wp:docPr id="584826943" name="Picture 24" descr="Decorative green graphic element featuring the ACT Leave dynamic track swirl design. The image is included for branding and visual design purposes only and does not convey information required to understand the content of the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26943" name="Picture 24" descr="Decorative green graphic element featuring the ACT Leave dynamic track swirl design. The image is included for branding and visual design purposes only and does not convey information required to understand the content of the report."/>
                    <pic:cNvPicPr/>
                  </pic:nvPicPr>
                  <pic:blipFill>
                    <a:blip r:embed="rId30"/>
                    <a:stretch>
                      <a:fillRect/>
                    </a:stretch>
                  </pic:blipFill>
                  <pic:spPr>
                    <a:xfrm>
                      <a:off x="0" y="0"/>
                      <a:ext cx="8812925" cy="2478199"/>
                    </a:xfrm>
                    <a:prstGeom prst="rect">
                      <a:avLst/>
                    </a:prstGeom>
                  </pic:spPr>
                </pic:pic>
              </a:graphicData>
            </a:graphic>
            <wp14:sizeRelH relativeFrom="margin">
              <wp14:pctWidth>0</wp14:pctWidth>
            </wp14:sizeRelH>
            <wp14:sizeRelV relativeFrom="margin">
              <wp14:pctHeight>0</wp14:pctHeight>
            </wp14:sizeRelV>
          </wp:anchor>
        </w:drawing>
      </w:r>
      <w:r w:rsidR="00311647" w:rsidRPr="00BB2758">
        <w:rPr>
          <w:highlight w:val="magenta"/>
        </w:rPr>
        <w:br w:type="page"/>
      </w:r>
    </w:p>
    <w:p w14:paraId="04B3C321" w14:textId="50DFF01C" w:rsidR="006D6957" w:rsidRPr="00BB2758" w:rsidRDefault="006D6957" w:rsidP="00D85C84">
      <w:pPr>
        <w:pStyle w:val="Heading3"/>
        <w:rPr>
          <w:rFonts w:cs="Arial"/>
          <w:b w:val="0"/>
          <w:sz w:val="28"/>
          <w:szCs w:val="28"/>
        </w:rPr>
      </w:pPr>
      <w:r w:rsidRPr="00BB2758">
        <w:rPr>
          <w:rFonts w:cs="Arial"/>
        </w:rPr>
        <w:lastRenderedPageBreak/>
        <w:t>Role of ACT Leave</w:t>
      </w:r>
    </w:p>
    <w:p w14:paraId="443F7520" w14:textId="54BA031B" w:rsidR="00B1026C" w:rsidRDefault="00B1026C" w:rsidP="00B1026C">
      <w:pPr>
        <w:rPr>
          <w:lang w:val="en-AU"/>
        </w:rPr>
      </w:pPr>
      <w:r w:rsidRPr="00AE4654">
        <w:rPr>
          <w:lang w:val="en-AU"/>
        </w:rPr>
        <w:t xml:space="preserve">The Long Service Leave Authority (ACT Leave) was established under the </w:t>
      </w:r>
      <w:r w:rsidRPr="00AE4654">
        <w:rPr>
          <w:i/>
          <w:iCs/>
          <w:lang w:val="en-AU"/>
        </w:rPr>
        <w:t>Long Service Leave (Portable Schemes) Act 2009</w:t>
      </w:r>
      <w:r w:rsidRPr="00AE4654">
        <w:rPr>
          <w:lang w:val="en-AU"/>
        </w:rPr>
        <w:t xml:space="preserve"> (the Act) to administer portable long service leave schemes for workers in the ACT employed in the building and construction, community sector, security and services industries. The </w:t>
      </w:r>
      <w:r w:rsidRPr="00AE4654">
        <w:rPr>
          <w:i/>
          <w:iCs/>
          <w:lang w:val="en-AU"/>
        </w:rPr>
        <w:t>Long Service Leave (Portable Schemes) Amendment Act 2023</w:t>
      </w:r>
      <w:r w:rsidRPr="00AE4654">
        <w:rPr>
          <w:lang w:val="en-AU"/>
        </w:rPr>
        <w:t xml:space="preserve"> expanded </w:t>
      </w:r>
      <w:r>
        <w:rPr>
          <w:lang w:val="en-AU"/>
        </w:rPr>
        <w:t>scheme coverage to include a</w:t>
      </w:r>
      <w:r w:rsidRPr="00F46B75">
        <w:rPr>
          <w:lang w:val="en-AU"/>
        </w:rPr>
        <w:t xml:space="preserve">ccommodation, food, hairdressing and beauty </w:t>
      </w:r>
      <w:r w:rsidR="00D90A74">
        <w:rPr>
          <w:lang w:val="en-AU"/>
        </w:rPr>
        <w:t>industries</w:t>
      </w:r>
      <w:r w:rsidRPr="00F46B75">
        <w:rPr>
          <w:lang w:val="en-AU"/>
        </w:rPr>
        <w:t xml:space="preserve"> </w:t>
      </w:r>
      <w:r>
        <w:rPr>
          <w:lang w:val="en-AU"/>
        </w:rPr>
        <w:t>by</w:t>
      </w:r>
      <w:r w:rsidRPr="00AE4654">
        <w:rPr>
          <w:lang w:val="en-AU"/>
        </w:rPr>
        <w:t xml:space="preserve"> the establishment of the Services Industry Scheme</w:t>
      </w:r>
      <w:r>
        <w:rPr>
          <w:lang w:val="en-AU"/>
        </w:rPr>
        <w:t xml:space="preserve"> which</w:t>
      </w:r>
      <w:r w:rsidRPr="00AE4654">
        <w:rPr>
          <w:lang w:val="en-AU"/>
        </w:rPr>
        <w:t xml:space="preserve"> incorporat</w:t>
      </w:r>
      <w:r>
        <w:rPr>
          <w:lang w:val="en-AU"/>
        </w:rPr>
        <w:t>e</w:t>
      </w:r>
      <w:r w:rsidR="002710F9">
        <w:rPr>
          <w:lang w:val="en-AU"/>
        </w:rPr>
        <w:t>s</w:t>
      </w:r>
      <w:r>
        <w:rPr>
          <w:lang w:val="en-AU"/>
        </w:rPr>
        <w:t xml:space="preserve"> </w:t>
      </w:r>
      <w:r w:rsidRPr="00AE4654">
        <w:rPr>
          <w:lang w:val="en-AU"/>
        </w:rPr>
        <w:t xml:space="preserve"> the former Contract Cleaning Industry Scheme.</w:t>
      </w:r>
    </w:p>
    <w:p w14:paraId="517D305B" w14:textId="01E8A7E8" w:rsidR="00B1026C" w:rsidRDefault="00B1026C" w:rsidP="00B1026C">
      <w:pPr>
        <w:rPr>
          <w:lang w:val="en-AU"/>
        </w:rPr>
      </w:pPr>
      <w:r>
        <w:t xml:space="preserve">The expansion to the new industries was </w:t>
      </w:r>
      <w:r w:rsidRPr="00F46B75">
        <w:t>initially scheduled to commence from 1 April 2025</w:t>
      </w:r>
      <w:r>
        <w:t xml:space="preserve">. On 20 March 2025 the ACT Government decided to pause the </w:t>
      </w:r>
      <w:r w:rsidRPr="00F46B75">
        <w:rPr>
          <w:lang w:val="en-AU"/>
        </w:rPr>
        <w:t>commencement of the expansion of the Scheme until 1 July 2026</w:t>
      </w:r>
      <w:r>
        <w:rPr>
          <w:lang w:val="en-AU"/>
        </w:rPr>
        <w:t>. O</w:t>
      </w:r>
      <w:r w:rsidRPr="00AE4654">
        <w:rPr>
          <w:lang w:val="en-AU"/>
        </w:rPr>
        <w:t xml:space="preserve">n 3 May 2026, the </w:t>
      </w:r>
      <w:r>
        <w:rPr>
          <w:lang w:val="en-AU"/>
        </w:rPr>
        <w:t xml:space="preserve">government made a further announcement that expansion would be </w:t>
      </w:r>
      <w:r w:rsidRPr="00AE4654">
        <w:rPr>
          <w:lang w:val="en-AU"/>
        </w:rPr>
        <w:t>deferred from 1 July 2026 to 1 January 2027.</w:t>
      </w:r>
    </w:p>
    <w:p w14:paraId="67051158" w14:textId="77777777" w:rsidR="00354BAC" w:rsidRDefault="007F7883" w:rsidP="003A2979">
      <w:pPr>
        <w:rPr>
          <w:b/>
        </w:rPr>
      </w:pPr>
      <w:r w:rsidRPr="007F7883">
        <w:t>The primary objectives of ACT Leave are to ensure that:</w:t>
      </w:r>
    </w:p>
    <w:p w14:paraId="06BE06CF" w14:textId="16E1A1E2" w:rsidR="00BF0B45" w:rsidRDefault="007F7883" w:rsidP="000A630C">
      <w:pPr>
        <w:pStyle w:val="ListBullet"/>
        <w:rPr>
          <w:b/>
        </w:rPr>
      </w:pPr>
      <w:r w:rsidRPr="007F7883">
        <w:t>eligible employers and their employees are registered with ACT Leave</w:t>
      </w:r>
    </w:p>
    <w:p w14:paraId="01F4787D" w14:textId="77777777" w:rsidR="00BF0B45" w:rsidRDefault="007F7883" w:rsidP="000A630C">
      <w:pPr>
        <w:pStyle w:val="ListBullet"/>
        <w:rPr>
          <w:b/>
        </w:rPr>
      </w:pPr>
      <w:r w:rsidRPr="007F7883">
        <w:t>long service leave payments to employees and contractors, and reimbursements to employers,</w:t>
      </w:r>
      <w:r w:rsidR="00BF0B45">
        <w:rPr>
          <w:b/>
        </w:rPr>
        <w:t xml:space="preserve"> </w:t>
      </w:r>
      <w:r w:rsidRPr="007F7883">
        <w:t>are made in accordance with the Ac</w:t>
      </w:r>
      <w:r w:rsidR="00BF0B45" w:rsidRPr="004569CA">
        <w:rPr>
          <w:bCs/>
        </w:rPr>
        <w:t>t</w:t>
      </w:r>
    </w:p>
    <w:p w14:paraId="46F620D3" w14:textId="49CB3A48" w:rsidR="00BF0B45" w:rsidRDefault="007F7883" w:rsidP="000A630C">
      <w:pPr>
        <w:pStyle w:val="ListBullet"/>
        <w:rPr>
          <w:b/>
        </w:rPr>
      </w:pPr>
      <w:r w:rsidRPr="007F7883">
        <w:t>employers’ contribution levies are collected efficiently and effectively</w:t>
      </w:r>
    </w:p>
    <w:p w14:paraId="2D2FC5C1" w14:textId="1F1275D4" w:rsidR="007F7883" w:rsidRDefault="007F7883" w:rsidP="000A630C">
      <w:pPr>
        <w:pStyle w:val="ListBullet"/>
        <w:rPr>
          <w:b/>
        </w:rPr>
      </w:pPr>
      <w:r w:rsidRPr="007F7883">
        <w:t>long service leave funds are invested prudently, with the objective of ensuring a modest long-term surplus of assets over liabilities in mature schemes</w:t>
      </w:r>
      <w:r w:rsidR="006B7887">
        <w:t>.</w:t>
      </w:r>
    </w:p>
    <w:p w14:paraId="7AEC3836" w14:textId="023BD11F" w:rsidR="019BD40C" w:rsidRPr="00BB2758" w:rsidRDefault="0904E688" w:rsidP="00D85C84">
      <w:pPr>
        <w:pStyle w:val="Heading3"/>
        <w:rPr>
          <w:rFonts w:cs="Arial"/>
        </w:rPr>
      </w:pPr>
      <w:r w:rsidRPr="00BB2758">
        <w:rPr>
          <w:rFonts w:cs="Arial"/>
        </w:rPr>
        <w:t>Vision, role and values</w:t>
      </w:r>
    </w:p>
    <w:p w14:paraId="22C84774" w14:textId="5A5B9C98" w:rsidR="0904E688" w:rsidRPr="00BB2758" w:rsidRDefault="0904E688" w:rsidP="006E0242">
      <w:r w:rsidRPr="00BB2758">
        <w:t xml:space="preserve">ACT Leave’s Strategic Plan 2023-2026 </w:t>
      </w:r>
      <w:r w:rsidR="67EECEB6" w:rsidRPr="00BB2758">
        <w:t>sets out the vision</w:t>
      </w:r>
      <w:r w:rsidR="5EB11A5B" w:rsidRPr="00BB2758">
        <w:t xml:space="preserve">, role </w:t>
      </w:r>
      <w:r w:rsidR="67EECEB6" w:rsidRPr="00BB2758">
        <w:t xml:space="preserve">and values of ACT Leave and defines its </w:t>
      </w:r>
      <w:r w:rsidR="008173F2" w:rsidRPr="00BB2758">
        <w:t>goals</w:t>
      </w:r>
      <w:r w:rsidR="67EECEB6" w:rsidRPr="00BB2758">
        <w:t>.</w:t>
      </w:r>
      <w:r w:rsidR="1C24DF03" w:rsidRPr="00BB2758">
        <w:t xml:space="preserve"> </w:t>
      </w:r>
      <w:r w:rsidR="229D805F" w:rsidRPr="00BB2758">
        <w:t xml:space="preserve">Our vision is that </w:t>
      </w:r>
      <w:r w:rsidR="554824D6" w:rsidRPr="00BB2758">
        <w:t>‘</w:t>
      </w:r>
      <w:r w:rsidR="229D805F" w:rsidRPr="00BB2758">
        <w:t xml:space="preserve">Portable long service leave is universally understood and considered an important and accepted part of the </w:t>
      </w:r>
      <w:r w:rsidR="64E4C308" w:rsidRPr="00BB2758">
        <w:t>employment landscape</w:t>
      </w:r>
      <w:r w:rsidR="576F9F17" w:rsidRPr="00BB2758">
        <w:t>’</w:t>
      </w:r>
      <w:r w:rsidR="4876C1E2" w:rsidRPr="00BB2758">
        <w:t>,</w:t>
      </w:r>
      <w:r w:rsidR="43B9089B" w:rsidRPr="00BB2758">
        <w:t xml:space="preserve"> </w:t>
      </w:r>
      <w:r w:rsidR="0EA0EE74" w:rsidRPr="00BB2758">
        <w:t xml:space="preserve">and </w:t>
      </w:r>
      <w:r w:rsidR="031CF393" w:rsidRPr="00BB2758">
        <w:t xml:space="preserve">our </w:t>
      </w:r>
      <w:r w:rsidR="008623C0" w:rsidRPr="00BB2758">
        <w:t xml:space="preserve">goals which underpin </w:t>
      </w:r>
      <w:r w:rsidR="007764C1" w:rsidRPr="00BB2758">
        <w:t>our efforts are to:</w:t>
      </w:r>
    </w:p>
    <w:p w14:paraId="1DDEC318" w14:textId="18BAD779" w:rsidR="007764C1" w:rsidRPr="00BB2758" w:rsidRDefault="00C00B90" w:rsidP="000A630C">
      <w:pPr>
        <w:pStyle w:val="ListBullet"/>
      </w:pPr>
      <w:r>
        <w:t>c</w:t>
      </w:r>
      <w:r w:rsidR="007764C1" w:rsidRPr="00BB2758">
        <w:t>reate a user experience where every stakeholder feels informed, connected, and supported</w:t>
      </w:r>
    </w:p>
    <w:p w14:paraId="6283AAE6" w14:textId="13ABA9F3" w:rsidR="007764C1" w:rsidRPr="00BB2758" w:rsidRDefault="00C00B90" w:rsidP="000A630C">
      <w:pPr>
        <w:pStyle w:val="ListBullet"/>
      </w:pPr>
      <w:r>
        <w:t>r</w:t>
      </w:r>
      <w:r w:rsidR="007764C1" w:rsidRPr="00BB2758">
        <w:t>aise awareness through targeted marketing and communications campaigns</w:t>
      </w:r>
    </w:p>
    <w:p w14:paraId="70AB98E5" w14:textId="100C4CFB" w:rsidR="007764C1" w:rsidRPr="00BB2758" w:rsidRDefault="00C00B90" w:rsidP="000A630C">
      <w:pPr>
        <w:pStyle w:val="ListBullet"/>
      </w:pPr>
      <w:r>
        <w:t>e</w:t>
      </w:r>
      <w:r w:rsidR="007764C1" w:rsidRPr="00BB2758">
        <w:t>quip employers and workers with the information and tools to manage their obligations and entitlements</w:t>
      </w:r>
    </w:p>
    <w:p w14:paraId="036D67A9" w14:textId="5CAA3D54" w:rsidR="007764C1" w:rsidRPr="00BB2758" w:rsidRDefault="00C00B90" w:rsidP="000A630C">
      <w:pPr>
        <w:pStyle w:val="ListBullet"/>
      </w:pPr>
      <w:r>
        <w:t>e</w:t>
      </w:r>
      <w:r w:rsidR="007764C1" w:rsidRPr="00BB2758">
        <w:t>ffectively and efficiently operationalise government policy</w:t>
      </w:r>
    </w:p>
    <w:p w14:paraId="33700C8E" w14:textId="4A32551E" w:rsidR="007764C1" w:rsidRPr="00BB2758" w:rsidRDefault="00C00B90" w:rsidP="000A630C">
      <w:pPr>
        <w:pStyle w:val="ListBullet"/>
      </w:pPr>
      <w:r>
        <w:t>e</w:t>
      </w:r>
      <w:r w:rsidR="007764C1" w:rsidRPr="00BB2758">
        <w:t>stablish an operational structure to support growth, extend leadership capability and create opportunity</w:t>
      </w:r>
    </w:p>
    <w:p w14:paraId="2DDBAFCC" w14:textId="57E303CE" w:rsidR="007764C1" w:rsidRPr="00BB2758" w:rsidRDefault="00C00B90" w:rsidP="000A630C">
      <w:pPr>
        <w:pStyle w:val="ListBullet"/>
      </w:pPr>
      <w:r>
        <w:t>b</w:t>
      </w:r>
      <w:r w:rsidR="007764C1" w:rsidRPr="00BB2758">
        <w:t>e recognised as an employer of choice</w:t>
      </w:r>
      <w:r w:rsidR="00B93CFB">
        <w:t xml:space="preserve"> that provides a healthy and safe workplace and a positive safety culture.</w:t>
      </w:r>
    </w:p>
    <w:p w14:paraId="2F4EAE4B" w14:textId="7D075724" w:rsidR="5A149C33" w:rsidRPr="00BB2758" w:rsidRDefault="5A149C33" w:rsidP="006E0242">
      <w:r w:rsidRPr="00BB2758">
        <w:t xml:space="preserve">In addition to the ACT Public Service values of Respect, Integrity, </w:t>
      </w:r>
      <w:r w:rsidR="34D5EF85" w:rsidRPr="00BB2758">
        <w:t xml:space="preserve">Collaboration and Innovation, the values which guide the work of ACT Leave and </w:t>
      </w:r>
      <w:r w:rsidR="65912E39" w:rsidRPr="00BB2758">
        <w:t xml:space="preserve">set the </w:t>
      </w:r>
      <w:r w:rsidR="3F0A18F1" w:rsidRPr="00BB2758">
        <w:t xml:space="preserve">expectations </w:t>
      </w:r>
      <w:r w:rsidR="65912E39" w:rsidRPr="00BB2758">
        <w:t>of staff are:</w:t>
      </w:r>
    </w:p>
    <w:p w14:paraId="0AC1E7D3" w14:textId="69DB7508" w:rsidR="65912E39" w:rsidRPr="00BB2758" w:rsidRDefault="65912E39" w:rsidP="000A630C">
      <w:pPr>
        <w:pStyle w:val="ListBullet"/>
      </w:pPr>
      <w:r w:rsidRPr="00BB2758">
        <w:t xml:space="preserve">Responsive </w:t>
      </w:r>
      <w:r w:rsidR="00C82634">
        <w:t>–</w:t>
      </w:r>
      <w:r w:rsidRPr="00BB2758">
        <w:t xml:space="preserve"> </w:t>
      </w:r>
      <w:r w:rsidR="301D9CD0" w:rsidRPr="00BB2758">
        <w:t>We respond to you quickly and make your experience as smooth and stress-free as possible.</w:t>
      </w:r>
    </w:p>
    <w:p w14:paraId="63237FD4" w14:textId="6E522FA7" w:rsidR="301D9CD0" w:rsidRPr="00BB2758" w:rsidRDefault="301D9CD0" w:rsidP="000A630C">
      <w:pPr>
        <w:pStyle w:val="ListBullet"/>
      </w:pPr>
      <w:r w:rsidRPr="00BB2758">
        <w:t xml:space="preserve">Approachable </w:t>
      </w:r>
      <w:r w:rsidR="00C82634">
        <w:t>–</w:t>
      </w:r>
      <w:r w:rsidRPr="00BB2758">
        <w:t xml:space="preserve"> Our team is here to help you navigate the complexities of </w:t>
      </w:r>
      <w:r w:rsidR="145736C3" w:rsidRPr="00BB2758">
        <w:t xml:space="preserve">portable long service </w:t>
      </w:r>
      <w:r w:rsidRPr="00BB2758">
        <w:t>leave entitlements with ease.</w:t>
      </w:r>
    </w:p>
    <w:p w14:paraId="31EED2A0" w14:textId="3AF802C5" w:rsidR="301D9CD0" w:rsidRPr="00BB2758" w:rsidRDefault="301D9CD0" w:rsidP="000A630C">
      <w:pPr>
        <w:pStyle w:val="ListBullet"/>
      </w:pPr>
      <w:r w:rsidRPr="00BB2758">
        <w:t xml:space="preserve">Reliable </w:t>
      </w:r>
      <w:r w:rsidR="00C82634">
        <w:t>–</w:t>
      </w:r>
      <w:r w:rsidRPr="00BB2758">
        <w:t xml:space="preserve"> We always do what we say we will do.</w:t>
      </w:r>
      <w:r w:rsidR="008754F5" w:rsidRPr="00BB2758">
        <w:t xml:space="preserve"> </w:t>
      </w:r>
      <w:r w:rsidRPr="00BB2758">
        <w:t>We’re here to help and you can count on us to deliver.</w:t>
      </w:r>
    </w:p>
    <w:p w14:paraId="7BDE03F3" w14:textId="49A034F6" w:rsidR="301D9CD0" w:rsidRPr="00BB2758" w:rsidRDefault="301D9CD0" w:rsidP="000A630C">
      <w:pPr>
        <w:pStyle w:val="ListBullet"/>
      </w:pPr>
      <w:r w:rsidRPr="00BB2758">
        <w:t>Transparent</w:t>
      </w:r>
      <w:r w:rsidR="7CE5C438" w:rsidRPr="00BB2758">
        <w:t xml:space="preserve"> </w:t>
      </w:r>
      <w:r w:rsidR="00C82634">
        <w:t>–</w:t>
      </w:r>
      <w:r w:rsidR="7CE5C438" w:rsidRPr="00BB2758">
        <w:t xml:space="preserve"> We're dedicated to ensuring you have a clear understanding of leave entitlements and scheme obligations and how these are managed.</w:t>
      </w:r>
    </w:p>
    <w:p w14:paraId="142FD7C4" w14:textId="3597DB31" w:rsidR="7CE5C438" w:rsidRPr="00BB2758" w:rsidRDefault="7CE5C438" w:rsidP="000A630C">
      <w:pPr>
        <w:pStyle w:val="ListBullet"/>
      </w:pPr>
      <w:r w:rsidRPr="00BB2758">
        <w:t xml:space="preserve">Informed </w:t>
      </w:r>
      <w:r w:rsidR="00C82634">
        <w:t>–</w:t>
      </w:r>
      <w:r w:rsidRPr="00BB2758">
        <w:t xml:space="preserve"> We remain up to date with the latest </w:t>
      </w:r>
      <w:r w:rsidR="76584397" w:rsidRPr="00BB2758">
        <w:t>developments in the industry and communicate that knowledge clearly and concisely.</w:t>
      </w:r>
    </w:p>
    <w:p w14:paraId="5F75D2E9" w14:textId="77777777" w:rsidR="009D2896" w:rsidRPr="00BB2758" w:rsidRDefault="009D2896" w:rsidP="00EE1745">
      <w:pPr>
        <w:pStyle w:val="ListBullet"/>
        <w:numPr>
          <w:ilvl w:val="0"/>
          <w:numId w:val="0"/>
        </w:numPr>
      </w:pPr>
    </w:p>
    <w:p w14:paraId="3282B59A" w14:textId="659EFE85" w:rsidR="00583F3E" w:rsidRPr="00BB2758" w:rsidRDefault="000F3C03" w:rsidP="00D85C84">
      <w:pPr>
        <w:pStyle w:val="Heading3"/>
        <w:rPr>
          <w:rFonts w:cs="Arial"/>
        </w:rPr>
      </w:pPr>
      <w:r>
        <w:rPr>
          <w:rFonts w:cs="Arial"/>
        </w:rPr>
        <w:lastRenderedPageBreak/>
        <w:t>2025-26</w:t>
      </w:r>
      <w:r w:rsidR="000A6413" w:rsidRPr="00BB2758">
        <w:rPr>
          <w:rFonts w:cs="Arial"/>
        </w:rPr>
        <w:t xml:space="preserve"> in review</w:t>
      </w:r>
    </w:p>
    <w:p w14:paraId="39ADA7BF" w14:textId="5922AF9E" w:rsidR="00B67992" w:rsidRPr="00BB2758" w:rsidRDefault="006945F0" w:rsidP="006E0242">
      <w:pPr>
        <w:rPr>
          <w:rStyle w:val="Heading4Char"/>
          <w:rFonts w:cs="Arial"/>
        </w:rPr>
      </w:pPr>
      <w:r w:rsidRPr="00BB2758">
        <w:rPr>
          <w:rStyle w:val="Heading4Char"/>
          <w:rFonts w:cs="Arial"/>
        </w:rPr>
        <w:t>Stakeholder e</w:t>
      </w:r>
      <w:r w:rsidR="00B67992" w:rsidRPr="00BB2758">
        <w:rPr>
          <w:rStyle w:val="Heading4Char"/>
          <w:rFonts w:cs="Arial"/>
        </w:rPr>
        <w:t>ngagement</w:t>
      </w:r>
    </w:p>
    <w:p w14:paraId="6098217A" w14:textId="38EDAE03" w:rsidR="00CF6DBC" w:rsidRPr="00CF6DBC" w:rsidRDefault="00CF6DBC" w:rsidP="00CF6DBC">
      <w:r w:rsidRPr="00CF6DBC">
        <w:t xml:space="preserve">A key priority for ACT Leave during 2025-26 was </w:t>
      </w:r>
      <w:r w:rsidR="00870A08">
        <w:t xml:space="preserve">the expansion </w:t>
      </w:r>
      <w:r w:rsidR="00DC144E">
        <w:t>of t</w:t>
      </w:r>
      <w:r w:rsidR="00870A08">
        <w:t>he Services Industry Scheme</w:t>
      </w:r>
      <w:r w:rsidR="00DC144E">
        <w:t xml:space="preserve"> to new industries</w:t>
      </w:r>
      <w:r w:rsidRPr="00CF6DBC">
        <w:t xml:space="preserve">. Throughout the year, ACT Leave focused on building awareness and understanding of the </w:t>
      </w:r>
      <w:r w:rsidR="0023455C">
        <w:t xml:space="preserve">Services Industry </w:t>
      </w:r>
      <w:r w:rsidRPr="00CF6DBC">
        <w:t>Scheme among employers and workers in the incoming industries through targeted communication and stakeholder engagement activities.</w:t>
      </w:r>
      <w:r w:rsidR="00D04AF4">
        <w:t xml:space="preserve"> </w:t>
      </w:r>
      <w:r w:rsidR="00673EAC">
        <w:t>T</w:t>
      </w:r>
      <w:r w:rsidRPr="00CF6DBC">
        <w:t xml:space="preserve">he </w:t>
      </w:r>
      <w:r w:rsidR="00673EAC">
        <w:t xml:space="preserve">announcement by the </w:t>
      </w:r>
      <w:r w:rsidRPr="00CF6DBC">
        <w:t xml:space="preserve">ACT Government </w:t>
      </w:r>
      <w:r w:rsidR="00673EAC">
        <w:t>on 3 May 2026</w:t>
      </w:r>
      <w:r w:rsidR="00673EAC" w:rsidRPr="00CF6DBC">
        <w:t xml:space="preserve"> </w:t>
      </w:r>
      <w:r w:rsidRPr="00CF6DBC">
        <w:t>that the commencement of the hairdressing and beauty services and food and accommodation services industries would be deferred from 1 July 2026 to 1 January 2027</w:t>
      </w:r>
      <w:r w:rsidR="00434E64">
        <w:t xml:space="preserve"> </w:t>
      </w:r>
      <w:r w:rsidR="00612B6F">
        <w:t>required</w:t>
      </w:r>
      <w:r w:rsidR="00CA1163">
        <w:t xml:space="preserve"> </w:t>
      </w:r>
      <w:r w:rsidRPr="00CF6DBC">
        <w:t xml:space="preserve">ACT Leave </w:t>
      </w:r>
      <w:r w:rsidR="00612B6F">
        <w:t>to</w:t>
      </w:r>
      <w:r w:rsidR="00FF15B4">
        <w:t xml:space="preserve"> </w:t>
      </w:r>
      <w:r w:rsidRPr="00CF6DBC">
        <w:t xml:space="preserve">adjust </w:t>
      </w:r>
      <w:r w:rsidR="00785FB0">
        <w:t>its engagement activities</w:t>
      </w:r>
      <w:r w:rsidRPr="00CF6DBC">
        <w:t xml:space="preserve"> with affected employers, workers, industry peak bodies and unions.</w:t>
      </w:r>
    </w:p>
    <w:p w14:paraId="7CDD7186" w14:textId="63087C9D" w:rsidR="00A546F4" w:rsidRDefault="00A546F4" w:rsidP="00CF6DBC">
      <w:r w:rsidRPr="00A546F4">
        <w:t xml:space="preserve">Engagement activities included more than 3,000 business site visits, shopping centre pop-up information booths, one-on-one meetings with employers, </w:t>
      </w:r>
      <w:r w:rsidR="00002DDC">
        <w:t>information</w:t>
      </w:r>
      <w:r w:rsidR="00002DDC" w:rsidRPr="00A546F4">
        <w:t xml:space="preserve"> </w:t>
      </w:r>
      <w:r w:rsidRPr="00A546F4">
        <w:t xml:space="preserve">sessions for accountants, bookkeepers and lawyers, and information provided to community support groups and </w:t>
      </w:r>
      <w:r w:rsidR="000E799E">
        <w:t xml:space="preserve">secondary and tertiary </w:t>
      </w:r>
      <w:r w:rsidRPr="00A546F4">
        <w:t>education providers. ACT Leave also worked closely with industry peak bodies, employer representatives and unions to support awareness and preparedness across the incoming industries. Stakeholder feedback from these activities informed the ongoing development and refinement of communication materials, including website content, industry-specific FAQs and other resources for employers and workers.</w:t>
      </w:r>
    </w:p>
    <w:p w14:paraId="601D7B4E" w14:textId="5867EA89" w:rsidR="00C17FED" w:rsidRPr="00BB2758" w:rsidRDefault="00CF6DBC" w:rsidP="00CF6DBC">
      <w:pPr>
        <w:rPr>
          <w:rStyle w:val="Heading4Char"/>
          <w:rFonts w:cs="Arial"/>
        </w:rPr>
      </w:pPr>
      <w:r w:rsidRPr="00CF6DBC">
        <w:t xml:space="preserve">ACT Leave </w:t>
      </w:r>
      <w:r w:rsidR="00657413">
        <w:t xml:space="preserve">also </w:t>
      </w:r>
      <w:r w:rsidRPr="00CF6DBC">
        <w:t xml:space="preserve">promoted </w:t>
      </w:r>
      <w:r w:rsidR="002A0666">
        <w:t xml:space="preserve">more broadly, </w:t>
      </w:r>
      <w:r w:rsidRPr="00CF6DBC">
        <w:t xml:space="preserve">awareness of portable long service leave through participation in industry events, including a community sector conference, </w:t>
      </w:r>
      <w:r w:rsidR="00AC5FE7">
        <w:t xml:space="preserve">presentations to </w:t>
      </w:r>
      <w:r w:rsidR="00825367">
        <w:t xml:space="preserve">building and construction </w:t>
      </w:r>
      <w:r w:rsidR="00AC5FE7">
        <w:t>apprentices</w:t>
      </w:r>
      <w:r w:rsidR="00825367">
        <w:t xml:space="preserve">, </w:t>
      </w:r>
      <w:r w:rsidR="0078145A">
        <w:t>t</w:t>
      </w:r>
      <w:r w:rsidR="006776B5">
        <w:t>he Canberra C</w:t>
      </w:r>
      <w:r w:rsidRPr="00CF6DBC">
        <w:t>areers</w:t>
      </w:r>
      <w:r w:rsidR="006776B5">
        <w:t xml:space="preserve"> X</w:t>
      </w:r>
      <w:r w:rsidRPr="00CF6DBC">
        <w:t>po and a local school careers night. These activities helped increase awareness of portable long service leave schemes and strengthen relationships with employers, workers and the broader community.</w:t>
      </w:r>
    </w:p>
    <w:p w14:paraId="23DD5D42" w14:textId="202D3B02" w:rsidR="0018566A" w:rsidRDefault="007A27ED" w:rsidP="004119E6">
      <w:pPr>
        <w:pStyle w:val="Heading4"/>
        <w:rPr>
          <w:rFonts w:cs="Arial"/>
        </w:rPr>
      </w:pPr>
      <w:r w:rsidRPr="00BB2758">
        <w:rPr>
          <w:rFonts w:cs="Arial"/>
        </w:rPr>
        <w:t>Business</w:t>
      </w:r>
      <w:r w:rsidR="004119E6" w:rsidRPr="00BB2758">
        <w:rPr>
          <w:rFonts w:cs="Arial"/>
        </w:rPr>
        <w:t xml:space="preserve"> </w:t>
      </w:r>
      <w:r w:rsidR="005E7A04" w:rsidRPr="00BB2758">
        <w:rPr>
          <w:rFonts w:cs="Arial"/>
        </w:rPr>
        <w:t>transformation</w:t>
      </w:r>
    </w:p>
    <w:p w14:paraId="4AB89FF0" w14:textId="259D73A5" w:rsidR="00ED34A2" w:rsidRPr="00ED34A2" w:rsidRDefault="003D5676" w:rsidP="00ED34A2">
      <w:pPr>
        <w:pStyle w:val="Heading4"/>
        <w:rPr>
          <w:rFonts w:cs="Arial"/>
        </w:rPr>
      </w:pPr>
      <w:r w:rsidRPr="00AD02E1">
        <w:rPr>
          <w:rFonts w:cs="Arial"/>
          <w:b w:val="0"/>
          <w:lang w:val="en-US"/>
        </w:rPr>
        <w:t>During 2025-26, ACT Leave continued it</w:t>
      </w:r>
      <w:r w:rsidR="008A21C9" w:rsidRPr="05405795">
        <w:rPr>
          <w:rFonts w:cs="Arial"/>
          <w:b w:val="0"/>
          <w:lang w:val="en-US"/>
        </w:rPr>
        <w:t>s commitment to continuous improvement through a range of operational and business improvement initiatives. A key focus</w:t>
      </w:r>
      <w:r w:rsidR="00D971D5">
        <w:rPr>
          <w:rFonts w:cs="Arial"/>
          <w:b w:val="0"/>
          <w:lang w:val="en-US"/>
        </w:rPr>
        <w:t xml:space="preserve"> was the</w:t>
      </w:r>
      <w:r w:rsidR="008A21C9" w:rsidRPr="05405795">
        <w:rPr>
          <w:rFonts w:cs="Arial"/>
          <w:b w:val="0"/>
          <w:lang w:val="en-US"/>
        </w:rPr>
        <w:t xml:space="preserve"> </w:t>
      </w:r>
      <w:r w:rsidR="00540EF1" w:rsidRPr="05405795">
        <w:rPr>
          <w:rFonts w:cs="Arial"/>
          <w:b w:val="0"/>
          <w:lang w:val="en-US"/>
        </w:rPr>
        <w:t xml:space="preserve">delivery of a comprehensive Workforce Review, which assessed the organisation’s structure, capability and operating model </w:t>
      </w:r>
      <w:r w:rsidR="00700499" w:rsidRPr="00700499">
        <w:rPr>
          <w:rFonts w:cs="Arial"/>
          <w:b w:val="0"/>
          <w:bCs/>
        </w:rPr>
        <w:t xml:space="preserve">to ensure alignment with strategic objectives and future service delivery requirements. </w:t>
      </w:r>
      <w:r w:rsidR="00ED34A2" w:rsidRPr="00ED34A2">
        <w:rPr>
          <w:rFonts w:cs="Arial"/>
          <w:b w:val="0"/>
          <w:bCs/>
        </w:rPr>
        <w:t xml:space="preserve">This work is particularly important in preparation for the </w:t>
      </w:r>
      <w:r w:rsidR="00680031">
        <w:rPr>
          <w:rFonts w:cs="Arial"/>
          <w:b w:val="0"/>
          <w:bCs/>
        </w:rPr>
        <w:t xml:space="preserve">new industries </w:t>
      </w:r>
      <w:r w:rsidR="00EB0F01">
        <w:rPr>
          <w:rFonts w:cs="Arial"/>
          <w:b w:val="0"/>
          <w:bCs/>
        </w:rPr>
        <w:t>entering the newly established</w:t>
      </w:r>
      <w:r w:rsidR="00ED34A2" w:rsidRPr="00ED34A2">
        <w:rPr>
          <w:rFonts w:cs="Arial"/>
          <w:b w:val="0"/>
          <w:bCs/>
        </w:rPr>
        <w:t xml:space="preserve"> Services Industry Scheme from 1 January 2027, which is expected to almost double the number of employers supported by ACT Leave and increase the number of registered workers by an estimated 20,000 to 30,000.</w:t>
      </w:r>
    </w:p>
    <w:p w14:paraId="35640EE4" w14:textId="156184EF" w:rsidR="00310D8F" w:rsidRPr="00310D8F" w:rsidRDefault="00310D8F" w:rsidP="2E2FBE92">
      <w:pPr>
        <w:pStyle w:val="Heading4"/>
        <w:rPr>
          <w:rFonts w:cs="Arial"/>
          <w:b w:val="0"/>
          <w:lang w:val="en-US"/>
        </w:rPr>
      </w:pPr>
      <w:r w:rsidRPr="2E2FBE92">
        <w:rPr>
          <w:rFonts w:cs="Arial"/>
          <w:b w:val="0"/>
          <w:lang w:val="en-US"/>
        </w:rPr>
        <w:t xml:space="preserve">The </w:t>
      </w:r>
      <w:r w:rsidR="00D150CB" w:rsidRPr="2E2FBE92">
        <w:rPr>
          <w:rFonts w:cs="Arial"/>
          <w:b w:val="0"/>
          <w:lang w:val="en-US"/>
        </w:rPr>
        <w:t xml:space="preserve">Workforce </w:t>
      </w:r>
      <w:r w:rsidRPr="2E2FBE92">
        <w:rPr>
          <w:rFonts w:cs="Arial"/>
          <w:b w:val="0"/>
          <w:lang w:val="en-US"/>
        </w:rPr>
        <w:t>Review culminated in an updated organisational design that clarifies portfolio responsibilities, strengthens organisational capability, establishes purity of function, and supports more efficient and effective ways of working. To inform the</w:t>
      </w:r>
      <w:r w:rsidR="0038721D" w:rsidRPr="2E2FBE92">
        <w:rPr>
          <w:rFonts w:cs="Arial"/>
          <w:b w:val="0"/>
          <w:lang w:val="en-US"/>
        </w:rPr>
        <w:t xml:space="preserve"> Workforce</w:t>
      </w:r>
      <w:r w:rsidRPr="2E2FBE92">
        <w:rPr>
          <w:rFonts w:cs="Arial"/>
          <w:b w:val="0"/>
          <w:lang w:val="en-US"/>
        </w:rPr>
        <w:t xml:space="preserve"> Review, ACT Leave's Operations, Compliance and Finance teams undertook a comprehensive </w:t>
      </w:r>
      <w:r w:rsidR="00D22AAB" w:rsidRPr="2E2FBE92">
        <w:rPr>
          <w:rFonts w:cs="Arial"/>
          <w:b w:val="0"/>
          <w:lang w:val="en-US"/>
        </w:rPr>
        <w:t>analysis</w:t>
      </w:r>
      <w:r w:rsidRPr="2E2FBE92">
        <w:rPr>
          <w:rFonts w:cs="Arial"/>
          <w:b w:val="0"/>
          <w:lang w:val="en-US"/>
        </w:rPr>
        <w:t xml:space="preserve"> of current operations to establish a baseline of existing processes and practices. This</w:t>
      </w:r>
      <w:r w:rsidR="00524C74">
        <w:rPr>
          <w:rFonts w:cs="Arial"/>
          <w:b w:val="0"/>
          <w:lang w:val="en-US"/>
        </w:rPr>
        <w:t> </w:t>
      </w:r>
      <w:r w:rsidRPr="2E2FBE92">
        <w:rPr>
          <w:rFonts w:cs="Arial"/>
          <w:b w:val="0"/>
          <w:lang w:val="en-US"/>
        </w:rPr>
        <w:t>included the development of process maps and standard operating procedures within the Operations Team, and the identification of continuous improvement opportunities across the Compliance and Finance functions. The</w:t>
      </w:r>
      <w:r w:rsidR="00524C74">
        <w:rPr>
          <w:rFonts w:cs="Arial"/>
          <w:b w:val="0"/>
          <w:lang w:val="en-US"/>
        </w:rPr>
        <w:t> </w:t>
      </w:r>
      <w:r w:rsidRPr="2E2FBE92">
        <w:rPr>
          <w:rFonts w:cs="Arial"/>
          <w:b w:val="0"/>
          <w:lang w:val="en-US"/>
        </w:rPr>
        <w:t xml:space="preserve">findings informed the Workforce Review and the development of a Continuous Improvement Register, which will guide the </w:t>
      </w:r>
      <w:proofErr w:type="spellStart"/>
      <w:r w:rsidRPr="2E2FBE92">
        <w:rPr>
          <w:rFonts w:cs="Arial"/>
          <w:b w:val="0"/>
          <w:lang w:val="en-US"/>
        </w:rPr>
        <w:t>prioritisation</w:t>
      </w:r>
      <w:proofErr w:type="spellEnd"/>
      <w:r w:rsidRPr="2E2FBE92">
        <w:rPr>
          <w:rFonts w:cs="Arial"/>
          <w:b w:val="0"/>
          <w:lang w:val="en-US"/>
        </w:rPr>
        <w:t xml:space="preserve"> and delivery of improvement initiatives in 2026-27.</w:t>
      </w:r>
    </w:p>
    <w:p w14:paraId="0A5E4D1C" w14:textId="77777777" w:rsidR="00AE7675" w:rsidRPr="00AE7675" w:rsidRDefault="00AE7675" w:rsidP="00AE7675">
      <w:pPr>
        <w:pStyle w:val="Heading4"/>
        <w:rPr>
          <w:rFonts w:cs="Arial"/>
          <w:b w:val="0"/>
        </w:rPr>
      </w:pPr>
      <w:r w:rsidRPr="00AE7675">
        <w:rPr>
          <w:rFonts w:cs="Arial"/>
          <w:b w:val="0"/>
        </w:rPr>
        <w:t>This work complements broader organisational improvement initiatives, including:</w:t>
      </w:r>
    </w:p>
    <w:p w14:paraId="7F0B4A7B" w14:textId="77777777" w:rsidR="00D116AF" w:rsidRDefault="00FA2E05" w:rsidP="000A630C">
      <w:pPr>
        <w:pStyle w:val="ListBullet"/>
      </w:pPr>
      <w:r>
        <w:t>I</w:t>
      </w:r>
      <w:r w:rsidR="001726D9">
        <w:t>nformation and records management</w:t>
      </w:r>
    </w:p>
    <w:p w14:paraId="382C73FD" w14:textId="2178C79D" w:rsidR="001609A8" w:rsidRDefault="00F9025D" w:rsidP="00A54D1A">
      <w:pPr>
        <w:pStyle w:val="ListBullet21"/>
      </w:pPr>
      <w:r w:rsidRPr="00AD02E1">
        <w:t>Uplifting information and records governance</w:t>
      </w:r>
      <w:r w:rsidR="00050678" w:rsidRPr="00AD02E1">
        <w:t xml:space="preserve"> </w:t>
      </w:r>
      <w:r w:rsidRPr="00AD02E1">
        <w:t xml:space="preserve">by adopting the </w:t>
      </w:r>
      <w:r w:rsidR="0034197D" w:rsidRPr="0034197D">
        <w:t xml:space="preserve">Chief Minister, Treasury and Economic Development Directorate </w:t>
      </w:r>
      <w:r w:rsidR="0034197D">
        <w:t>(</w:t>
      </w:r>
      <w:r w:rsidRPr="00AD02E1">
        <w:t>CMTEDD</w:t>
      </w:r>
      <w:r w:rsidR="0034197D">
        <w:t>)</w:t>
      </w:r>
      <w:r w:rsidRPr="00AD02E1">
        <w:t xml:space="preserve"> Records </w:t>
      </w:r>
      <w:r w:rsidR="00D1765D" w:rsidRPr="00D1765D">
        <w:t>Management</w:t>
      </w:r>
      <w:r w:rsidRPr="00AD02E1">
        <w:t xml:space="preserve"> Program </w:t>
      </w:r>
      <w:r w:rsidR="00EB093F">
        <w:t xml:space="preserve">in October 2025 </w:t>
      </w:r>
      <w:r w:rsidR="00EF36D4" w:rsidRPr="00AD02E1">
        <w:t>and assigning</w:t>
      </w:r>
      <w:r w:rsidR="00EF36D4">
        <w:t xml:space="preserve"> </w:t>
      </w:r>
      <w:r w:rsidR="00F407D7">
        <w:t>Principal Officer and Senior Officer responsib</w:t>
      </w:r>
      <w:r w:rsidR="00F80418">
        <w:t>ilities</w:t>
      </w:r>
      <w:r w:rsidR="00F407D7">
        <w:t xml:space="preserve"> for record</w:t>
      </w:r>
      <w:r w:rsidR="00DD2FBF">
        <w:t>s management</w:t>
      </w:r>
      <w:r w:rsidR="00F407D7">
        <w:t>.</w:t>
      </w:r>
    </w:p>
    <w:p w14:paraId="1F34EF36" w14:textId="00AD8CC2" w:rsidR="000D49CD" w:rsidRDefault="00834181" w:rsidP="00D116AF">
      <w:pPr>
        <w:pStyle w:val="ListBullet21"/>
      </w:pPr>
      <w:r w:rsidRPr="00A35B35">
        <w:t>Implement</w:t>
      </w:r>
      <w:r w:rsidR="0032624D">
        <w:t>ation</w:t>
      </w:r>
      <w:r w:rsidR="001609A8">
        <w:t xml:space="preserve"> of procedures and plans</w:t>
      </w:r>
      <w:r w:rsidR="00D63AE6">
        <w:t xml:space="preserve"> for managing </w:t>
      </w:r>
      <w:r w:rsidR="00D63B85">
        <w:t>and disposing of digitised</w:t>
      </w:r>
      <w:r w:rsidR="00D63AE6">
        <w:t xml:space="preserve"> and </w:t>
      </w:r>
      <w:r w:rsidR="00D63B85">
        <w:t>physical</w:t>
      </w:r>
      <w:r w:rsidR="00D63AE6">
        <w:t xml:space="preserve"> records</w:t>
      </w:r>
      <w:r w:rsidR="000D49CD" w:rsidRPr="000D49CD">
        <w:t xml:space="preserve"> </w:t>
      </w:r>
      <w:r w:rsidR="000D49CD">
        <w:t xml:space="preserve">and commencing a disposal program of our physical records. </w:t>
      </w:r>
    </w:p>
    <w:p w14:paraId="15AD14F0" w14:textId="6C2EEF47" w:rsidR="00ED4009" w:rsidRDefault="00224B19" w:rsidP="00D116AF">
      <w:pPr>
        <w:pStyle w:val="ListBullet21"/>
      </w:pPr>
      <w:r w:rsidRPr="00A35B35">
        <w:lastRenderedPageBreak/>
        <w:t>D</w:t>
      </w:r>
      <w:r w:rsidR="00ED4009" w:rsidRPr="00A35B35">
        <w:t>evelop</w:t>
      </w:r>
      <w:r w:rsidR="00BE0103">
        <w:t>ment of</w:t>
      </w:r>
      <w:r w:rsidR="00ED4009">
        <w:t xml:space="preserve"> a</w:t>
      </w:r>
      <w:r w:rsidR="00ED4009" w:rsidDel="002C5EF7">
        <w:t xml:space="preserve"> </w:t>
      </w:r>
      <w:r w:rsidR="00ED4009">
        <w:t xml:space="preserve">new </w:t>
      </w:r>
      <w:r w:rsidR="003E72C0">
        <w:t>R</w:t>
      </w:r>
      <w:r w:rsidR="00ED4009">
        <w:t xml:space="preserve">ecords </w:t>
      </w:r>
      <w:r w:rsidR="003E72C0">
        <w:t>D</w:t>
      </w:r>
      <w:r w:rsidR="00ED4009">
        <w:t xml:space="preserve">isposal </w:t>
      </w:r>
      <w:r w:rsidR="003E72C0">
        <w:t>S</w:t>
      </w:r>
      <w:r w:rsidR="00ED4009">
        <w:t>chedule to ensure disposal coverage of ACT Leave’s core business records</w:t>
      </w:r>
      <w:r w:rsidR="00207B80">
        <w:t>.</w:t>
      </w:r>
    </w:p>
    <w:p w14:paraId="1CEAF1BF" w14:textId="5D21BFE0" w:rsidR="009F578A" w:rsidRDefault="009F578A" w:rsidP="00A35B35">
      <w:pPr>
        <w:pStyle w:val="ListBullet21"/>
        <w:spacing w:after="140" w:line="280" w:lineRule="atLeast"/>
        <w:ind w:left="714" w:hanging="357"/>
      </w:pPr>
      <w:r w:rsidRPr="00A35B35">
        <w:t>Identif</w:t>
      </w:r>
      <w:r w:rsidR="00C57579">
        <w:t>ication of</w:t>
      </w:r>
      <w:r>
        <w:t xml:space="preserve"> personal information holdings and reviewing procedures for their collection and retention to ensure appropriate management</w:t>
      </w:r>
      <w:r w:rsidR="003E72C0">
        <w:t>.</w:t>
      </w:r>
    </w:p>
    <w:p w14:paraId="66B3A703" w14:textId="77777777" w:rsidR="00E02D42" w:rsidRPr="00E02D42" w:rsidRDefault="00FA2E05" w:rsidP="000A630C">
      <w:pPr>
        <w:pStyle w:val="ListBullet"/>
        <w:rPr>
          <w:b/>
        </w:rPr>
      </w:pPr>
      <w:r>
        <w:t>ICT systems</w:t>
      </w:r>
      <w:r w:rsidR="001726D9">
        <w:t xml:space="preserve"> and technology</w:t>
      </w:r>
    </w:p>
    <w:p w14:paraId="038220D3" w14:textId="5223FAB4" w:rsidR="00753D15" w:rsidRPr="006C5A71" w:rsidRDefault="00C57579" w:rsidP="00753D15">
      <w:pPr>
        <w:pStyle w:val="ListBullet21"/>
        <w:rPr>
          <w:lang w:val="en-AU"/>
        </w:rPr>
      </w:pPr>
      <w:r w:rsidRPr="006C5A71">
        <w:t>S</w:t>
      </w:r>
      <w:r w:rsidR="00753D15" w:rsidRPr="006C5A71">
        <w:rPr>
          <w:lang w:val="en-AU"/>
        </w:rPr>
        <w:t>uccessful migration to the ACT Government ICT environment, delivering operational efficiencies, improving integration with ACT Government systems and services, and enhancing ICT security protections</w:t>
      </w:r>
      <w:r w:rsidR="009706AD">
        <w:rPr>
          <w:lang w:val="en-AU"/>
        </w:rPr>
        <w:t>.</w:t>
      </w:r>
    </w:p>
    <w:p w14:paraId="3268A39C" w14:textId="246A4DAC" w:rsidR="00B7718C" w:rsidRPr="00FC3941" w:rsidRDefault="00FC3941" w:rsidP="00C7137F">
      <w:pPr>
        <w:pStyle w:val="ListBullet21"/>
        <w:spacing w:after="120"/>
        <w:ind w:left="714" w:hanging="357"/>
      </w:pPr>
      <w:r w:rsidRPr="00FC3941">
        <w:t>Continued</w:t>
      </w:r>
      <w:r w:rsidR="00C2247A">
        <w:t xml:space="preserve"> investment </w:t>
      </w:r>
      <w:r w:rsidR="00344566">
        <w:t xml:space="preserve">in ACT Leave’s administration system </w:t>
      </w:r>
      <w:r w:rsidR="00520E5C">
        <w:t xml:space="preserve">to </w:t>
      </w:r>
      <w:r w:rsidR="00FD2BDF">
        <w:t xml:space="preserve">improve </w:t>
      </w:r>
      <w:r w:rsidR="001C46CB">
        <w:t xml:space="preserve">overall </w:t>
      </w:r>
      <w:r w:rsidR="00FD2BDF">
        <w:t>functionality and</w:t>
      </w:r>
      <w:r w:rsidR="0065580E">
        <w:t xml:space="preserve"> </w:t>
      </w:r>
      <w:r w:rsidR="00943E33">
        <w:t xml:space="preserve">support </w:t>
      </w:r>
      <w:r w:rsidR="007D32A5">
        <w:t>new industries entering the newly established</w:t>
      </w:r>
      <w:r w:rsidR="00943E33">
        <w:t xml:space="preserve"> Services Industry Scheme.</w:t>
      </w:r>
    </w:p>
    <w:p w14:paraId="4F31D65C" w14:textId="77777777" w:rsidR="000F4503" w:rsidRPr="000F4503" w:rsidRDefault="000F4503" w:rsidP="000F4503">
      <w:pPr>
        <w:rPr>
          <w:lang w:val="en-AU"/>
        </w:rPr>
      </w:pPr>
      <w:r w:rsidRPr="000F4503">
        <w:rPr>
          <w:lang w:val="en-AU"/>
        </w:rPr>
        <w:t>Collectively, these initiatives are strengthening organisational resilience and ensuring ACT Leave is well positioned to meet the needs of workers, employers and the ACT community. Embedding the outcomes of the Workforce Review, establishing the new organisational design, building organisational capability and capacity, and further enhancing the administration system will be key priorities in 2026-27.</w:t>
      </w:r>
    </w:p>
    <w:p w14:paraId="06644A26" w14:textId="00132EA4" w:rsidR="004119E6" w:rsidRPr="00BB2758" w:rsidRDefault="004119E6" w:rsidP="004119E6">
      <w:pPr>
        <w:pStyle w:val="Heading4"/>
        <w:rPr>
          <w:rFonts w:cs="Arial"/>
        </w:rPr>
      </w:pPr>
      <w:r w:rsidRPr="00BB2758">
        <w:rPr>
          <w:rFonts w:cs="Arial"/>
        </w:rPr>
        <w:t>Operations</w:t>
      </w:r>
    </w:p>
    <w:p w14:paraId="277AE69C" w14:textId="76F328CA" w:rsidR="0061605D" w:rsidRPr="00BB2758" w:rsidRDefault="0061605D" w:rsidP="006E0242">
      <w:r w:rsidRPr="00BB2758">
        <w:t>ACT Leave experience</w:t>
      </w:r>
      <w:r w:rsidR="000279B9">
        <w:t>d</w:t>
      </w:r>
      <w:r w:rsidRPr="00BB2758">
        <w:t xml:space="preserve"> a</w:t>
      </w:r>
      <w:r w:rsidR="00884C45" w:rsidRPr="00BB2758">
        <w:t xml:space="preserve"> </w:t>
      </w:r>
      <w:r w:rsidR="000279B9">
        <w:t>noticeable increase</w:t>
      </w:r>
      <w:r w:rsidRPr="00BB2758">
        <w:t xml:space="preserve"> in benefit claims</w:t>
      </w:r>
      <w:r w:rsidR="007E12D8">
        <w:t xml:space="preserve"> during 2025-26</w:t>
      </w:r>
      <w:r w:rsidR="00884C45" w:rsidRPr="00BB2758">
        <w:t xml:space="preserve">, </w:t>
      </w:r>
      <w:r w:rsidR="00884C45" w:rsidRPr="005D67D9">
        <w:rPr>
          <w:lang w:val="en-AU"/>
        </w:rPr>
        <w:t xml:space="preserve">with </w:t>
      </w:r>
      <w:r w:rsidR="003A57EA" w:rsidRPr="005D67D9">
        <w:rPr>
          <w:lang w:val="en-AU"/>
        </w:rPr>
        <w:t xml:space="preserve">the number of benefit payments processed </w:t>
      </w:r>
      <w:r w:rsidR="005D67D9" w:rsidRPr="005D67D9">
        <w:rPr>
          <w:lang w:val="en-AU"/>
        </w:rPr>
        <w:t>increasing by 18.8%</w:t>
      </w:r>
      <w:r w:rsidR="00A15644">
        <w:rPr>
          <w:lang w:val="en-AU"/>
        </w:rPr>
        <w:t>,</w:t>
      </w:r>
      <w:r w:rsidR="005D67D9" w:rsidRPr="005D67D9">
        <w:rPr>
          <w:lang w:val="en-AU"/>
        </w:rPr>
        <w:t xml:space="preserve"> </w:t>
      </w:r>
      <w:r w:rsidR="00DC3B19">
        <w:rPr>
          <w:lang w:val="en-AU"/>
        </w:rPr>
        <w:t xml:space="preserve">from 3,256 in </w:t>
      </w:r>
      <w:r w:rsidR="000E6846" w:rsidRPr="005D67D9">
        <w:rPr>
          <w:lang w:val="en-AU"/>
        </w:rPr>
        <w:t>202</w:t>
      </w:r>
      <w:r w:rsidR="00981399" w:rsidRPr="005D67D9">
        <w:rPr>
          <w:lang w:val="en-AU"/>
        </w:rPr>
        <w:t>4</w:t>
      </w:r>
      <w:r w:rsidR="000E6846" w:rsidRPr="005D67D9">
        <w:rPr>
          <w:lang w:val="en-AU"/>
        </w:rPr>
        <w:t>-2</w:t>
      </w:r>
      <w:r w:rsidR="00981399" w:rsidRPr="005D67D9">
        <w:rPr>
          <w:lang w:val="en-AU"/>
        </w:rPr>
        <w:t>5</w:t>
      </w:r>
      <w:r w:rsidR="005A4B5A">
        <w:rPr>
          <w:lang w:val="en-AU"/>
        </w:rPr>
        <w:t xml:space="preserve"> to 3,868 in 2025-26</w:t>
      </w:r>
      <w:r w:rsidR="00314C30" w:rsidRPr="00BB2758">
        <w:t xml:space="preserve">. </w:t>
      </w:r>
      <w:r w:rsidR="00F8475F" w:rsidRPr="00A0639A">
        <w:rPr>
          <w:lang w:val="en-AU"/>
        </w:rPr>
        <w:t xml:space="preserve">While </w:t>
      </w:r>
      <w:r w:rsidR="00A0639A" w:rsidRPr="00A0639A">
        <w:rPr>
          <w:lang w:val="en-AU"/>
        </w:rPr>
        <w:t xml:space="preserve">this growth reflects the </w:t>
      </w:r>
      <w:r w:rsidR="00F8475F" w:rsidRPr="00A0639A">
        <w:rPr>
          <w:lang w:val="en-AU"/>
        </w:rPr>
        <w:t xml:space="preserve">continued </w:t>
      </w:r>
      <w:r w:rsidR="00A0639A" w:rsidRPr="00A0639A">
        <w:rPr>
          <w:lang w:val="en-AU"/>
        </w:rPr>
        <w:t>maturation</w:t>
      </w:r>
      <w:r w:rsidR="000A26E5" w:rsidRPr="00A0639A">
        <w:rPr>
          <w:lang w:val="en-AU"/>
        </w:rPr>
        <w:t xml:space="preserve"> of the schemes</w:t>
      </w:r>
      <w:r w:rsidR="00F8475F">
        <w:t xml:space="preserve">, </w:t>
      </w:r>
      <w:r w:rsidR="00C87670">
        <w:t>ACT Leave also received an increased number of reimbursement to employer claims for employers who made long service leave payments under</w:t>
      </w:r>
      <w:r w:rsidR="00431CE7">
        <w:t xml:space="preserve"> the </w:t>
      </w:r>
      <w:r w:rsidR="00BB70D4" w:rsidRPr="00BB70D4">
        <w:rPr>
          <w:i/>
          <w:iCs/>
          <w:lang w:val="en-AU"/>
        </w:rPr>
        <w:t>Long Service Leave (Portable Schemes) Act 1976</w:t>
      </w:r>
      <w:r w:rsidR="00BB70D4">
        <w:rPr>
          <w:lang w:val="en-AU"/>
        </w:rPr>
        <w:t xml:space="preserve"> (1976 Act).</w:t>
      </w:r>
      <w:r w:rsidR="00E36B25">
        <w:t xml:space="preserve"> </w:t>
      </w:r>
      <w:r w:rsidR="007D0F17">
        <w:t xml:space="preserve">This increase was largely driven by employer mergers in the </w:t>
      </w:r>
      <w:r w:rsidR="00995459">
        <w:t>community sector</w:t>
      </w:r>
      <w:r w:rsidR="007D0F17">
        <w:t xml:space="preserve"> and security contract changes in the </w:t>
      </w:r>
      <w:r w:rsidR="00995459">
        <w:t>security industry</w:t>
      </w:r>
      <w:r w:rsidR="00A0292F">
        <w:t>,</w:t>
      </w:r>
      <w:r w:rsidR="00040E70">
        <w:t xml:space="preserve"> </w:t>
      </w:r>
      <w:r w:rsidR="00A07E2B">
        <w:t>which resulted</w:t>
      </w:r>
      <w:r w:rsidR="00040E70">
        <w:t xml:space="preserve"> in employers paying long service leave entitlements</w:t>
      </w:r>
      <w:r w:rsidR="00EF4D18">
        <w:t xml:space="preserve"> directly to </w:t>
      </w:r>
      <w:r w:rsidR="00732B8D">
        <w:t>employees</w:t>
      </w:r>
      <w:r w:rsidR="008B5503">
        <w:t xml:space="preserve"> </w:t>
      </w:r>
      <w:r w:rsidR="00805692">
        <w:t>at the end of their employment</w:t>
      </w:r>
      <w:r w:rsidR="00BE31E4">
        <w:t xml:space="preserve"> in accordance with the requirements of the 1976 Act</w:t>
      </w:r>
      <w:r w:rsidR="00431CE7">
        <w:t>.</w:t>
      </w:r>
      <w:r w:rsidR="007D0F17">
        <w:t xml:space="preserve"> </w:t>
      </w:r>
      <w:r w:rsidR="00431CE7">
        <w:t xml:space="preserve"> </w:t>
      </w:r>
    </w:p>
    <w:p w14:paraId="13A4A295" w14:textId="265CCC87" w:rsidR="007B5FE5" w:rsidRPr="007B5FE5" w:rsidRDefault="00314C30" w:rsidP="007B5FE5">
      <w:pPr>
        <w:rPr>
          <w:lang w:val="en-AU"/>
        </w:rPr>
      </w:pPr>
      <w:r w:rsidRPr="007B5FE5">
        <w:rPr>
          <w:lang w:val="en-AU"/>
        </w:rPr>
        <w:t xml:space="preserve">Registered employers </w:t>
      </w:r>
      <w:r w:rsidR="007B5FE5" w:rsidRPr="007B5FE5">
        <w:rPr>
          <w:lang w:val="en-AU"/>
        </w:rPr>
        <w:t>increased by 1.18%</w:t>
      </w:r>
      <w:r w:rsidR="00701AF2" w:rsidRPr="007B5FE5">
        <w:rPr>
          <w:lang w:val="en-AU"/>
        </w:rPr>
        <w:t xml:space="preserve"> in </w:t>
      </w:r>
      <w:r w:rsidR="000F3C03" w:rsidRPr="007B5FE5">
        <w:rPr>
          <w:lang w:val="en-AU"/>
        </w:rPr>
        <w:t>2025-26</w:t>
      </w:r>
      <w:r w:rsidR="007B5FE5" w:rsidRPr="007B5FE5">
        <w:rPr>
          <w:lang w:val="en-AU"/>
        </w:rPr>
        <w:t xml:space="preserve">. </w:t>
      </w:r>
      <w:r w:rsidR="007B5FE5" w:rsidRPr="00176D24">
        <w:rPr>
          <w:lang w:val="en-AU"/>
        </w:rPr>
        <w:t>E</w:t>
      </w:r>
      <w:r w:rsidR="00176D24" w:rsidRPr="00176D24">
        <w:rPr>
          <w:lang w:val="en-AU"/>
        </w:rPr>
        <w:t xml:space="preserve">mployer numbers increased in the Community Sector </w:t>
      </w:r>
      <w:r w:rsidR="00D74AB0">
        <w:rPr>
          <w:lang w:val="en-AU"/>
        </w:rPr>
        <w:t>Industry</w:t>
      </w:r>
      <w:r w:rsidR="00176D24" w:rsidRPr="00176D24">
        <w:rPr>
          <w:lang w:val="en-AU"/>
        </w:rPr>
        <w:t xml:space="preserve"> Scheme (9.13%) and Security Industry Scheme (5.45%), while</w:t>
      </w:r>
      <w:r w:rsidR="00A418CB" w:rsidRPr="00176D24">
        <w:rPr>
          <w:lang w:val="en-AU"/>
        </w:rPr>
        <w:t xml:space="preserve"> </w:t>
      </w:r>
      <w:r w:rsidR="005B731C" w:rsidRPr="00176D24">
        <w:rPr>
          <w:lang w:val="en-AU"/>
        </w:rPr>
        <w:t xml:space="preserve">decreases </w:t>
      </w:r>
      <w:r w:rsidR="00176D24" w:rsidRPr="00176D24">
        <w:rPr>
          <w:lang w:val="en-AU"/>
        </w:rPr>
        <w:t xml:space="preserve">were recorded in </w:t>
      </w:r>
      <w:r w:rsidR="00905D79" w:rsidRPr="00176D24">
        <w:rPr>
          <w:lang w:val="en-AU"/>
        </w:rPr>
        <w:t>the Building</w:t>
      </w:r>
      <w:r w:rsidRPr="00176D24">
        <w:rPr>
          <w:lang w:val="en-AU"/>
        </w:rPr>
        <w:t xml:space="preserve"> </w:t>
      </w:r>
      <w:r w:rsidR="00686CF6" w:rsidRPr="00176D24">
        <w:rPr>
          <w:lang w:val="en-AU"/>
        </w:rPr>
        <w:t xml:space="preserve">and </w:t>
      </w:r>
      <w:r w:rsidR="00905D79" w:rsidRPr="00176D24">
        <w:rPr>
          <w:lang w:val="en-AU"/>
        </w:rPr>
        <w:t>Construction Industry</w:t>
      </w:r>
      <w:r w:rsidR="006C76AA" w:rsidRPr="00176D24">
        <w:rPr>
          <w:lang w:val="en-AU"/>
        </w:rPr>
        <w:t xml:space="preserve"> </w:t>
      </w:r>
      <w:r w:rsidR="00176D24" w:rsidRPr="00176D24">
        <w:rPr>
          <w:lang w:val="en-AU"/>
        </w:rPr>
        <w:t xml:space="preserve">Scheme </w:t>
      </w:r>
      <w:r w:rsidR="006C76AA" w:rsidRPr="00176D24">
        <w:rPr>
          <w:lang w:val="en-AU"/>
        </w:rPr>
        <w:t>(</w:t>
      </w:r>
      <w:r w:rsidR="004E65F2" w:rsidRPr="00176D24">
        <w:rPr>
          <w:lang w:val="en-AU"/>
        </w:rPr>
        <w:t>0.45</w:t>
      </w:r>
      <w:r w:rsidR="000236AD" w:rsidRPr="00176D24">
        <w:rPr>
          <w:lang w:val="en-AU"/>
        </w:rPr>
        <w:t xml:space="preserve">%) and </w:t>
      </w:r>
      <w:r w:rsidR="000E28E1" w:rsidRPr="00176D24">
        <w:rPr>
          <w:lang w:val="en-AU"/>
        </w:rPr>
        <w:t>Services</w:t>
      </w:r>
      <w:r w:rsidR="00ED5C25" w:rsidRPr="00176D24">
        <w:rPr>
          <w:lang w:val="en-AU"/>
        </w:rPr>
        <w:t xml:space="preserve"> Industry </w:t>
      </w:r>
      <w:r w:rsidR="00176D24" w:rsidRPr="00176D24">
        <w:rPr>
          <w:lang w:val="en-AU"/>
        </w:rPr>
        <w:t xml:space="preserve">Scheme </w:t>
      </w:r>
      <w:r w:rsidR="00ED5C25" w:rsidRPr="00176D24">
        <w:rPr>
          <w:lang w:val="en-AU"/>
        </w:rPr>
        <w:t>(</w:t>
      </w:r>
      <w:r w:rsidR="006C76AA" w:rsidRPr="00176D24">
        <w:rPr>
          <w:lang w:val="en-AU"/>
        </w:rPr>
        <w:t>2.</w:t>
      </w:r>
      <w:r w:rsidR="009A4A35" w:rsidRPr="00176D24">
        <w:rPr>
          <w:lang w:val="en-AU"/>
        </w:rPr>
        <w:t>38</w:t>
      </w:r>
      <w:r w:rsidR="00393C7A" w:rsidRPr="00176D24">
        <w:rPr>
          <w:lang w:val="en-AU"/>
        </w:rPr>
        <w:t>%)</w:t>
      </w:r>
      <w:r w:rsidR="00DB3197" w:rsidRPr="00176D24">
        <w:rPr>
          <w:lang w:val="en-AU"/>
        </w:rPr>
        <w:t>.</w:t>
      </w:r>
      <w:r w:rsidR="00887A5E" w:rsidRPr="00176D24">
        <w:rPr>
          <w:lang w:val="en-AU"/>
        </w:rPr>
        <w:t xml:space="preserve"> </w:t>
      </w:r>
      <w:r w:rsidR="007B5FE5" w:rsidRPr="007B5FE5">
        <w:rPr>
          <w:lang w:val="en-AU"/>
        </w:rPr>
        <w:t xml:space="preserve">The </w:t>
      </w:r>
      <w:r w:rsidR="00A06ED2" w:rsidRPr="007B5FE5">
        <w:rPr>
          <w:lang w:val="en-AU"/>
        </w:rPr>
        <w:t>Building and Construction Industry</w:t>
      </w:r>
      <w:r w:rsidR="00393C7A" w:rsidRPr="007B5FE5">
        <w:rPr>
          <w:lang w:val="en-AU"/>
        </w:rPr>
        <w:t xml:space="preserve"> </w:t>
      </w:r>
      <w:r w:rsidR="007B5FE5" w:rsidRPr="007B5FE5">
        <w:rPr>
          <w:lang w:val="en-AU"/>
        </w:rPr>
        <w:t xml:space="preserve">Scheme recorded its second consecutive year of declining employer numbers and </w:t>
      </w:r>
      <w:r w:rsidR="00FC7C79" w:rsidRPr="007B5FE5">
        <w:rPr>
          <w:lang w:val="en-AU"/>
        </w:rPr>
        <w:t>a 19.</w:t>
      </w:r>
      <w:r w:rsidR="00B33E7E" w:rsidRPr="007B5FE5">
        <w:rPr>
          <w:lang w:val="en-AU"/>
        </w:rPr>
        <w:t xml:space="preserve">48% </w:t>
      </w:r>
      <w:r w:rsidR="007B5FE5" w:rsidRPr="007B5FE5">
        <w:rPr>
          <w:lang w:val="en-AU"/>
        </w:rPr>
        <w:t xml:space="preserve">reduction in </w:t>
      </w:r>
      <w:r w:rsidR="00B33E7E" w:rsidRPr="007B5FE5">
        <w:rPr>
          <w:lang w:val="en-AU"/>
        </w:rPr>
        <w:t>active apprentices</w:t>
      </w:r>
      <w:r w:rsidR="006165F9" w:rsidRPr="007B5FE5">
        <w:rPr>
          <w:lang w:val="en-AU"/>
        </w:rPr>
        <w:t xml:space="preserve">, likely </w:t>
      </w:r>
      <w:r w:rsidR="007B5FE5" w:rsidRPr="007B5FE5">
        <w:rPr>
          <w:lang w:val="en-AU"/>
        </w:rPr>
        <w:t>reflecting</w:t>
      </w:r>
      <w:r w:rsidR="006165F9" w:rsidRPr="007B5FE5">
        <w:rPr>
          <w:lang w:val="en-AU"/>
        </w:rPr>
        <w:t xml:space="preserve"> ongoing pressures </w:t>
      </w:r>
      <w:r w:rsidR="007B5FE5" w:rsidRPr="007B5FE5">
        <w:rPr>
          <w:lang w:val="en-AU"/>
        </w:rPr>
        <w:t>within</w:t>
      </w:r>
      <w:r w:rsidR="006165F9" w:rsidRPr="007B5FE5">
        <w:rPr>
          <w:lang w:val="en-AU"/>
        </w:rPr>
        <w:t xml:space="preserve"> the sector</w:t>
      </w:r>
      <w:r w:rsidR="00A06ED2" w:rsidRPr="007B5FE5">
        <w:rPr>
          <w:lang w:val="en-AU"/>
        </w:rPr>
        <w:t>.</w:t>
      </w:r>
      <w:r w:rsidR="00786C01" w:rsidRPr="007B5FE5">
        <w:rPr>
          <w:lang w:val="en-AU"/>
        </w:rPr>
        <w:t xml:space="preserve"> </w:t>
      </w:r>
      <w:r w:rsidR="007B5FE5" w:rsidRPr="007B5FE5">
        <w:rPr>
          <w:lang w:val="en-AU"/>
        </w:rPr>
        <w:t>Overall,</w:t>
      </w:r>
      <w:r w:rsidR="006165F9" w:rsidRPr="007B5FE5">
        <w:rPr>
          <w:lang w:val="en-AU"/>
        </w:rPr>
        <w:t xml:space="preserve"> </w:t>
      </w:r>
      <w:r w:rsidR="00686CF6" w:rsidRPr="007B5FE5">
        <w:rPr>
          <w:lang w:val="en-AU"/>
        </w:rPr>
        <w:t xml:space="preserve">active </w:t>
      </w:r>
      <w:r w:rsidR="007B5FE5" w:rsidRPr="007B5FE5">
        <w:rPr>
          <w:lang w:val="en-AU"/>
        </w:rPr>
        <w:t>worker numbers</w:t>
      </w:r>
      <w:r w:rsidR="00686CF6" w:rsidRPr="007B5FE5">
        <w:rPr>
          <w:lang w:val="en-AU"/>
        </w:rPr>
        <w:t xml:space="preserve"> </w:t>
      </w:r>
      <w:r w:rsidRPr="007B5FE5">
        <w:rPr>
          <w:lang w:val="en-AU"/>
        </w:rPr>
        <w:t xml:space="preserve">increased by </w:t>
      </w:r>
      <w:r w:rsidR="00D60315" w:rsidRPr="007B5FE5">
        <w:rPr>
          <w:lang w:val="en-AU"/>
        </w:rPr>
        <w:t>0.15</w:t>
      </w:r>
      <w:r w:rsidR="00686CF6" w:rsidRPr="007B5FE5">
        <w:rPr>
          <w:lang w:val="en-AU"/>
        </w:rPr>
        <w:t>%</w:t>
      </w:r>
      <w:r w:rsidR="006165F9" w:rsidRPr="007B5FE5">
        <w:rPr>
          <w:lang w:val="en-AU"/>
        </w:rPr>
        <w:t xml:space="preserve">, </w:t>
      </w:r>
      <w:r w:rsidR="007B5FE5" w:rsidRPr="007B5FE5">
        <w:rPr>
          <w:lang w:val="en-AU"/>
        </w:rPr>
        <w:t>despite</w:t>
      </w:r>
      <w:r w:rsidR="00B642B1" w:rsidRPr="007B5FE5">
        <w:rPr>
          <w:lang w:val="en-AU"/>
        </w:rPr>
        <w:t xml:space="preserve"> </w:t>
      </w:r>
      <w:r w:rsidR="00D60315" w:rsidRPr="007B5FE5">
        <w:rPr>
          <w:lang w:val="en-AU"/>
        </w:rPr>
        <w:t>decreases in</w:t>
      </w:r>
      <w:r w:rsidR="0057411D" w:rsidRPr="007B5FE5">
        <w:rPr>
          <w:lang w:val="en-AU"/>
        </w:rPr>
        <w:t xml:space="preserve"> </w:t>
      </w:r>
      <w:r w:rsidR="00807BD6" w:rsidRPr="007B5FE5">
        <w:rPr>
          <w:lang w:val="en-AU"/>
        </w:rPr>
        <w:t xml:space="preserve">the </w:t>
      </w:r>
      <w:r w:rsidR="00160586" w:rsidRPr="007B5FE5">
        <w:rPr>
          <w:lang w:val="en-AU"/>
        </w:rPr>
        <w:t>Building and Construction Industry (2.2</w:t>
      </w:r>
      <w:r w:rsidR="00377ED2" w:rsidRPr="007B5FE5">
        <w:rPr>
          <w:lang w:val="en-AU"/>
        </w:rPr>
        <w:t>1%)</w:t>
      </w:r>
      <w:r w:rsidR="00BB1D3D" w:rsidRPr="007B5FE5">
        <w:rPr>
          <w:lang w:val="en-AU"/>
        </w:rPr>
        <w:t xml:space="preserve"> and</w:t>
      </w:r>
      <w:r w:rsidR="00807BD6" w:rsidRPr="007B5FE5">
        <w:rPr>
          <w:lang w:val="en-AU"/>
        </w:rPr>
        <w:t xml:space="preserve"> </w:t>
      </w:r>
      <w:r w:rsidR="00BB1D3D" w:rsidRPr="007B5FE5">
        <w:rPr>
          <w:lang w:val="en-AU"/>
        </w:rPr>
        <w:t>Security Industry (</w:t>
      </w:r>
      <w:r w:rsidR="00FA5CE7" w:rsidRPr="007B5FE5">
        <w:rPr>
          <w:lang w:val="en-AU"/>
        </w:rPr>
        <w:t>3</w:t>
      </w:r>
      <w:r w:rsidR="00391F22" w:rsidRPr="007B5FE5">
        <w:rPr>
          <w:lang w:val="en-AU"/>
        </w:rPr>
        <w:t>.23%)</w:t>
      </w:r>
      <w:r w:rsidR="00857CBB">
        <w:rPr>
          <w:lang w:val="en-AU"/>
        </w:rPr>
        <w:t xml:space="preserve"> schemes</w:t>
      </w:r>
      <w:r w:rsidR="000946B6" w:rsidRPr="007B5FE5">
        <w:rPr>
          <w:lang w:val="en-AU"/>
        </w:rPr>
        <w:t>.</w:t>
      </w:r>
    </w:p>
    <w:p w14:paraId="3B07C2D7" w14:textId="38713874" w:rsidR="4696BA9D" w:rsidRPr="00BB2758" w:rsidRDefault="00495AC4" w:rsidP="006E0242">
      <w:r w:rsidRPr="00BB2758">
        <w:t>Operational highlights</w:t>
      </w:r>
      <w:r w:rsidR="4696BA9D" w:rsidRPr="00BB2758">
        <w:t xml:space="preserve"> during </w:t>
      </w:r>
      <w:r w:rsidR="000F3C03">
        <w:t>2025-26</w:t>
      </w:r>
      <w:r w:rsidR="4696BA9D" w:rsidRPr="00BB2758">
        <w:t xml:space="preserve"> include:</w:t>
      </w:r>
    </w:p>
    <w:p w14:paraId="7B5C4EE0" w14:textId="0E00A28A" w:rsidR="009419B8" w:rsidRPr="00BB2758" w:rsidRDefault="00B968B8" w:rsidP="006E0242">
      <w:r>
        <w:rPr>
          <w:noProof/>
        </w:rPr>
        <w:drawing>
          <wp:inline distT="0" distB="0" distL="0" distR="0" wp14:anchorId="23CE5D7D" wp14:editId="2E181F5F">
            <wp:extent cx="6410960" cy="2083435"/>
            <wp:effectExtent l="0" t="0" r="8890" b="0"/>
            <wp:docPr id="2080111960" name="Picture 7" descr="Infographic displaying ACT Leave operational results for the reporting period. The infographic uses a light blue background with dark blue text, icons and data panels, with a green decorative swirl element running across the background.&#10;&#10;The infographic highlights:&#10;&#10;9,935 new worker registrations&#10;311 new employer registrations&#10;22 returning employer registrations&#10;9,451 levy returns and payments processed&#10;3,868 eligible entitlement claims paid&#10;&#10;Each result is accompanied by a relevant icon, including registration forms, a clipboard, levy payment documents and a claim form. The infographic provides a visual summary of ACT Leave's key operational achievements during the reporting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11960" name="Picture 7" descr="Infographic displaying ACT Leave operational results for the reporting period. The infographic uses a light blue background with dark blue text, icons and data panels, with a green decorative swirl element running across the background.&#10;&#10;The infographic highlights:&#10;&#10;9,935 new worker registrations&#10;311 new employer registrations&#10;22 returning employer registrations&#10;9,451 levy returns and payments processed&#10;3,868 eligible entitlement claims paid&#10;&#10;Each result is accompanied by a relevant icon, including registration forms, a clipboard, levy payment documents and a claim form. The infographic provides a visual summary of ACT Leave's key operational achievements during the reporting period."/>
                    <pic:cNvPicPr/>
                  </pic:nvPicPr>
                  <pic:blipFill>
                    <a:blip r:embed="rId37"/>
                    <a:stretch>
                      <a:fillRect/>
                    </a:stretch>
                  </pic:blipFill>
                  <pic:spPr>
                    <a:xfrm>
                      <a:off x="0" y="0"/>
                      <a:ext cx="6410960" cy="2083435"/>
                    </a:xfrm>
                    <a:prstGeom prst="rect">
                      <a:avLst/>
                    </a:prstGeom>
                  </pic:spPr>
                </pic:pic>
              </a:graphicData>
            </a:graphic>
          </wp:inline>
        </w:drawing>
      </w:r>
    </w:p>
    <w:p w14:paraId="5DD35B88" w14:textId="13E9F81C" w:rsidR="005E7A04" w:rsidRPr="00BB2758" w:rsidRDefault="005E7A04" w:rsidP="005E7A04">
      <w:pPr>
        <w:pStyle w:val="Heading4"/>
        <w:rPr>
          <w:rFonts w:cs="Arial"/>
        </w:rPr>
      </w:pPr>
      <w:r w:rsidRPr="00BB2758">
        <w:rPr>
          <w:rFonts w:cs="Arial"/>
        </w:rPr>
        <w:lastRenderedPageBreak/>
        <w:t>Governance</w:t>
      </w:r>
    </w:p>
    <w:p w14:paraId="453A449A" w14:textId="602CE335" w:rsidR="00390DDF" w:rsidRDefault="00390DDF" w:rsidP="0025772A">
      <w:pPr>
        <w:pStyle w:val="Heading4"/>
        <w:rPr>
          <w:rFonts w:asciiTheme="majorHAnsi" w:eastAsiaTheme="minorHAnsi" w:hAnsiTheme="majorHAnsi" w:cs="Times New Roman"/>
          <w:b w:val="0"/>
          <w:iCs w:val="0"/>
          <w:lang w:val="en-US" w:eastAsia="en-AU"/>
        </w:rPr>
      </w:pPr>
      <w:r w:rsidRPr="00390DDF">
        <w:rPr>
          <w:rFonts w:asciiTheme="majorHAnsi" w:eastAsiaTheme="minorHAnsi" w:hAnsiTheme="majorHAnsi" w:cs="Times New Roman"/>
          <w:b w:val="0"/>
          <w:iCs w:val="0"/>
          <w:lang w:val="en-US" w:eastAsia="en-AU"/>
        </w:rPr>
        <w:t xml:space="preserve">During 2025-26, ACT Leave’s Governing Board underwent a change in leadership. </w:t>
      </w:r>
      <w:r w:rsidR="00C2427D">
        <w:rPr>
          <w:rFonts w:asciiTheme="majorHAnsi" w:eastAsiaTheme="minorHAnsi" w:hAnsiTheme="majorHAnsi" w:cs="Times New Roman"/>
          <w:b w:val="0"/>
          <w:iCs w:val="0"/>
          <w:lang w:val="en-US" w:eastAsia="en-AU"/>
        </w:rPr>
        <w:t>ACT Leave and t</w:t>
      </w:r>
      <w:r w:rsidRPr="00390DDF">
        <w:rPr>
          <w:rFonts w:asciiTheme="majorHAnsi" w:eastAsiaTheme="minorHAnsi" w:hAnsiTheme="majorHAnsi" w:cs="Times New Roman"/>
          <w:b w:val="0"/>
          <w:iCs w:val="0"/>
          <w:lang w:val="en-US" w:eastAsia="en-AU"/>
        </w:rPr>
        <w:t xml:space="preserve">he Board farewelled Chair </w:t>
      </w:r>
      <w:proofErr w:type="spellStart"/>
      <w:r w:rsidRPr="00390DDF">
        <w:rPr>
          <w:rFonts w:asciiTheme="majorHAnsi" w:eastAsiaTheme="minorHAnsi" w:hAnsiTheme="majorHAnsi" w:cs="Times New Roman"/>
          <w:b w:val="0"/>
          <w:iCs w:val="0"/>
          <w:lang w:val="en-US" w:eastAsia="en-AU"/>
        </w:rPr>
        <w:t>Ms</w:t>
      </w:r>
      <w:proofErr w:type="spellEnd"/>
      <w:r w:rsidRPr="00390DDF">
        <w:rPr>
          <w:rFonts w:asciiTheme="majorHAnsi" w:eastAsiaTheme="minorHAnsi" w:hAnsiTheme="majorHAnsi" w:cs="Times New Roman"/>
          <w:b w:val="0"/>
          <w:iCs w:val="0"/>
          <w:lang w:val="en-US" w:eastAsia="en-AU"/>
        </w:rPr>
        <w:t xml:space="preserve"> Anne O'Donnell following the completion of her term in January 2026 and welcomed </w:t>
      </w:r>
      <w:proofErr w:type="spellStart"/>
      <w:r w:rsidRPr="00390DDF">
        <w:rPr>
          <w:rFonts w:asciiTheme="majorHAnsi" w:eastAsiaTheme="minorHAnsi" w:hAnsiTheme="majorHAnsi" w:cs="Times New Roman"/>
          <w:b w:val="0"/>
          <w:iCs w:val="0"/>
          <w:lang w:val="en-US" w:eastAsia="en-AU"/>
        </w:rPr>
        <w:t>Ms</w:t>
      </w:r>
      <w:proofErr w:type="spellEnd"/>
      <w:r w:rsidRPr="00390DDF">
        <w:rPr>
          <w:rFonts w:asciiTheme="majorHAnsi" w:eastAsiaTheme="minorHAnsi" w:hAnsiTheme="majorHAnsi" w:cs="Times New Roman"/>
          <w:b w:val="0"/>
          <w:iCs w:val="0"/>
          <w:lang w:val="en-US" w:eastAsia="en-AU"/>
        </w:rPr>
        <w:t xml:space="preserve"> Justine Ross as the new Chair. ACT Leave and the Governing Board acknowledge and thank </w:t>
      </w:r>
      <w:proofErr w:type="spellStart"/>
      <w:r w:rsidRPr="00390DDF">
        <w:rPr>
          <w:rFonts w:asciiTheme="majorHAnsi" w:eastAsiaTheme="minorHAnsi" w:hAnsiTheme="majorHAnsi" w:cs="Times New Roman"/>
          <w:b w:val="0"/>
          <w:iCs w:val="0"/>
          <w:lang w:val="en-US" w:eastAsia="en-AU"/>
        </w:rPr>
        <w:t>Ms</w:t>
      </w:r>
      <w:proofErr w:type="spellEnd"/>
      <w:r w:rsidRPr="00390DDF">
        <w:rPr>
          <w:rFonts w:asciiTheme="majorHAnsi" w:eastAsiaTheme="minorHAnsi" w:hAnsiTheme="majorHAnsi" w:cs="Times New Roman"/>
          <w:b w:val="0"/>
          <w:iCs w:val="0"/>
          <w:lang w:val="en-US" w:eastAsia="en-AU"/>
        </w:rPr>
        <w:t xml:space="preserve"> O'Donnell for her significant contribution to the organisation and for her service and leadership during her tenure.</w:t>
      </w:r>
    </w:p>
    <w:p w14:paraId="167B5EE0" w14:textId="062B4672" w:rsidR="0025772A" w:rsidRPr="00BB2758" w:rsidRDefault="00EA13A7" w:rsidP="0025772A">
      <w:pPr>
        <w:pStyle w:val="Heading4"/>
        <w:rPr>
          <w:rFonts w:cs="Arial"/>
        </w:rPr>
      </w:pPr>
      <w:r w:rsidRPr="00BB2758">
        <w:rPr>
          <w:rFonts w:cs="Arial"/>
        </w:rPr>
        <w:t>Investment</w:t>
      </w:r>
      <w:r w:rsidR="00156D7A" w:rsidRPr="00BB2758">
        <w:rPr>
          <w:rFonts w:cs="Arial"/>
        </w:rPr>
        <w:t>s</w:t>
      </w:r>
    </w:p>
    <w:p w14:paraId="0D1A44EF" w14:textId="3E2B5FCD" w:rsidR="00156D7A" w:rsidRPr="00BB2758" w:rsidRDefault="006E41AD" w:rsidP="006E0242">
      <w:r w:rsidRPr="00BB2758">
        <w:t>With a</w:t>
      </w:r>
      <w:r w:rsidR="005B31C7" w:rsidRPr="00BB2758">
        <w:t xml:space="preserve">n important responsibility for ensuring </w:t>
      </w:r>
      <w:r w:rsidR="001E7241" w:rsidRPr="00BB2758">
        <w:t>funds are available within the portable long service leave schemes to support future l</w:t>
      </w:r>
      <w:r w:rsidR="00F049EE" w:rsidRPr="00BB2758">
        <w:t xml:space="preserve">iabilities, </w:t>
      </w:r>
      <w:r w:rsidR="4AC39C3A" w:rsidRPr="00BB2758">
        <w:t>ACT Leave’s</w:t>
      </w:r>
      <w:r w:rsidR="00583F3E" w:rsidRPr="00BB2758">
        <w:t xml:space="preserve"> investment portfolio </w:t>
      </w:r>
      <w:r w:rsidR="3C3856D0" w:rsidRPr="00BB2758">
        <w:t xml:space="preserve">ended </w:t>
      </w:r>
      <w:r w:rsidR="00583F3E" w:rsidRPr="00BB2758">
        <w:t xml:space="preserve">the </w:t>
      </w:r>
      <w:r w:rsidR="00652334" w:rsidRPr="00BB2758">
        <w:t xml:space="preserve">financial </w:t>
      </w:r>
      <w:r w:rsidR="00583F3E" w:rsidRPr="00BB2758">
        <w:t xml:space="preserve">year </w:t>
      </w:r>
      <w:r w:rsidR="00652334" w:rsidRPr="00BB2758">
        <w:t xml:space="preserve">in a strong position </w:t>
      </w:r>
      <w:r w:rsidR="00583F3E" w:rsidRPr="00BB2758">
        <w:t xml:space="preserve">with an annualised net return of </w:t>
      </w:r>
      <w:r w:rsidR="003D0C8B" w:rsidRPr="003D0C8B">
        <w:rPr>
          <w:color w:val="auto"/>
        </w:rPr>
        <w:t>6.</w:t>
      </w:r>
      <w:r w:rsidR="00C139F2" w:rsidRPr="003D0C8B">
        <w:rPr>
          <w:color w:val="auto"/>
        </w:rPr>
        <w:t>7</w:t>
      </w:r>
      <w:r w:rsidR="00C139F2">
        <w:rPr>
          <w:color w:val="auto"/>
        </w:rPr>
        <w:t>9</w:t>
      </w:r>
      <w:r w:rsidR="00583F3E" w:rsidRPr="003D0C8B">
        <w:rPr>
          <w:color w:val="auto"/>
        </w:rPr>
        <w:t>%</w:t>
      </w:r>
      <w:r w:rsidR="002F23FA">
        <w:rPr>
          <w:color w:val="auto"/>
        </w:rPr>
        <w:t xml:space="preserve"> </w:t>
      </w:r>
      <w:r w:rsidR="00232FF3">
        <w:rPr>
          <w:color w:val="auto"/>
        </w:rPr>
        <w:t xml:space="preserve">despite </w:t>
      </w:r>
      <w:r w:rsidR="002F23FA">
        <w:rPr>
          <w:color w:val="auto"/>
        </w:rPr>
        <w:t xml:space="preserve">market </w:t>
      </w:r>
      <w:r w:rsidR="005F0701">
        <w:rPr>
          <w:color w:val="auto"/>
        </w:rPr>
        <w:t>volatility</w:t>
      </w:r>
      <w:r w:rsidR="002F23FA">
        <w:rPr>
          <w:color w:val="auto"/>
        </w:rPr>
        <w:t xml:space="preserve"> between November 2025 and March 2026</w:t>
      </w:r>
      <w:r w:rsidR="004B4745">
        <w:rPr>
          <w:color w:val="auto"/>
        </w:rPr>
        <w:t xml:space="preserve">. </w:t>
      </w:r>
    </w:p>
    <w:p w14:paraId="2A698C68" w14:textId="76F76045" w:rsidR="00583F3E" w:rsidRDefault="00583F3E" w:rsidP="006E0242">
      <w:pPr>
        <w:rPr>
          <w:color w:val="auto"/>
        </w:rPr>
      </w:pPr>
      <w:r w:rsidRPr="00BB2758">
        <w:t xml:space="preserve">Investment returns for all schemes, averaged over a rolling </w:t>
      </w:r>
      <w:r w:rsidR="00AD315B">
        <w:t>5</w:t>
      </w:r>
      <w:r w:rsidRPr="00BB2758">
        <w:t>-year period</w:t>
      </w:r>
      <w:r w:rsidR="00B57DDD" w:rsidRPr="00BB2758">
        <w:t>,</w:t>
      </w:r>
      <w:r w:rsidRPr="00BB2758">
        <w:t xml:space="preserve"> are </w:t>
      </w:r>
      <w:r w:rsidR="00F92314">
        <w:t>7.</w:t>
      </w:r>
      <w:r w:rsidR="00C13948">
        <w:t>72</w:t>
      </w:r>
      <w:r w:rsidRPr="00BB2758">
        <w:t xml:space="preserve">%, remaining above the target of </w:t>
      </w:r>
      <w:r w:rsidR="007339F4" w:rsidRPr="007339F4">
        <w:rPr>
          <w:color w:val="auto"/>
        </w:rPr>
        <w:t>6.07</w:t>
      </w:r>
      <w:r w:rsidRPr="007339F4">
        <w:rPr>
          <w:color w:val="auto"/>
        </w:rPr>
        <w:t xml:space="preserve">%. </w:t>
      </w:r>
      <w:r w:rsidRPr="00BB2758">
        <w:t xml:space="preserve">The </w:t>
      </w:r>
      <w:r w:rsidR="0CAD372A" w:rsidRPr="00BB2758">
        <w:t xml:space="preserve">Governing </w:t>
      </w:r>
      <w:r w:rsidR="009954E3" w:rsidRPr="00BB2758">
        <w:t>B</w:t>
      </w:r>
      <w:r w:rsidRPr="00BB2758">
        <w:t xml:space="preserve">oard </w:t>
      </w:r>
      <w:r w:rsidR="002E0ADB" w:rsidRPr="00BB2758">
        <w:t>monitored</w:t>
      </w:r>
      <w:r w:rsidRPr="00BB2758">
        <w:t xml:space="preserve"> the asset</w:t>
      </w:r>
      <w:r w:rsidR="002E0ADB" w:rsidRPr="00BB2758">
        <w:t>s</w:t>
      </w:r>
      <w:r w:rsidRPr="00BB2758">
        <w:t xml:space="preserve"> over liabilit</w:t>
      </w:r>
      <w:r w:rsidR="002E0ADB" w:rsidRPr="00BB2758">
        <w:t>ies</w:t>
      </w:r>
      <w:r w:rsidRPr="00BB2758">
        <w:t xml:space="preserve"> ratios in</w:t>
      </w:r>
      <w:r w:rsidRPr="003F640D">
        <w:rPr>
          <w:color w:val="auto"/>
        </w:rPr>
        <w:t xml:space="preserve"> </w:t>
      </w:r>
      <w:r w:rsidR="000F3C03" w:rsidRPr="003F640D">
        <w:rPr>
          <w:color w:val="auto"/>
        </w:rPr>
        <w:t>2025-26</w:t>
      </w:r>
      <w:r w:rsidRPr="003F640D">
        <w:rPr>
          <w:color w:val="auto"/>
        </w:rPr>
        <w:t xml:space="preserve"> </w:t>
      </w:r>
      <w:r w:rsidR="002E0ADB" w:rsidRPr="003F640D">
        <w:rPr>
          <w:color w:val="auto"/>
        </w:rPr>
        <w:t xml:space="preserve">with </w:t>
      </w:r>
      <w:r w:rsidRPr="003F640D">
        <w:rPr>
          <w:color w:val="auto"/>
        </w:rPr>
        <w:t xml:space="preserve">the ratios for all schemes </w:t>
      </w:r>
      <w:r w:rsidR="00371BC8" w:rsidRPr="003F640D">
        <w:rPr>
          <w:color w:val="auto"/>
        </w:rPr>
        <w:t>remain</w:t>
      </w:r>
      <w:r w:rsidR="002E0ADB" w:rsidRPr="003F640D">
        <w:rPr>
          <w:color w:val="auto"/>
        </w:rPr>
        <w:t>ing</w:t>
      </w:r>
      <w:r w:rsidRPr="003F640D">
        <w:rPr>
          <w:color w:val="auto"/>
        </w:rPr>
        <w:t xml:space="preserve"> above the target of 110%.</w:t>
      </w:r>
      <w:r w:rsidR="002E0ADB" w:rsidRPr="003F640D">
        <w:rPr>
          <w:color w:val="auto"/>
        </w:rPr>
        <w:t xml:space="preserve"> </w:t>
      </w:r>
      <w:r w:rsidR="003F640D" w:rsidRPr="00144045">
        <w:rPr>
          <w:color w:val="auto"/>
        </w:rPr>
        <w:t>There were no levy rate increases</w:t>
      </w:r>
      <w:r w:rsidR="00144045">
        <w:rPr>
          <w:color w:val="auto"/>
        </w:rPr>
        <w:t xml:space="preserve"> or decreases</w:t>
      </w:r>
      <w:r w:rsidR="00144045" w:rsidRPr="00144045">
        <w:rPr>
          <w:color w:val="auto"/>
        </w:rPr>
        <w:t xml:space="preserve"> in any scheme during</w:t>
      </w:r>
      <w:r w:rsidR="003F640D" w:rsidRPr="00144045">
        <w:rPr>
          <w:color w:val="auto"/>
        </w:rPr>
        <w:t xml:space="preserve"> </w:t>
      </w:r>
      <w:r w:rsidR="00144045" w:rsidRPr="00144045">
        <w:rPr>
          <w:color w:val="auto"/>
        </w:rPr>
        <w:t>2025-26.</w:t>
      </w:r>
      <w:r w:rsidR="00445D5B" w:rsidRPr="00144045">
        <w:rPr>
          <w:color w:val="auto"/>
        </w:rPr>
        <w:t xml:space="preserve"> </w:t>
      </w:r>
    </w:p>
    <w:p w14:paraId="5E82018C" w14:textId="533CDEC6" w:rsidR="00BB1B6B" w:rsidRDefault="00BB1B6B" w:rsidP="00CF17D1">
      <w:pPr>
        <w:rPr>
          <w:b/>
          <w:bCs/>
          <w:color w:val="auto"/>
        </w:rPr>
      </w:pPr>
      <w:r w:rsidRPr="00BB1B6B">
        <w:rPr>
          <w:b/>
          <w:bCs/>
          <w:color w:val="auto"/>
        </w:rPr>
        <w:t>Outlook</w:t>
      </w:r>
    </w:p>
    <w:p w14:paraId="0F2E0290" w14:textId="31ECA981" w:rsidR="006A3313" w:rsidRPr="006A3313" w:rsidRDefault="00F35140" w:rsidP="006A3313">
      <w:r w:rsidRPr="00F35140">
        <w:rPr>
          <w:color w:val="auto"/>
          <w:lang w:val="en-AU"/>
        </w:rPr>
        <w:t xml:space="preserve">ACT Leave’s </w:t>
      </w:r>
      <w:r w:rsidR="006A3313" w:rsidRPr="006A3313">
        <w:t xml:space="preserve">outlook remains focused on </w:t>
      </w:r>
      <w:r w:rsidR="00EB304E">
        <w:t>administering</w:t>
      </w:r>
      <w:r w:rsidR="00EB304E" w:rsidRPr="006A3313">
        <w:t xml:space="preserve"> </w:t>
      </w:r>
      <w:r w:rsidR="006A3313" w:rsidRPr="006A3313">
        <w:t>efficient, financially sustainable and customer-centred portable long service leave schemes that meet the evolving needs of workers and employers across covered industries. Key priorities include increasing awareness, participation and compliance, embedding the Services Industry Scheme, enhancing digital service delivery, and providing timely advice to Government.</w:t>
      </w:r>
    </w:p>
    <w:p w14:paraId="732515A4" w14:textId="77777777" w:rsidR="006A3313" w:rsidRPr="006A3313" w:rsidRDefault="006A3313" w:rsidP="006A3313">
      <w:pPr>
        <w:rPr>
          <w:color w:val="auto"/>
          <w:lang w:val="en-AU"/>
        </w:rPr>
      </w:pPr>
      <w:r w:rsidRPr="006A3313">
        <w:rPr>
          <w:color w:val="auto"/>
          <w:lang w:val="en-AU"/>
        </w:rPr>
        <w:t>As the organisation continues to grow and adapt to changing workforce and industry conditions, ACT Leave will focus on maintaining strong stakeholder engagement, supporting scheme sustainability, managing emerging risks, and ensuring its services continue to deliver value to workers, employers and the broader ACT community.</w:t>
      </w:r>
    </w:p>
    <w:p w14:paraId="412D6D9B" w14:textId="3752DC41" w:rsidR="00583F3E" w:rsidRPr="00BB2758" w:rsidRDefault="0082510C" w:rsidP="005153F4">
      <w:pPr>
        <w:pStyle w:val="Heading3NoNumber"/>
        <w:rPr>
          <w:rFonts w:cs="Arial"/>
          <w:b w:val="0"/>
        </w:rPr>
      </w:pPr>
      <w:bookmarkStart w:id="19" w:name="_Toc171087020"/>
      <w:r w:rsidRPr="00BB2758">
        <w:rPr>
          <w:rFonts w:cs="Arial"/>
        </w:rPr>
        <w:t>Internal accountability</w:t>
      </w:r>
      <w:bookmarkEnd w:id="19"/>
    </w:p>
    <w:p w14:paraId="06D2A3A3" w14:textId="3E12AB8C" w:rsidR="00583F3E" w:rsidRPr="00BB2758" w:rsidRDefault="00583F3E" w:rsidP="006E0242">
      <w:r w:rsidRPr="00BB2758">
        <w:t>Under the</w:t>
      </w:r>
      <w:r w:rsidRPr="00BB2758">
        <w:rPr>
          <w:i/>
          <w:iCs/>
        </w:rPr>
        <w:t xml:space="preserve"> Financial Management Act 1996</w:t>
      </w:r>
      <w:r w:rsidR="00EA6C1F">
        <w:rPr>
          <w:i/>
          <w:iCs/>
        </w:rPr>
        <w:t xml:space="preserve"> </w:t>
      </w:r>
      <w:r w:rsidR="00EA6C1F" w:rsidRPr="005E6CAC">
        <w:t>(FM Act)</w:t>
      </w:r>
      <w:r w:rsidRPr="00BB2758">
        <w:rPr>
          <w:i/>
          <w:iCs/>
        </w:rPr>
        <w:t xml:space="preserve"> </w:t>
      </w:r>
      <w:r w:rsidRPr="00BB2758">
        <w:t xml:space="preserve">and </w:t>
      </w:r>
      <w:r w:rsidR="0C409260" w:rsidRPr="00BB2758">
        <w:t>ACT Leave’s</w:t>
      </w:r>
      <w:r w:rsidRPr="00BB2758">
        <w:t xml:space="preserve"> enabling legislation, the </w:t>
      </w:r>
      <w:r w:rsidRPr="00BB2758">
        <w:rPr>
          <w:i/>
          <w:iCs/>
        </w:rPr>
        <w:t xml:space="preserve">Long Service Leave (Portable Schemes) Act 2009 </w:t>
      </w:r>
      <w:r w:rsidRPr="00BB2758">
        <w:t xml:space="preserve">(the Act), the Governing Board provides </w:t>
      </w:r>
      <w:r w:rsidR="0041750F" w:rsidRPr="00BB2758">
        <w:t xml:space="preserve">oversight of the </w:t>
      </w:r>
      <w:r w:rsidRPr="00BB2758">
        <w:t xml:space="preserve">governance of the </w:t>
      </w:r>
      <w:r w:rsidR="72BCDD67" w:rsidRPr="00BB2758">
        <w:t>organisation</w:t>
      </w:r>
      <w:r w:rsidR="00C17D76">
        <w:t xml:space="preserve"> including its financial management</w:t>
      </w:r>
      <w:r w:rsidR="304BF0F1" w:rsidRPr="00BB2758">
        <w:t>.</w:t>
      </w:r>
      <w:r w:rsidRPr="00BB2758">
        <w:rPr>
          <w:i/>
          <w:iCs/>
        </w:rPr>
        <w:t xml:space="preserve"> </w:t>
      </w:r>
      <w:r w:rsidRPr="00BB2758">
        <w:t xml:space="preserve">Members of the Governing Board are appointed by the Minister for </w:t>
      </w:r>
      <w:r w:rsidR="0041750F" w:rsidRPr="00BB2758">
        <w:t>Skills, Training</w:t>
      </w:r>
      <w:r w:rsidRPr="00BB2758">
        <w:t xml:space="preserve"> and </w:t>
      </w:r>
      <w:r w:rsidR="0041750F" w:rsidRPr="00BB2758">
        <w:t>Industrial Relations</w:t>
      </w:r>
      <w:r w:rsidRPr="00BB2758">
        <w:t xml:space="preserve"> and </w:t>
      </w:r>
      <w:r w:rsidR="00E9480C" w:rsidRPr="00BB2758">
        <w:t>comprise</w:t>
      </w:r>
      <w:r w:rsidRPr="00BB2758">
        <w:t xml:space="preserve"> an independent Chair, an independent Deputy Chair, </w:t>
      </w:r>
      <w:r w:rsidR="00C3628C">
        <w:t>2</w:t>
      </w:r>
      <w:r w:rsidRPr="00BB2758">
        <w:t xml:space="preserve"> members representing employee organisations and </w:t>
      </w:r>
      <w:r w:rsidR="00C3628C">
        <w:t>2</w:t>
      </w:r>
      <w:r w:rsidRPr="00BB2758">
        <w:t xml:space="preserve"> members representing employer organisations for the industries </w:t>
      </w:r>
      <w:r w:rsidR="002B2D92" w:rsidRPr="00BB2758">
        <w:t>covered under</w:t>
      </w:r>
      <w:r w:rsidRPr="00BB2758">
        <w:t xml:space="preserve"> the </w:t>
      </w:r>
      <w:r w:rsidR="002B2D92" w:rsidRPr="00BB2758">
        <w:t xml:space="preserve">portable </w:t>
      </w:r>
      <w:r w:rsidRPr="00BB2758">
        <w:t>long service leave schemes</w:t>
      </w:r>
      <w:r w:rsidR="59B8A563" w:rsidRPr="00BB2758">
        <w:t>.</w:t>
      </w:r>
      <w:r w:rsidR="008754F5" w:rsidRPr="00BB2758">
        <w:t xml:space="preserve"> </w:t>
      </w:r>
      <w:r w:rsidR="00D729E8" w:rsidRPr="00BB2758">
        <w:t>The</w:t>
      </w:r>
      <w:r w:rsidRPr="00BB2758">
        <w:t xml:space="preserve"> Chief Executive Officer </w:t>
      </w:r>
      <w:r w:rsidR="00D729E8" w:rsidRPr="00BB2758">
        <w:t xml:space="preserve">of ACT Leave </w:t>
      </w:r>
      <w:r w:rsidR="004F5EBB" w:rsidRPr="00BB2758">
        <w:t xml:space="preserve">is </w:t>
      </w:r>
      <w:r w:rsidR="31AE24B7" w:rsidRPr="00BB2758">
        <w:t xml:space="preserve">also </w:t>
      </w:r>
      <w:r w:rsidRPr="00BB2758">
        <w:t xml:space="preserve">a non-voting </w:t>
      </w:r>
      <w:r w:rsidRPr="00BB2758">
        <w:rPr>
          <w:rFonts w:eastAsia="PMingLiU"/>
          <w:lang w:eastAsia="zh-TW"/>
        </w:rPr>
        <w:t>member</w:t>
      </w:r>
      <w:r w:rsidR="0E01FE2E" w:rsidRPr="00BB2758">
        <w:t xml:space="preserve"> of the Governing Board</w:t>
      </w:r>
      <w:r w:rsidR="304BF0F1" w:rsidRPr="00BB2758">
        <w:t>.</w:t>
      </w:r>
      <w:r w:rsidRPr="00BB2758">
        <w:t xml:space="preserve"> The resources that are available to Board members to assist them </w:t>
      </w:r>
      <w:r w:rsidR="00E9480C" w:rsidRPr="00BB2758">
        <w:t>in carrying</w:t>
      </w:r>
      <w:r w:rsidRPr="00BB2758">
        <w:t xml:space="preserve"> out their duties include access to training facilitated by </w:t>
      </w:r>
      <w:r w:rsidR="755B03AB" w:rsidRPr="00BB2758">
        <w:t>ACT Leave</w:t>
      </w:r>
      <w:r w:rsidRPr="00BB2758">
        <w:t xml:space="preserve"> and </w:t>
      </w:r>
      <w:r w:rsidR="002B2D92" w:rsidRPr="00BB2758">
        <w:t xml:space="preserve">access to </w:t>
      </w:r>
      <w:r w:rsidRPr="00BB2758">
        <w:t>independent professional or legal advice.</w:t>
      </w:r>
    </w:p>
    <w:p w14:paraId="1D56D8EB" w14:textId="68A4CA73" w:rsidR="00780CA3" w:rsidRPr="00BB2758" w:rsidRDefault="00ED71B6" w:rsidP="006E0242">
      <w:r w:rsidRPr="00BB2758">
        <w:t xml:space="preserve">The </w:t>
      </w:r>
      <w:r w:rsidR="00583F3E" w:rsidRPr="00BB2758">
        <w:t xml:space="preserve">Governing Board </w:t>
      </w:r>
      <w:r w:rsidRPr="00BB2758">
        <w:t xml:space="preserve">met </w:t>
      </w:r>
      <w:r w:rsidR="00AD315B">
        <w:t>6</w:t>
      </w:r>
      <w:r w:rsidRPr="00BB2758">
        <w:t xml:space="preserve"> times during the year, with </w:t>
      </w:r>
      <w:r w:rsidR="00583F3E" w:rsidRPr="00BB2758">
        <w:t xml:space="preserve">meetings held </w:t>
      </w:r>
      <w:r w:rsidR="0014777F" w:rsidRPr="00BB2758">
        <w:t xml:space="preserve">in accordance with </w:t>
      </w:r>
      <w:r w:rsidRPr="00BB2758">
        <w:t>the</w:t>
      </w:r>
      <w:r w:rsidR="0014777F" w:rsidRPr="00BB2758">
        <w:t xml:space="preserve"> established schedule</w:t>
      </w:r>
      <w:r w:rsidR="00583F3E" w:rsidRPr="00BB2758">
        <w:t xml:space="preserve"> to oversee the operation</w:t>
      </w:r>
      <w:r w:rsidR="0014777F" w:rsidRPr="00BB2758">
        <w:t>,</w:t>
      </w:r>
      <w:r w:rsidR="00583F3E" w:rsidRPr="00BB2758">
        <w:t xml:space="preserve"> and monitor the performance</w:t>
      </w:r>
      <w:r w:rsidR="0014777F" w:rsidRPr="00BB2758">
        <w:t>,</w:t>
      </w:r>
      <w:r w:rsidR="00583F3E" w:rsidRPr="00BB2758">
        <w:t xml:space="preserve"> of </w:t>
      </w:r>
      <w:r w:rsidR="13077561" w:rsidRPr="00BB2758">
        <w:t>ACT Leave</w:t>
      </w:r>
      <w:r w:rsidR="304BF0F1" w:rsidRPr="00BB2758">
        <w:t>.</w:t>
      </w:r>
      <w:r w:rsidR="00583F3E" w:rsidRPr="00BB2758">
        <w:t xml:space="preserve"> </w:t>
      </w:r>
      <w:r w:rsidR="00780CA3" w:rsidRPr="00BB2758">
        <w:t>In addition to the standard meetings, the Governing Board also held a strategic planning workshop in December 202</w:t>
      </w:r>
      <w:r w:rsidR="005909E4">
        <w:t>5</w:t>
      </w:r>
      <w:r w:rsidR="00780CA3" w:rsidRPr="00BB2758">
        <w:t xml:space="preserve"> to </w:t>
      </w:r>
      <w:r w:rsidR="00BF74D8">
        <w:t>review</w:t>
      </w:r>
      <w:r w:rsidR="00BF74D8" w:rsidRPr="00BB2758">
        <w:t xml:space="preserve"> </w:t>
      </w:r>
      <w:r w:rsidR="00780CA3" w:rsidRPr="00BB2758">
        <w:t>ACT Leave’s progress against the Strategic Plan 2023-2026,</w:t>
      </w:r>
      <w:r w:rsidR="00F44199" w:rsidRPr="00BB2758">
        <w:t xml:space="preserve"> </w:t>
      </w:r>
      <w:r w:rsidR="00C135EB">
        <w:t xml:space="preserve">consider </w:t>
      </w:r>
      <w:r w:rsidR="00BF33A5" w:rsidRPr="00BB2758">
        <w:t>the impact of externalities</w:t>
      </w:r>
      <w:r w:rsidR="00334A6D">
        <w:t xml:space="preserve">, including </w:t>
      </w:r>
      <w:r w:rsidR="00BF33A5" w:rsidRPr="00BB2758">
        <w:t>the economic, social</w:t>
      </w:r>
      <w:r w:rsidR="00E447D2">
        <w:t xml:space="preserve">, </w:t>
      </w:r>
      <w:r w:rsidR="00E447D2" w:rsidRPr="00BB2758">
        <w:t>technological and</w:t>
      </w:r>
      <w:r w:rsidR="00E447D2">
        <w:t xml:space="preserve"> political</w:t>
      </w:r>
      <w:r w:rsidR="00A34533">
        <w:t xml:space="preserve"> </w:t>
      </w:r>
      <w:r w:rsidR="00BF33A5" w:rsidRPr="00BB2758">
        <w:t xml:space="preserve">environment, </w:t>
      </w:r>
      <w:r w:rsidR="00780CA3" w:rsidRPr="00BB2758">
        <w:t>and</w:t>
      </w:r>
      <w:r w:rsidR="003D61F4" w:rsidRPr="00BB2758">
        <w:t xml:space="preserve"> </w:t>
      </w:r>
      <w:r w:rsidR="00BF33A5" w:rsidRPr="00BB2758">
        <w:t>determine</w:t>
      </w:r>
      <w:r w:rsidR="00D8447E" w:rsidRPr="00BB2758">
        <w:t xml:space="preserve"> whether adjustments to the Strategy were required</w:t>
      </w:r>
      <w:r w:rsidR="00F44199" w:rsidRPr="00BB2758">
        <w:t>.</w:t>
      </w:r>
      <w:r w:rsidR="00EA484D">
        <w:t xml:space="preserve"> </w:t>
      </w:r>
      <w:r w:rsidR="00DC2622">
        <w:t>A further strategic planning workshop was held in April 2026 to commence development of the next Strategic Plan, which will take effect from 1 January 2027.</w:t>
      </w:r>
    </w:p>
    <w:p w14:paraId="59DC4CE6" w14:textId="735EF09D" w:rsidR="00583F3E" w:rsidRPr="00BB2758" w:rsidRDefault="0A21F9AD" w:rsidP="006E0242">
      <w:r w:rsidRPr="00BB2758">
        <w:t xml:space="preserve">Governing </w:t>
      </w:r>
      <w:r w:rsidR="00583F3E" w:rsidRPr="00BB2758">
        <w:t>Board members are remunerated in accordance with determinations made by the ACT Remuneration Tribunal. The C</w:t>
      </w:r>
      <w:r w:rsidR="0014777F" w:rsidRPr="00BB2758">
        <w:t xml:space="preserve">hief </w:t>
      </w:r>
      <w:r w:rsidR="00583F3E" w:rsidRPr="00BB2758">
        <w:t>E</w:t>
      </w:r>
      <w:r w:rsidR="0014777F" w:rsidRPr="00BB2758">
        <w:t xml:space="preserve">xecutive </w:t>
      </w:r>
      <w:r w:rsidR="00583F3E" w:rsidRPr="00BB2758">
        <w:t>O</w:t>
      </w:r>
      <w:r w:rsidR="0014777F" w:rsidRPr="00BB2758">
        <w:t>fficer</w:t>
      </w:r>
      <w:r w:rsidR="00B73C50" w:rsidRPr="00BB2758">
        <w:t xml:space="preserve">, who also serves as </w:t>
      </w:r>
      <w:r w:rsidR="00583F3E" w:rsidRPr="00BB2758">
        <w:t xml:space="preserve">the Registrar of </w:t>
      </w:r>
      <w:r w:rsidR="3ADFD8F3" w:rsidRPr="00BB2758">
        <w:t>ACT Leave</w:t>
      </w:r>
      <w:r w:rsidR="00972A56" w:rsidRPr="00BB2758">
        <w:t>,</w:t>
      </w:r>
      <w:r w:rsidR="00583F3E" w:rsidRPr="00BB2758">
        <w:t xml:space="preserve"> is </w:t>
      </w:r>
      <w:r w:rsidR="00B73C50" w:rsidRPr="00BB2758">
        <w:t>appointed by the Governing Board</w:t>
      </w:r>
      <w:r w:rsidR="00583F3E" w:rsidRPr="00BB2758">
        <w:t xml:space="preserve"> and remunerated under the </w:t>
      </w:r>
      <w:r w:rsidR="00583F3E" w:rsidRPr="00BB2758">
        <w:rPr>
          <w:i/>
          <w:iCs/>
        </w:rPr>
        <w:t>Public Sector Management Act 1994</w:t>
      </w:r>
      <w:r w:rsidR="00583F3E" w:rsidRPr="00BB2758">
        <w:t xml:space="preserve">. Governing Board members make a significant contribution to the performance of </w:t>
      </w:r>
      <w:r w:rsidR="7FED59D5" w:rsidRPr="00BB2758">
        <w:t>ACT Leave</w:t>
      </w:r>
      <w:r w:rsidR="00583F3E" w:rsidRPr="00BB2758">
        <w:t xml:space="preserve"> through their participation at Board meetings and work undertaken throughout the year on behalf of </w:t>
      </w:r>
      <w:r w:rsidR="68F81136" w:rsidRPr="00BB2758">
        <w:t>ACT Leave</w:t>
      </w:r>
      <w:r w:rsidR="00583F3E" w:rsidRPr="00BB2758">
        <w:t xml:space="preserve"> and the </w:t>
      </w:r>
      <w:r w:rsidR="00ED71B6" w:rsidRPr="00BB2758">
        <w:t>stakeholder</w:t>
      </w:r>
      <w:r w:rsidR="00583F3E" w:rsidRPr="00BB2758">
        <w:t xml:space="preserve"> groups they represent.</w:t>
      </w:r>
    </w:p>
    <w:p w14:paraId="6EB84F34" w14:textId="0E17057F" w:rsidR="00767190" w:rsidRPr="00767190" w:rsidRDefault="00B22134" w:rsidP="00767190">
      <w:r w:rsidRPr="00BB2758">
        <w:t xml:space="preserve">Established </w:t>
      </w:r>
      <w:r w:rsidR="00BA61B6" w:rsidRPr="00BB2758">
        <w:t xml:space="preserve">as a sub-committee of the Governing Board, </w:t>
      </w:r>
      <w:r w:rsidR="693BFFCF" w:rsidRPr="00BB2758">
        <w:t>ACT Leave</w:t>
      </w:r>
      <w:r w:rsidR="304BF0F1" w:rsidRPr="00BB2758">
        <w:t>’s</w:t>
      </w:r>
      <w:r w:rsidR="00583F3E" w:rsidRPr="00BB2758">
        <w:t xml:space="preserve"> Audit</w:t>
      </w:r>
      <w:r w:rsidR="00C775EB" w:rsidRPr="00BB2758">
        <w:t xml:space="preserve"> and Risk</w:t>
      </w:r>
      <w:r w:rsidR="00583F3E" w:rsidRPr="00BB2758">
        <w:t xml:space="preserve"> Committee meets </w:t>
      </w:r>
      <w:r w:rsidR="00AD315B">
        <w:t>4</w:t>
      </w:r>
      <w:r w:rsidR="00583F3E" w:rsidRPr="00BB2758">
        <w:t xml:space="preserve"> times each year</w:t>
      </w:r>
      <w:r w:rsidR="48C764F2" w:rsidRPr="00BB2758">
        <w:t xml:space="preserve"> with an additional special meeting to review the Financial Statements</w:t>
      </w:r>
      <w:r w:rsidR="00583F3E" w:rsidRPr="00BB2758">
        <w:t xml:space="preserve">. </w:t>
      </w:r>
      <w:r w:rsidR="002477AE" w:rsidRPr="00BB2758">
        <w:t xml:space="preserve">As a Committee of the </w:t>
      </w:r>
      <w:r w:rsidR="002477AE" w:rsidRPr="00BB2758">
        <w:lastRenderedPageBreak/>
        <w:t>Governing Board, the Audit and Risk Committee is positioned to provide expert advice to the Governing Board across its areas of responsibility, which includes oversight of ACT Leave’s</w:t>
      </w:r>
      <w:r w:rsidR="00675B25" w:rsidRPr="00BB2758">
        <w:t xml:space="preserve"> i</w:t>
      </w:r>
      <w:r w:rsidR="00583F3E" w:rsidRPr="00BB2758">
        <w:t>nternal and external audits</w:t>
      </w:r>
      <w:r w:rsidR="00675B25" w:rsidRPr="00BB2758">
        <w:t>, r</w:t>
      </w:r>
      <w:r w:rsidR="00583F3E" w:rsidRPr="00BB2758">
        <w:t xml:space="preserve">isk management </w:t>
      </w:r>
      <w:r w:rsidR="002064DC" w:rsidRPr="00BB2758">
        <w:t>framework</w:t>
      </w:r>
      <w:r w:rsidR="00675B25" w:rsidRPr="00BB2758">
        <w:t>, and l</w:t>
      </w:r>
      <w:r w:rsidR="00583F3E" w:rsidRPr="00BB2758">
        <w:t>egislative compliance</w:t>
      </w:r>
      <w:r w:rsidR="00675B25" w:rsidRPr="00BB2758">
        <w:t xml:space="preserve">. The Committee is also charged with </w:t>
      </w:r>
      <w:r w:rsidR="00583F3E" w:rsidRPr="00BB2758">
        <w:t>review</w:t>
      </w:r>
      <w:r w:rsidR="00675B25" w:rsidRPr="00BB2758">
        <w:t>ing</w:t>
      </w:r>
      <w:r w:rsidR="00583F3E" w:rsidRPr="00BB2758">
        <w:t xml:space="preserve"> the financial information presented by </w:t>
      </w:r>
      <w:r w:rsidR="00675B25" w:rsidRPr="00BB2758">
        <w:t>management and</w:t>
      </w:r>
      <w:r w:rsidR="00583F3E" w:rsidRPr="00BB2758">
        <w:t xml:space="preserve"> </w:t>
      </w:r>
      <w:r w:rsidR="00675B25" w:rsidRPr="00BB2758">
        <w:t xml:space="preserve">determining </w:t>
      </w:r>
      <w:r w:rsidR="00583F3E" w:rsidRPr="00BB2758">
        <w:t>the adequacy of</w:t>
      </w:r>
      <w:r w:rsidR="008754F5" w:rsidRPr="00BB2758">
        <w:t xml:space="preserve"> </w:t>
      </w:r>
      <w:r w:rsidR="208C336E" w:rsidRPr="00BB2758">
        <w:t>ACT Leave</w:t>
      </w:r>
      <w:r w:rsidR="304BF0F1" w:rsidRPr="00BB2758">
        <w:t>’s</w:t>
      </w:r>
      <w:r w:rsidR="00583F3E" w:rsidRPr="00BB2758">
        <w:t xml:space="preserve"> </w:t>
      </w:r>
      <w:r w:rsidR="00522711" w:rsidRPr="00BB2758">
        <w:t xml:space="preserve">internal control framework, encapsulating </w:t>
      </w:r>
      <w:r w:rsidR="00583F3E" w:rsidRPr="00BB2758">
        <w:t>administrative, operating and accounting controls.</w:t>
      </w:r>
      <w:r w:rsidR="004A6084" w:rsidRPr="00BB2758">
        <w:t xml:space="preserve"> </w:t>
      </w:r>
      <w:r w:rsidR="00767190" w:rsidRPr="006F3F8B">
        <w:t>Audit and Risk Committee members are remunerated in accordance with their Governing Board appointment arrangements</w:t>
      </w:r>
      <w:r w:rsidR="006F3F8B" w:rsidRPr="006F3F8B">
        <w:t>.</w:t>
      </w:r>
    </w:p>
    <w:p w14:paraId="77E6EF77" w14:textId="7D33668B" w:rsidR="00766A0F" w:rsidRPr="00BB2758" w:rsidRDefault="00226A08" w:rsidP="006E0242">
      <w:r w:rsidRPr="00BB2758">
        <w:t>The Chief Executive Officer is supported by an Executive Team comprising the Chief Finance Officer</w:t>
      </w:r>
      <w:r w:rsidR="00AD21FA">
        <w:t xml:space="preserve"> and </w:t>
      </w:r>
      <w:r w:rsidRPr="00BB2758">
        <w:t>Deputy Registrar, Chief Operations Officer</w:t>
      </w:r>
      <w:r w:rsidR="00AD21FA">
        <w:t xml:space="preserve">, </w:t>
      </w:r>
      <w:r w:rsidR="00576D81">
        <w:t>Chief Corporate Services Officer</w:t>
      </w:r>
      <w:r w:rsidR="00766A0F" w:rsidRPr="00BB2758">
        <w:t xml:space="preserve"> and Chief Information Officer, who have </w:t>
      </w:r>
      <w:r w:rsidR="00B3766C" w:rsidRPr="00BB2758">
        <w:t xml:space="preserve">portfolio </w:t>
      </w:r>
      <w:r w:rsidR="00766A0F" w:rsidRPr="00BB2758">
        <w:t>responsibilit</w:t>
      </w:r>
      <w:r w:rsidR="00B3766C" w:rsidRPr="00BB2758">
        <w:t>ies spanning</w:t>
      </w:r>
      <w:r w:rsidR="00766A0F" w:rsidRPr="00BB2758">
        <w:t>:</w:t>
      </w:r>
    </w:p>
    <w:p w14:paraId="45426467" w14:textId="35E60055" w:rsidR="00766A0F" w:rsidRPr="00BB2758" w:rsidRDefault="00766A0F" w:rsidP="000A630C">
      <w:pPr>
        <w:pStyle w:val="ListBullet"/>
      </w:pPr>
      <w:r w:rsidRPr="00BB2758">
        <w:t>Governance</w:t>
      </w:r>
      <w:r w:rsidR="004C19B1">
        <w:t>,</w:t>
      </w:r>
      <w:r w:rsidRPr="00BB2758">
        <w:t xml:space="preserve"> risk management and legislative compliance</w:t>
      </w:r>
    </w:p>
    <w:p w14:paraId="44C6D146" w14:textId="1FB83804" w:rsidR="00766A0F" w:rsidRPr="00BB2758" w:rsidRDefault="00EA6C1F" w:rsidP="000A630C">
      <w:pPr>
        <w:pStyle w:val="ListBullet"/>
      </w:pPr>
      <w:r>
        <w:t>O</w:t>
      </w:r>
      <w:r w:rsidR="00766A0F" w:rsidRPr="00BB2758">
        <w:t>rganisational strategy</w:t>
      </w:r>
    </w:p>
    <w:p w14:paraId="358B0C57" w14:textId="3AF3A2A3" w:rsidR="00766A0F" w:rsidRPr="00BB2758" w:rsidRDefault="00766A0F" w:rsidP="000A630C">
      <w:pPr>
        <w:pStyle w:val="ListBullet"/>
      </w:pPr>
      <w:r w:rsidRPr="00BB2758">
        <w:t>Finance and investment management</w:t>
      </w:r>
    </w:p>
    <w:p w14:paraId="2659937D" w14:textId="77777777" w:rsidR="00CA712A" w:rsidRPr="00BB2758" w:rsidRDefault="00CA712A" w:rsidP="000A630C">
      <w:pPr>
        <w:pStyle w:val="ListBullet"/>
      </w:pPr>
      <w:r w:rsidRPr="00BB2758">
        <w:t>Government and ministerial relations</w:t>
      </w:r>
    </w:p>
    <w:p w14:paraId="232418A8" w14:textId="77DA0420" w:rsidR="00766A0F" w:rsidRPr="00BB2758" w:rsidRDefault="00766A0F" w:rsidP="000A630C">
      <w:pPr>
        <w:pStyle w:val="ListBullet"/>
      </w:pPr>
      <w:r w:rsidRPr="00BB2758">
        <w:t>Scheme administration activities</w:t>
      </w:r>
    </w:p>
    <w:p w14:paraId="3EF7D40D" w14:textId="739D4510" w:rsidR="00766A0F" w:rsidRPr="00BB2758" w:rsidRDefault="00766A0F" w:rsidP="000A630C">
      <w:pPr>
        <w:pStyle w:val="ListBullet"/>
      </w:pPr>
      <w:r w:rsidRPr="00BB2758">
        <w:t>Scheme compliance</w:t>
      </w:r>
    </w:p>
    <w:p w14:paraId="79F847AC" w14:textId="77777777" w:rsidR="00D1586E" w:rsidRPr="00BB2758" w:rsidRDefault="00D1586E" w:rsidP="000A630C">
      <w:pPr>
        <w:pStyle w:val="ListBullet"/>
      </w:pPr>
      <w:r w:rsidRPr="00BB2758">
        <w:t>Customer service</w:t>
      </w:r>
    </w:p>
    <w:p w14:paraId="5805DEB4" w14:textId="77777777" w:rsidR="00DE5EFA" w:rsidRPr="00BB2758" w:rsidRDefault="00DE5EFA" w:rsidP="000A630C">
      <w:pPr>
        <w:pStyle w:val="ListBullet"/>
      </w:pPr>
      <w:r>
        <w:t>C</w:t>
      </w:r>
      <w:r w:rsidRPr="00BB2758">
        <w:t>ommunications and engagement</w:t>
      </w:r>
    </w:p>
    <w:p w14:paraId="774BEC74" w14:textId="7B785066" w:rsidR="00DE5EFA" w:rsidRDefault="00DE5EFA" w:rsidP="000A630C">
      <w:pPr>
        <w:pStyle w:val="ListBullet"/>
      </w:pPr>
      <w:r w:rsidRPr="00BB2758">
        <w:t xml:space="preserve">ICT and </w:t>
      </w:r>
      <w:r w:rsidR="002F72F8">
        <w:t>s</w:t>
      </w:r>
      <w:r w:rsidRPr="00BB2758">
        <w:t>ecurity</w:t>
      </w:r>
    </w:p>
    <w:p w14:paraId="7A617CFA" w14:textId="17D403BE" w:rsidR="00766A0F" w:rsidRPr="00BB2758" w:rsidRDefault="00766A0F" w:rsidP="000A630C">
      <w:pPr>
        <w:pStyle w:val="ListBullet"/>
      </w:pPr>
      <w:r w:rsidRPr="00BB2758">
        <w:t>Procurement and contract management</w:t>
      </w:r>
    </w:p>
    <w:p w14:paraId="09E73A16" w14:textId="0A8A0D7E" w:rsidR="00766A0F" w:rsidRPr="00BB2758" w:rsidRDefault="00766A0F" w:rsidP="000A630C">
      <w:pPr>
        <w:pStyle w:val="ListBullet"/>
      </w:pPr>
      <w:r w:rsidRPr="00BB2758">
        <w:t>Corporate support services (HR, records management, facilities, information requests, etc.)</w:t>
      </w:r>
      <w:r w:rsidR="00CE43CD">
        <w:t>.</w:t>
      </w:r>
    </w:p>
    <w:p w14:paraId="73F31CEE" w14:textId="04CC5BCE" w:rsidR="00583F3E" w:rsidRPr="00BB2758" w:rsidRDefault="002A5EA3" w:rsidP="006E0242">
      <w:r w:rsidRPr="00BB2758">
        <w:t>As p</w:t>
      </w:r>
      <w:r w:rsidR="00583F3E" w:rsidRPr="00BB2758">
        <w:t xml:space="preserve">rescribed in the </w:t>
      </w:r>
      <w:r w:rsidR="00EA6C1F">
        <w:rPr>
          <w:i/>
        </w:rPr>
        <w:t>FM Act</w:t>
      </w:r>
      <w:r w:rsidR="00583F3E" w:rsidRPr="00BB2758">
        <w:t xml:space="preserve">, </w:t>
      </w:r>
      <w:r w:rsidR="1FC30511" w:rsidRPr="00BB2758">
        <w:t>ACT Leave</w:t>
      </w:r>
      <w:r w:rsidR="00583F3E" w:rsidRPr="00BB2758">
        <w:t xml:space="preserve"> prepares an annual Statement of Intent agreed between the Chair of the Governing Board, the responsible Minister and the ACT Treasurer. The Statement of Intent outlines </w:t>
      </w:r>
      <w:r w:rsidR="25FC5AC2" w:rsidRPr="00BB2758">
        <w:t>ACT Leave’s</w:t>
      </w:r>
      <w:r w:rsidR="00583F3E" w:rsidRPr="00BB2758">
        <w:t xml:space="preserve"> financial forecast, business priorities, performance measures and key risks. A Statement of Performance report against the performance measures specified in the Statement of Intent is prepared each year, endorsed by the Chair of the Governing Board and reviewed by the ACT Auditor-General’s Office. </w:t>
      </w:r>
      <w:r w:rsidR="005B5B23" w:rsidRPr="00BB2758">
        <w:t>The annual</w:t>
      </w:r>
      <w:r w:rsidR="00583F3E" w:rsidRPr="00BB2758">
        <w:t xml:space="preserve"> Financial Statements and Statement of Performance are reviewed by the Audit </w:t>
      </w:r>
      <w:r w:rsidR="001D364B" w:rsidRPr="00BB2758">
        <w:t>and Risk</w:t>
      </w:r>
      <w:r w:rsidR="00583F3E" w:rsidRPr="00BB2758">
        <w:t xml:space="preserve"> Committee, signed by the Chair of the </w:t>
      </w:r>
      <w:r w:rsidR="001D364B" w:rsidRPr="00BB2758">
        <w:t xml:space="preserve">Governing </w:t>
      </w:r>
      <w:r w:rsidR="00583F3E" w:rsidRPr="00BB2758">
        <w:t>Board and audited by the ACT Auditor-General.</w:t>
      </w:r>
      <w:r w:rsidR="008754F5" w:rsidRPr="00BB2758">
        <w:t xml:space="preserve"> </w:t>
      </w:r>
      <w:r w:rsidR="00583F3E" w:rsidRPr="00F7431D">
        <w:t xml:space="preserve">Refer to </w:t>
      </w:r>
      <w:r w:rsidR="00EF606D" w:rsidRPr="00F7431D">
        <w:t>C</w:t>
      </w:r>
      <w:r w:rsidR="00583F3E" w:rsidRPr="00F7431D">
        <w:t>2</w:t>
      </w:r>
      <w:r w:rsidR="00974958" w:rsidRPr="00F7431D">
        <w:t>.</w:t>
      </w:r>
      <w:r w:rsidR="00583F3E" w:rsidRPr="00F7431D">
        <w:t xml:space="preserve"> Financial Statements, p</w:t>
      </w:r>
      <w:r w:rsidR="00583F3E" w:rsidRPr="00274088">
        <w:t>age</w:t>
      </w:r>
      <w:r w:rsidR="00EF606D" w:rsidRPr="00274088">
        <w:t>s</w:t>
      </w:r>
      <w:r w:rsidR="00583F3E" w:rsidRPr="00274088">
        <w:t xml:space="preserve"> </w:t>
      </w:r>
      <w:r w:rsidR="005E0D14" w:rsidRPr="00274088">
        <w:t>57</w:t>
      </w:r>
      <w:r w:rsidR="00EF606D" w:rsidRPr="00274088">
        <w:t>-</w:t>
      </w:r>
      <w:r w:rsidR="00117D8C" w:rsidRPr="00274088">
        <w:t>11</w:t>
      </w:r>
      <w:r w:rsidR="00274088" w:rsidRPr="00274088">
        <w:t>9</w:t>
      </w:r>
      <w:r w:rsidR="00583F3E" w:rsidRPr="00274088">
        <w:t xml:space="preserve">, and </w:t>
      </w:r>
      <w:r w:rsidR="00EF606D" w:rsidRPr="00274088">
        <w:t>C</w:t>
      </w:r>
      <w:r w:rsidR="00583F3E" w:rsidRPr="00274088">
        <w:t>6</w:t>
      </w:r>
      <w:r w:rsidR="00974958" w:rsidRPr="00274088">
        <w:t>.</w:t>
      </w:r>
      <w:r w:rsidR="00583F3E" w:rsidRPr="00274088">
        <w:t xml:space="preserve"> Statement of Performance for further information, page</w:t>
      </w:r>
      <w:r w:rsidR="00EF606D" w:rsidRPr="00274088">
        <w:t>s</w:t>
      </w:r>
      <w:r w:rsidR="00583F3E" w:rsidRPr="00274088">
        <w:t xml:space="preserve"> </w:t>
      </w:r>
      <w:r w:rsidR="00117D8C" w:rsidRPr="00274088">
        <w:t>1</w:t>
      </w:r>
      <w:r w:rsidR="00274088" w:rsidRPr="00274088">
        <w:t>22</w:t>
      </w:r>
      <w:r w:rsidR="00EF606D" w:rsidRPr="00274088">
        <w:t>-1</w:t>
      </w:r>
      <w:r w:rsidR="00117D8C" w:rsidRPr="00274088">
        <w:t>2</w:t>
      </w:r>
      <w:r w:rsidR="00274088" w:rsidRPr="00274088">
        <w:t>7</w:t>
      </w:r>
      <w:r w:rsidR="00583F3E" w:rsidRPr="00274088">
        <w:t>.</w:t>
      </w:r>
    </w:p>
    <w:p w14:paraId="5E2DD4C1" w14:textId="77777777" w:rsidR="00DE7619" w:rsidRDefault="00DE7619">
      <w:pPr>
        <w:spacing w:before="120" w:after="120" w:line="240" w:lineRule="auto"/>
        <w:rPr>
          <w:rFonts w:ascii="Arial" w:eastAsiaTheme="majorEastAsia" w:hAnsi="Arial" w:cs="Arial"/>
          <w:b/>
          <w:spacing w:val="4"/>
          <w:sz w:val="24"/>
          <w:szCs w:val="28"/>
          <w:lang w:eastAsia="en-US"/>
        </w:rPr>
      </w:pPr>
      <w:r>
        <w:rPr>
          <w:rFonts w:cs="Arial"/>
        </w:rPr>
        <w:br w:type="page"/>
      </w:r>
    </w:p>
    <w:p w14:paraId="278914D5" w14:textId="3E47A911" w:rsidR="00534AAA" w:rsidRDefault="00534AAA" w:rsidP="00534AAA">
      <w:pPr>
        <w:pStyle w:val="Heading3NoNumber"/>
        <w:rPr>
          <w:rFonts w:cs="Arial"/>
        </w:rPr>
      </w:pPr>
      <w:r w:rsidRPr="00BB2758">
        <w:rPr>
          <w:rFonts w:cs="Arial"/>
        </w:rPr>
        <w:lastRenderedPageBreak/>
        <w:t>Governing Board membership</w:t>
      </w:r>
    </w:p>
    <w:tbl>
      <w:tblPr>
        <w:tblStyle w:val="ACTLeavetable"/>
        <w:tblW w:w="0" w:type="auto"/>
        <w:tblLook w:val="04A0" w:firstRow="1" w:lastRow="0" w:firstColumn="1" w:lastColumn="0" w:noHBand="0" w:noVBand="1"/>
      </w:tblPr>
      <w:tblGrid>
        <w:gridCol w:w="1843"/>
        <w:gridCol w:w="3402"/>
        <w:gridCol w:w="4841"/>
      </w:tblGrid>
      <w:tr w:rsidR="00534AAA" w14:paraId="44C80046" w14:textId="77777777" w:rsidTr="00D85A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0F0E82D" w14:textId="3572E6D8" w:rsidR="00534AAA" w:rsidRPr="005B24A6" w:rsidRDefault="00027C89">
            <w:pPr>
              <w:pStyle w:val="Heading4"/>
              <w:spacing w:before="30" w:after="30"/>
              <w:rPr>
                <w:rFonts w:cs="Arial"/>
                <w:b/>
                <w:color w:val="FFFFFF" w:themeColor="background1"/>
                <w:lang w:eastAsia="zh-CN"/>
              </w:rPr>
            </w:pPr>
            <w:r>
              <w:rPr>
                <w:rFonts w:ascii="ZWAdobeF" w:hAnsi="ZWAdobeF" w:cs="ZWAdobeF"/>
                <w:color w:val="auto"/>
                <w:sz w:val="2"/>
                <w:szCs w:val="2"/>
                <w:lang w:eastAsia="zh-CN"/>
              </w:rPr>
              <w:t>0B</w:t>
            </w:r>
            <w:r w:rsidR="00534AAA" w:rsidRPr="005B24A6">
              <w:rPr>
                <w:rFonts w:cs="Arial"/>
                <w:b/>
                <w:color w:val="FFFFFF" w:themeColor="background1"/>
                <w:lang w:eastAsia="zh-CN"/>
              </w:rPr>
              <w:t>Board member</w:t>
            </w:r>
          </w:p>
        </w:tc>
        <w:tc>
          <w:tcPr>
            <w:tcW w:w="3402" w:type="dxa"/>
          </w:tcPr>
          <w:p w14:paraId="4507D40C" w14:textId="358B20B7" w:rsidR="00534AAA" w:rsidRPr="005B24A6" w:rsidRDefault="00027C89">
            <w:pPr>
              <w:pStyle w:val="Heading4"/>
              <w:spacing w:before="30" w:after="30"/>
              <w:cnfStyle w:val="100000000000" w:firstRow="1" w:lastRow="0" w:firstColumn="0" w:lastColumn="0" w:oddVBand="0" w:evenVBand="0" w:oddHBand="0" w:evenHBand="0" w:firstRowFirstColumn="0" w:firstRowLastColumn="0" w:lastRowFirstColumn="0" w:lastRowLastColumn="0"/>
              <w:rPr>
                <w:rFonts w:cs="Arial"/>
                <w:b/>
                <w:color w:val="FFFFFF" w:themeColor="background1"/>
                <w:lang w:eastAsia="zh-CN"/>
              </w:rPr>
            </w:pPr>
            <w:r>
              <w:rPr>
                <w:rFonts w:ascii="ZWAdobeF" w:hAnsi="ZWAdobeF" w:cs="ZWAdobeF"/>
                <w:color w:val="auto"/>
                <w:sz w:val="2"/>
                <w:szCs w:val="2"/>
                <w:lang w:eastAsia="zh-CN"/>
              </w:rPr>
              <w:t>1B</w:t>
            </w:r>
            <w:r w:rsidR="00534AAA" w:rsidRPr="005B24A6">
              <w:rPr>
                <w:rFonts w:cs="Arial"/>
                <w:b/>
                <w:color w:val="FFFFFF" w:themeColor="background1"/>
                <w:lang w:eastAsia="zh-CN"/>
              </w:rPr>
              <w:t>Position</w:t>
            </w:r>
          </w:p>
        </w:tc>
        <w:tc>
          <w:tcPr>
            <w:tcW w:w="4841" w:type="dxa"/>
          </w:tcPr>
          <w:p w14:paraId="585EB80F" w14:textId="37EA60AA" w:rsidR="00534AAA" w:rsidRPr="005B24A6" w:rsidRDefault="00027C89">
            <w:pPr>
              <w:pStyle w:val="Heading4"/>
              <w:spacing w:before="30" w:after="30"/>
              <w:cnfStyle w:val="100000000000" w:firstRow="1" w:lastRow="0" w:firstColumn="0" w:lastColumn="0" w:oddVBand="0" w:evenVBand="0" w:oddHBand="0" w:evenHBand="0" w:firstRowFirstColumn="0" w:firstRowLastColumn="0" w:lastRowFirstColumn="0" w:lastRowLastColumn="0"/>
              <w:rPr>
                <w:rFonts w:cs="Arial"/>
                <w:b/>
                <w:color w:val="FFFFFF" w:themeColor="background1"/>
                <w:lang w:eastAsia="zh-CN"/>
              </w:rPr>
            </w:pPr>
            <w:r>
              <w:rPr>
                <w:rFonts w:ascii="ZWAdobeF" w:hAnsi="ZWAdobeF" w:cs="ZWAdobeF"/>
                <w:color w:val="auto"/>
                <w:sz w:val="2"/>
                <w:szCs w:val="2"/>
                <w:lang w:eastAsia="zh-CN"/>
              </w:rPr>
              <w:t>2B</w:t>
            </w:r>
            <w:r w:rsidR="00534AAA" w:rsidRPr="005B24A6">
              <w:rPr>
                <w:rFonts w:cs="Arial"/>
                <w:b/>
                <w:color w:val="FFFFFF" w:themeColor="background1"/>
                <w:lang w:eastAsia="zh-CN"/>
              </w:rPr>
              <w:t>Details of appointment</w:t>
            </w:r>
          </w:p>
        </w:tc>
      </w:tr>
      <w:tr w:rsidR="00534AAA" w14:paraId="132D5C1C" w14:textId="77777777" w:rsidTr="007D6663">
        <w:trPr>
          <w:trHeight w:val="247"/>
        </w:trPr>
        <w:tc>
          <w:tcPr>
            <w:cnfStyle w:val="001000000000" w:firstRow="0" w:lastRow="0" w:firstColumn="1" w:lastColumn="0" w:oddVBand="0" w:evenVBand="0" w:oddHBand="0" w:evenHBand="0" w:firstRowFirstColumn="0" w:firstRowLastColumn="0" w:lastRowFirstColumn="0" w:lastRowLastColumn="0"/>
            <w:tcW w:w="10086" w:type="dxa"/>
            <w:gridSpan w:val="3"/>
            <w:shd w:val="clear" w:color="auto" w:fill="CEE1FB" w:themeFill="accent4"/>
          </w:tcPr>
          <w:p w14:paraId="47BF5BB0" w14:textId="77777777" w:rsidR="00534AAA" w:rsidRPr="00B86701" w:rsidRDefault="00534AAA" w:rsidP="004E5BA7">
            <w:pPr>
              <w:pStyle w:val="Listbullet1"/>
              <w:numPr>
                <w:ilvl w:val="0"/>
                <w:numId w:val="0"/>
              </w:numPr>
              <w:ind w:left="360" w:hanging="360"/>
              <w:rPr>
                <w:b/>
              </w:rPr>
            </w:pPr>
            <w:r w:rsidRPr="00B86701">
              <w:rPr>
                <w:b/>
              </w:rPr>
              <w:t>CURRENT MEMBERS</w:t>
            </w:r>
          </w:p>
        </w:tc>
      </w:tr>
      <w:tr w:rsidR="00534AAA" w14:paraId="44AD7B8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E336A99" w14:textId="77777777" w:rsidR="00534AAA" w:rsidRDefault="00534AAA">
            <w:pPr>
              <w:spacing w:before="30" w:after="30"/>
              <w:rPr>
                <w:lang w:eastAsia="zh-CN"/>
              </w:rPr>
            </w:pPr>
            <w:r>
              <w:rPr>
                <w:lang w:eastAsia="zh-CN"/>
              </w:rPr>
              <w:t>Justine Ross</w:t>
            </w:r>
          </w:p>
        </w:tc>
        <w:tc>
          <w:tcPr>
            <w:tcW w:w="3402" w:type="dxa"/>
          </w:tcPr>
          <w:p w14:paraId="258D53EA" w14:textId="77777777" w:rsidR="00534AAA" w:rsidRPr="005B24A6"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5B24A6">
              <w:t xml:space="preserve">Independent Chair </w:t>
            </w:r>
          </w:p>
          <w:p w14:paraId="39D8F3CD" w14:textId="77777777" w:rsidR="00534AAA"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5B24A6">
              <w:t>Member Audit and Risk Committee</w:t>
            </w:r>
          </w:p>
        </w:tc>
        <w:tc>
          <w:tcPr>
            <w:tcW w:w="4841" w:type="dxa"/>
          </w:tcPr>
          <w:p w14:paraId="530DD75D" w14:textId="77777777" w:rsidR="00534AAA"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350481">
              <w:t>Appointed on 26 January 202</w:t>
            </w:r>
            <w:r>
              <w:t>6</w:t>
            </w:r>
            <w:r w:rsidRPr="00350481">
              <w:t xml:space="preserve"> for a </w:t>
            </w:r>
            <w:r>
              <w:t>period</w:t>
            </w:r>
            <w:r w:rsidRPr="00350481">
              <w:t xml:space="preserve"> of </w:t>
            </w:r>
            <w:r>
              <w:t>5</w:t>
            </w:r>
            <w:r w:rsidRPr="00350481">
              <w:t xml:space="preserve"> years</w:t>
            </w:r>
            <w:r>
              <w:t>.</w:t>
            </w:r>
          </w:p>
          <w:p w14:paraId="550BE719" w14:textId="77777777" w:rsidR="00534AAA" w:rsidRDefault="00534AAA" w:rsidP="000A630C">
            <w:pPr>
              <w:pStyle w:val="Listbullet1"/>
              <w:numPr>
                <w:ilvl w:val="0"/>
                <w:numId w:val="0"/>
              </w:numPr>
              <w:ind w:left="360"/>
              <w:cnfStyle w:val="000000010000" w:firstRow="0" w:lastRow="0" w:firstColumn="0" w:lastColumn="0" w:oddVBand="0" w:evenVBand="0" w:oddHBand="0" w:evenHBand="1" w:firstRowFirstColumn="0" w:firstRowLastColumn="0" w:lastRowFirstColumn="0" w:lastRowLastColumn="0"/>
            </w:pPr>
          </w:p>
        </w:tc>
      </w:tr>
      <w:tr w:rsidR="00534AAA" w14:paraId="488B20F8" w14:textId="77777777">
        <w:trPr>
          <w:trHeight w:val="17"/>
        </w:trPr>
        <w:tc>
          <w:tcPr>
            <w:cnfStyle w:val="001000000000" w:firstRow="0" w:lastRow="0" w:firstColumn="1" w:lastColumn="0" w:oddVBand="0" w:evenVBand="0" w:oddHBand="0" w:evenHBand="0" w:firstRowFirstColumn="0" w:firstRowLastColumn="0" w:lastRowFirstColumn="0" w:lastRowLastColumn="0"/>
            <w:tcW w:w="1843" w:type="dxa"/>
          </w:tcPr>
          <w:p w14:paraId="4E68D4E4" w14:textId="77777777" w:rsidR="00534AAA" w:rsidRDefault="00534AAA">
            <w:pPr>
              <w:spacing w:before="30" w:after="30"/>
              <w:rPr>
                <w:lang w:eastAsia="zh-CN"/>
              </w:rPr>
            </w:pPr>
            <w:r w:rsidRPr="00C204D7">
              <w:rPr>
                <w:rFonts w:cs="Arial"/>
                <w:lang w:eastAsia="zh-CN"/>
              </w:rPr>
              <w:t>Roslyn Jackson</w:t>
            </w:r>
          </w:p>
        </w:tc>
        <w:tc>
          <w:tcPr>
            <w:tcW w:w="3402" w:type="dxa"/>
          </w:tcPr>
          <w:p w14:paraId="26BC096B" w14:textId="77777777" w:rsidR="00534AAA" w:rsidRDefault="00534AAA" w:rsidP="000A630C">
            <w:pPr>
              <w:pStyle w:val="ListBullet"/>
              <w:cnfStyle w:val="000000000000" w:firstRow="0" w:lastRow="0" w:firstColumn="0" w:lastColumn="0" w:oddVBand="0" w:evenVBand="0" w:oddHBand="0" w:evenHBand="0" w:firstRowFirstColumn="0" w:firstRowLastColumn="0" w:lastRowFirstColumn="0" w:lastRowLastColumn="0"/>
            </w:pPr>
            <w:r w:rsidRPr="00C204D7">
              <w:t>Independent Deputy Chair</w:t>
            </w:r>
          </w:p>
          <w:p w14:paraId="16C21881" w14:textId="77777777" w:rsidR="00534AAA" w:rsidRDefault="00534AAA" w:rsidP="000A630C">
            <w:pPr>
              <w:pStyle w:val="ListBullet"/>
              <w:cnfStyle w:val="000000000000" w:firstRow="0" w:lastRow="0" w:firstColumn="0" w:lastColumn="0" w:oddVBand="0" w:evenVBand="0" w:oddHBand="0" w:evenHBand="0" w:firstRowFirstColumn="0" w:firstRowLastColumn="0" w:lastRowFirstColumn="0" w:lastRowLastColumn="0"/>
            </w:pPr>
            <w:r w:rsidRPr="00C204D7">
              <w:t>Chair Audit and Risk Committee</w:t>
            </w:r>
          </w:p>
        </w:tc>
        <w:tc>
          <w:tcPr>
            <w:tcW w:w="4841" w:type="dxa"/>
          </w:tcPr>
          <w:p w14:paraId="2F32BD0B" w14:textId="5186F10E" w:rsidR="00534AAA" w:rsidRPr="003505A5" w:rsidRDefault="00534AAA" w:rsidP="000A630C">
            <w:pPr>
              <w:pStyle w:val="ListBullet"/>
              <w:cnfStyle w:val="000000000000" w:firstRow="0" w:lastRow="0" w:firstColumn="0" w:lastColumn="0" w:oddVBand="0" w:evenVBand="0" w:oddHBand="0" w:evenHBand="0" w:firstRowFirstColumn="0" w:firstRowLastColumn="0" w:lastRowFirstColumn="0" w:lastRowLastColumn="0"/>
            </w:pPr>
            <w:r w:rsidRPr="003505A5">
              <w:t xml:space="preserve">Appointed on 20 May 2025 for a </w:t>
            </w:r>
            <w:r>
              <w:t>period</w:t>
            </w:r>
            <w:r w:rsidRPr="003505A5">
              <w:t xml:space="preserve"> of </w:t>
            </w:r>
            <w:r w:rsidR="0093715E">
              <w:t xml:space="preserve">4 </w:t>
            </w:r>
            <w:r w:rsidRPr="003505A5">
              <w:t>years.</w:t>
            </w:r>
          </w:p>
        </w:tc>
      </w:tr>
      <w:tr w:rsidR="00534AAA" w14:paraId="352669BD" w14:textId="77777777">
        <w:trPr>
          <w:cnfStyle w:val="000000010000" w:firstRow="0" w:lastRow="0" w:firstColumn="0" w:lastColumn="0" w:oddVBand="0" w:evenVBand="0" w:oddHBand="0" w:evenHBand="1"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1843" w:type="dxa"/>
          </w:tcPr>
          <w:p w14:paraId="1C7C98FF" w14:textId="77777777" w:rsidR="00534AAA" w:rsidRPr="00FC4DFB" w:rsidRDefault="00534AAA">
            <w:pPr>
              <w:spacing w:before="30" w:after="30"/>
              <w:rPr>
                <w:rFonts w:cs="Arial"/>
                <w:lang w:eastAsia="zh-CN"/>
              </w:rPr>
            </w:pPr>
            <w:r w:rsidRPr="00FC4DFB">
              <w:rPr>
                <w:rFonts w:cs="Arial"/>
                <w:lang w:eastAsia="zh-CN"/>
              </w:rPr>
              <w:t>Pema Choden</w:t>
            </w:r>
          </w:p>
        </w:tc>
        <w:tc>
          <w:tcPr>
            <w:tcW w:w="3402" w:type="dxa"/>
          </w:tcPr>
          <w:p w14:paraId="73062C60" w14:textId="77777777" w:rsidR="00534AAA" w:rsidRPr="00123400"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123400">
              <w:t>Member representing employee organisations</w:t>
            </w:r>
          </w:p>
        </w:tc>
        <w:tc>
          <w:tcPr>
            <w:tcW w:w="4841" w:type="dxa"/>
          </w:tcPr>
          <w:p w14:paraId="4EE1527D" w14:textId="31F83367" w:rsidR="00534AAA" w:rsidRPr="00123400" w:rsidRDefault="00534AAA" w:rsidP="000A630C">
            <w:pPr>
              <w:pStyle w:val="ListBullet"/>
              <w:cnfStyle w:val="000000010000" w:firstRow="0" w:lastRow="0" w:firstColumn="0" w:lastColumn="0" w:oddVBand="0" w:evenVBand="0" w:oddHBand="0" w:evenHBand="1" w:firstRowFirstColumn="0" w:firstRowLastColumn="0" w:lastRowFirstColumn="0" w:lastRowLastColumn="0"/>
              <w:rPr>
                <w:iCs/>
              </w:rPr>
            </w:pPr>
            <w:r w:rsidRPr="00BB2758">
              <w:t xml:space="preserve">Appointed on 20 May 2025 </w:t>
            </w:r>
            <w:r w:rsidR="0093715E" w:rsidRPr="003505A5">
              <w:rPr>
                <w:lang w:eastAsia="zh-CN"/>
              </w:rPr>
              <w:t xml:space="preserve">for a </w:t>
            </w:r>
            <w:r w:rsidR="0093715E">
              <w:rPr>
                <w:lang w:eastAsia="zh-CN"/>
              </w:rPr>
              <w:t>period</w:t>
            </w:r>
            <w:r w:rsidR="0093715E" w:rsidRPr="003505A5">
              <w:rPr>
                <w:lang w:eastAsia="zh-CN"/>
              </w:rPr>
              <w:t xml:space="preserve"> of </w:t>
            </w:r>
            <w:r w:rsidR="0093715E">
              <w:rPr>
                <w:lang w:eastAsia="zh-CN"/>
              </w:rPr>
              <w:t xml:space="preserve">4 </w:t>
            </w:r>
            <w:r w:rsidR="0093715E" w:rsidRPr="003505A5">
              <w:rPr>
                <w:lang w:eastAsia="zh-CN"/>
              </w:rPr>
              <w:t>years.</w:t>
            </w:r>
          </w:p>
        </w:tc>
      </w:tr>
      <w:tr w:rsidR="00534AAA" w14:paraId="1CF0999C" w14:textId="77777777">
        <w:trPr>
          <w:trHeight w:val="17"/>
        </w:trPr>
        <w:tc>
          <w:tcPr>
            <w:cnfStyle w:val="001000000000" w:firstRow="0" w:lastRow="0" w:firstColumn="1" w:lastColumn="0" w:oddVBand="0" w:evenVBand="0" w:oddHBand="0" w:evenHBand="0" w:firstRowFirstColumn="0" w:firstRowLastColumn="0" w:lastRowFirstColumn="0" w:lastRowLastColumn="0"/>
            <w:tcW w:w="1843" w:type="dxa"/>
          </w:tcPr>
          <w:p w14:paraId="1DB359D2" w14:textId="7E41A881" w:rsidR="00534AAA" w:rsidRPr="00393CCD" w:rsidRDefault="00027C89">
            <w:pPr>
              <w:pStyle w:val="Heading4"/>
              <w:spacing w:before="30" w:after="30"/>
              <w:rPr>
                <w:rFonts w:cs="Arial"/>
                <w:b w:val="0"/>
                <w:bCs/>
                <w:lang w:val="en-US" w:eastAsia="zh-CN"/>
              </w:rPr>
            </w:pPr>
            <w:r>
              <w:rPr>
                <w:rFonts w:ascii="ZWAdobeF" w:hAnsi="ZWAdobeF" w:cs="ZWAdobeF"/>
                <w:b w:val="0"/>
                <w:bCs/>
                <w:color w:val="auto"/>
                <w:sz w:val="2"/>
                <w:szCs w:val="2"/>
                <w:lang w:val="en-US" w:eastAsia="zh-CN"/>
              </w:rPr>
              <w:t>3B</w:t>
            </w:r>
            <w:r w:rsidR="00534AAA" w:rsidRPr="00393CCD">
              <w:rPr>
                <w:rFonts w:cs="Arial"/>
                <w:b w:val="0"/>
                <w:bCs/>
                <w:lang w:val="en-US" w:eastAsia="zh-CN"/>
              </w:rPr>
              <w:t>Joshua Bolitho</w:t>
            </w:r>
          </w:p>
        </w:tc>
        <w:tc>
          <w:tcPr>
            <w:tcW w:w="3402" w:type="dxa"/>
          </w:tcPr>
          <w:p w14:paraId="04897ED2" w14:textId="77777777" w:rsidR="00534AAA" w:rsidRPr="00C204D7" w:rsidRDefault="00534AAA" w:rsidP="000A630C">
            <w:pPr>
              <w:pStyle w:val="ListBullet"/>
              <w:cnfStyle w:val="000000000000" w:firstRow="0" w:lastRow="0" w:firstColumn="0" w:lastColumn="0" w:oddVBand="0" w:evenVBand="0" w:oddHBand="0" w:evenHBand="0" w:firstRowFirstColumn="0" w:firstRowLastColumn="0" w:lastRowFirstColumn="0" w:lastRowLastColumn="0"/>
            </w:pPr>
            <w:r w:rsidRPr="00BB2758">
              <w:t>Member representing employee organisations</w:t>
            </w:r>
          </w:p>
        </w:tc>
        <w:tc>
          <w:tcPr>
            <w:tcW w:w="4841" w:type="dxa"/>
          </w:tcPr>
          <w:p w14:paraId="29D2F43D" w14:textId="2EA31B2D" w:rsidR="00534AAA" w:rsidRPr="003505A5" w:rsidRDefault="00534AAA" w:rsidP="000A630C">
            <w:pPr>
              <w:pStyle w:val="ListBullet"/>
              <w:cnfStyle w:val="000000000000" w:firstRow="0" w:lastRow="0" w:firstColumn="0" w:lastColumn="0" w:oddVBand="0" w:evenVBand="0" w:oddHBand="0" w:evenHBand="0" w:firstRowFirstColumn="0" w:firstRowLastColumn="0" w:lastRowFirstColumn="0" w:lastRowLastColumn="0"/>
            </w:pPr>
            <w:r w:rsidRPr="00BB2758">
              <w:t xml:space="preserve">Appointed on 9 May 2023 </w:t>
            </w:r>
            <w:r w:rsidR="0093715E" w:rsidRPr="003505A5">
              <w:t xml:space="preserve">for a </w:t>
            </w:r>
            <w:r w:rsidR="0093715E">
              <w:t>period</w:t>
            </w:r>
            <w:r w:rsidR="0093715E" w:rsidRPr="003505A5">
              <w:t xml:space="preserve"> of </w:t>
            </w:r>
            <w:r w:rsidR="0093715E">
              <w:t xml:space="preserve">4 </w:t>
            </w:r>
            <w:r w:rsidR="0093715E" w:rsidRPr="003505A5">
              <w:t>years.</w:t>
            </w:r>
          </w:p>
        </w:tc>
      </w:tr>
      <w:tr w:rsidR="00534AAA" w14:paraId="6B98575E" w14:textId="77777777">
        <w:trPr>
          <w:cnfStyle w:val="000000010000" w:firstRow="0" w:lastRow="0" w:firstColumn="0" w:lastColumn="0" w:oddVBand="0" w:evenVBand="0" w:oddHBand="0" w:evenHBand="1"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1843" w:type="dxa"/>
          </w:tcPr>
          <w:p w14:paraId="5541BA28" w14:textId="2DF72B37" w:rsidR="00534AAA" w:rsidRPr="00393CCD" w:rsidRDefault="00027C89">
            <w:pPr>
              <w:pStyle w:val="Heading4"/>
              <w:spacing w:before="30" w:after="30"/>
              <w:rPr>
                <w:rFonts w:cs="Arial"/>
                <w:b w:val="0"/>
                <w:bCs/>
                <w:lang w:val="en-US" w:eastAsia="zh-CN"/>
              </w:rPr>
            </w:pPr>
            <w:r>
              <w:rPr>
                <w:rFonts w:ascii="ZWAdobeF" w:hAnsi="ZWAdobeF" w:cs="ZWAdobeF"/>
                <w:b w:val="0"/>
                <w:bCs/>
                <w:color w:val="auto"/>
                <w:sz w:val="2"/>
                <w:szCs w:val="2"/>
                <w:lang w:val="en-US" w:eastAsia="zh-CN"/>
              </w:rPr>
              <w:t>4B</w:t>
            </w:r>
            <w:r w:rsidR="00534AAA" w:rsidRPr="00393CCD">
              <w:rPr>
                <w:rFonts w:cs="Arial"/>
                <w:b w:val="0"/>
                <w:bCs/>
                <w:lang w:val="en-US" w:eastAsia="zh-CN"/>
              </w:rPr>
              <w:t xml:space="preserve">Michael Capezio </w:t>
            </w:r>
          </w:p>
        </w:tc>
        <w:tc>
          <w:tcPr>
            <w:tcW w:w="3402" w:type="dxa"/>
          </w:tcPr>
          <w:p w14:paraId="31D2D263" w14:textId="77777777" w:rsidR="00D270E6" w:rsidRPr="00D270E6"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BB2758">
              <w:t xml:space="preserve">Member representing employer organisations, </w:t>
            </w:r>
          </w:p>
          <w:p w14:paraId="558F6B1E" w14:textId="5651A622" w:rsidR="00534AAA" w:rsidRPr="00C204D7" w:rsidRDefault="00D270E6" w:rsidP="000A630C">
            <w:pPr>
              <w:pStyle w:val="ListBullet"/>
              <w:cnfStyle w:val="000000010000" w:firstRow="0" w:lastRow="0" w:firstColumn="0" w:lastColumn="0" w:oddVBand="0" w:evenVBand="0" w:oddHBand="0" w:evenHBand="1" w:firstRowFirstColumn="0" w:firstRowLastColumn="0" w:lastRowFirstColumn="0" w:lastRowLastColumn="0"/>
            </w:pPr>
            <w:r>
              <w:t>Deputy Chair,</w:t>
            </w:r>
            <w:r w:rsidR="00534AAA" w:rsidRPr="00BB2758">
              <w:t xml:space="preserve"> Audit and Risk Committee</w:t>
            </w:r>
          </w:p>
        </w:tc>
        <w:tc>
          <w:tcPr>
            <w:tcW w:w="4841" w:type="dxa"/>
          </w:tcPr>
          <w:p w14:paraId="7A0D4EE3" w14:textId="03A83D51" w:rsidR="00534AAA" w:rsidRPr="003505A5"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BB2758">
              <w:rPr>
                <w:bCs/>
              </w:rPr>
              <w:t>Appointed on</w:t>
            </w:r>
            <w:r w:rsidRPr="00BB2758">
              <w:t xml:space="preserve"> 22 March 2024 </w:t>
            </w:r>
            <w:r w:rsidR="0093715E" w:rsidRPr="003505A5">
              <w:t xml:space="preserve">for a </w:t>
            </w:r>
            <w:r w:rsidR="0093715E">
              <w:t>period</w:t>
            </w:r>
            <w:r w:rsidR="0093715E" w:rsidRPr="003505A5">
              <w:t xml:space="preserve"> of </w:t>
            </w:r>
            <w:r w:rsidR="0093715E">
              <w:t xml:space="preserve">4 </w:t>
            </w:r>
            <w:r w:rsidR="0093715E" w:rsidRPr="003505A5">
              <w:t>years.</w:t>
            </w:r>
          </w:p>
        </w:tc>
      </w:tr>
      <w:tr w:rsidR="00534AAA" w14:paraId="44FED729" w14:textId="77777777">
        <w:trPr>
          <w:trHeight w:val="17"/>
        </w:trPr>
        <w:tc>
          <w:tcPr>
            <w:cnfStyle w:val="001000000000" w:firstRow="0" w:lastRow="0" w:firstColumn="1" w:lastColumn="0" w:oddVBand="0" w:evenVBand="0" w:oddHBand="0" w:evenHBand="0" w:firstRowFirstColumn="0" w:firstRowLastColumn="0" w:lastRowFirstColumn="0" w:lastRowLastColumn="0"/>
            <w:tcW w:w="1843" w:type="dxa"/>
          </w:tcPr>
          <w:p w14:paraId="4E5CA98F" w14:textId="44709454" w:rsidR="00534AAA" w:rsidRPr="00393CCD" w:rsidRDefault="00027C89">
            <w:pPr>
              <w:pStyle w:val="Heading4"/>
              <w:spacing w:before="30" w:after="30"/>
              <w:rPr>
                <w:rFonts w:cs="Arial"/>
                <w:b w:val="0"/>
                <w:bCs/>
                <w:lang w:val="en-US"/>
              </w:rPr>
            </w:pPr>
            <w:r>
              <w:rPr>
                <w:rFonts w:ascii="ZWAdobeF" w:hAnsi="ZWAdobeF" w:cs="ZWAdobeF"/>
                <w:b w:val="0"/>
                <w:bCs/>
                <w:color w:val="auto"/>
                <w:sz w:val="2"/>
                <w:szCs w:val="2"/>
                <w:lang w:val="en-US" w:eastAsia="zh-CN"/>
              </w:rPr>
              <w:t>5B</w:t>
            </w:r>
            <w:r w:rsidR="00534AAA" w:rsidRPr="00393CCD">
              <w:rPr>
                <w:rFonts w:cs="Arial"/>
                <w:b w:val="0"/>
                <w:bCs/>
                <w:lang w:val="en-US" w:eastAsia="zh-CN"/>
              </w:rPr>
              <w:t>Pierre Huetter</w:t>
            </w:r>
          </w:p>
        </w:tc>
        <w:tc>
          <w:tcPr>
            <w:tcW w:w="3402" w:type="dxa"/>
          </w:tcPr>
          <w:p w14:paraId="53E1A8E4" w14:textId="77777777" w:rsidR="00534AAA" w:rsidRPr="00BB2758" w:rsidRDefault="00534AAA" w:rsidP="000A630C">
            <w:pPr>
              <w:pStyle w:val="ListBullet"/>
              <w:cnfStyle w:val="000000000000" w:firstRow="0" w:lastRow="0" w:firstColumn="0" w:lastColumn="0" w:oddVBand="0" w:evenVBand="0" w:oddHBand="0" w:evenHBand="0" w:firstRowFirstColumn="0" w:firstRowLastColumn="0" w:lastRowFirstColumn="0" w:lastRowLastColumn="0"/>
            </w:pPr>
            <w:r w:rsidRPr="00BB2758">
              <w:t>Member representing employer organisations</w:t>
            </w:r>
          </w:p>
        </w:tc>
        <w:tc>
          <w:tcPr>
            <w:tcW w:w="4841" w:type="dxa"/>
          </w:tcPr>
          <w:p w14:paraId="131919C8" w14:textId="3B3C6587" w:rsidR="00534AAA" w:rsidRPr="00393CCD" w:rsidRDefault="00534AAA" w:rsidP="000A630C">
            <w:pPr>
              <w:pStyle w:val="ListBullet"/>
              <w:cnfStyle w:val="000000000000" w:firstRow="0" w:lastRow="0" w:firstColumn="0" w:lastColumn="0" w:oddVBand="0" w:evenVBand="0" w:oddHBand="0" w:evenHBand="0" w:firstRowFirstColumn="0" w:firstRowLastColumn="0" w:lastRowFirstColumn="0" w:lastRowLastColumn="0"/>
            </w:pPr>
            <w:r w:rsidRPr="00BB2758">
              <w:t xml:space="preserve">Appointed on 20 May 2025 </w:t>
            </w:r>
            <w:r w:rsidR="0093715E" w:rsidRPr="003505A5">
              <w:rPr>
                <w:lang w:eastAsia="zh-CN"/>
              </w:rPr>
              <w:t xml:space="preserve">for a </w:t>
            </w:r>
            <w:r w:rsidR="0093715E">
              <w:rPr>
                <w:lang w:eastAsia="zh-CN"/>
              </w:rPr>
              <w:t>period</w:t>
            </w:r>
            <w:r w:rsidR="0093715E" w:rsidRPr="003505A5">
              <w:rPr>
                <w:lang w:eastAsia="zh-CN"/>
              </w:rPr>
              <w:t xml:space="preserve"> of </w:t>
            </w:r>
            <w:r w:rsidR="0093715E">
              <w:rPr>
                <w:lang w:eastAsia="zh-CN"/>
              </w:rPr>
              <w:t xml:space="preserve">4 </w:t>
            </w:r>
            <w:r w:rsidR="0093715E" w:rsidRPr="003505A5">
              <w:rPr>
                <w:lang w:eastAsia="zh-CN"/>
              </w:rPr>
              <w:t>years.</w:t>
            </w:r>
          </w:p>
        </w:tc>
      </w:tr>
      <w:tr w:rsidR="00534AAA" w14:paraId="75FEDFE2" w14:textId="77777777">
        <w:trPr>
          <w:cnfStyle w:val="000000010000" w:firstRow="0" w:lastRow="0" w:firstColumn="0" w:lastColumn="0" w:oddVBand="0" w:evenVBand="0" w:oddHBand="0" w:evenHBand="1"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1843" w:type="dxa"/>
          </w:tcPr>
          <w:p w14:paraId="7F9120FF" w14:textId="5A2B267E" w:rsidR="00534AAA" w:rsidRPr="00393CCD" w:rsidRDefault="00027C89">
            <w:pPr>
              <w:pStyle w:val="Heading4"/>
              <w:spacing w:before="30" w:after="30"/>
              <w:rPr>
                <w:rFonts w:cs="Arial"/>
                <w:b w:val="0"/>
                <w:bCs/>
                <w:lang w:val="en-US" w:eastAsia="zh-CN"/>
              </w:rPr>
            </w:pPr>
            <w:r>
              <w:rPr>
                <w:rFonts w:ascii="ZWAdobeF" w:hAnsi="ZWAdobeF" w:cs="ZWAdobeF"/>
                <w:b w:val="0"/>
                <w:bCs/>
                <w:color w:val="auto"/>
                <w:sz w:val="2"/>
                <w:szCs w:val="2"/>
              </w:rPr>
              <w:t>6B</w:t>
            </w:r>
            <w:r w:rsidR="00534AAA" w:rsidRPr="00393CCD">
              <w:rPr>
                <w:rFonts w:cs="Arial"/>
                <w:b w:val="0"/>
                <w:bCs/>
              </w:rPr>
              <w:t>Cassandra Webeck</w:t>
            </w:r>
          </w:p>
        </w:tc>
        <w:tc>
          <w:tcPr>
            <w:tcW w:w="3402" w:type="dxa"/>
          </w:tcPr>
          <w:p w14:paraId="7DABE66C" w14:textId="77777777" w:rsidR="00534AAA" w:rsidRPr="00393CCD"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BB2758">
              <w:t xml:space="preserve">Chief Executive Officer and Registrar, ACT Leave </w:t>
            </w:r>
          </w:p>
        </w:tc>
        <w:tc>
          <w:tcPr>
            <w:tcW w:w="4841" w:type="dxa"/>
          </w:tcPr>
          <w:p w14:paraId="46B3ACF4" w14:textId="3974238F" w:rsidR="00534AAA" w:rsidRPr="00393CCD" w:rsidRDefault="00534AAA" w:rsidP="000A630C">
            <w:pPr>
              <w:pStyle w:val="ListBullet"/>
              <w:cnfStyle w:val="000000010000" w:firstRow="0" w:lastRow="0" w:firstColumn="0" w:lastColumn="0" w:oddVBand="0" w:evenVBand="0" w:oddHBand="0" w:evenHBand="1" w:firstRowFirstColumn="0" w:firstRowLastColumn="0" w:lastRowFirstColumn="0" w:lastRowLastColumn="0"/>
              <w:rPr>
                <w:b/>
                <w:bCs/>
                <w:lang w:eastAsia="zh-CN"/>
              </w:rPr>
            </w:pPr>
            <w:r w:rsidRPr="00393CCD">
              <w:t>Appointed as Chief Executive Officer and Registrar on 17 September 2025</w:t>
            </w:r>
            <w:r>
              <w:t xml:space="preserve"> for a period of </w:t>
            </w:r>
            <w:r w:rsidR="0093715E">
              <w:t>5</w:t>
            </w:r>
            <w:r>
              <w:t xml:space="preserve"> years.</w:t>
            </w:r>
          </w:p>
        </w:tc>
      </w:tr>
      <w:tr w:rsidR="00534AAA" w14:paraId="1FB0EC39" w14:textId="77777777">
        <w:trPr>
          <w:trHeight w:val="17"/>
        </w:trPr>
        <w:tc>
          <w:tcPr>
            <w:cnfStyle w:val="001000000000" w:firstRow="0" w:lastRow="0" w:firstColumn="1" w:lastColumn="0" w:oddVBand="0" w:evenVBand="0" w:oddHBand="0" w:evenHBand="0" w:firstRowFirstColumn="0" w:firstRowLastColumn="0" w:lastRowFirstColumn="0" w:lastRowLastColumn="0"/>
            <w:tcW w:w="10086" w:type="dxa"/>
            <w:gridSpan w:val="3"/>
            <w:shd w:val="clear" w:color="auto" w:fill="CEE1FB" w:themeFill="accent4"/>
          </w:tcPr>
          <w:p w14:paraId="4DDFD9BC" w14:textId="77777777" w:rsidR="00534AAA" w:rsidRPr="00B86701" w:rsidRDefault="00534AAA" w:rsidP="00B86701">
            <w:pPr>
              <w:pStyle w:val="Listbullet1"/>
              <w:numPr>
                <w:ilvl w:val="0"/>
                <w:numId w:val="0"/>
              </w:numPr>
              <w:ind w:left="360" w:hanging="360"/>
              <w:rPr>
                <w:b/>
              </w:rPr>
            </w:pPr>
            <w:r w:rsidRPr="00B86701">
              <w:rPr>
                <w:b/>
              </w:rPr>
              <w:t>FORMER MEMBERS</w:t>
            </w:r>
          </w:p>
        </w:tc>
      </w:tr>
      <w:tr w:rsidR="00534AAA" w14:paraId="0D87F6BF" w14:textId="77777777">
        <w:trPr>
          <w:cnfStyle w:val="000000010000" w:firstRow="0" w:lastRow="0" w:firstColumn="0" w:lastColumn="0" w:oddVBand="0" w:evenVBand="0" w:oddHBand="0" w:evenHBand="1"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1843" w:type="dxa"/>
          </w:tcPr>
          <w:p w14:paraId="616301E6" w14:textId="313BB212" w:rsidR="00534AAA" w:rsidRPr="00393CCD" w:rsidRDefault="00027C89">
            <w:pPr>
              <w:pStyle w:val="Heading4"/>
              <w:spacing w:before="30" w:after="30"/>
              <w:rPr>
                <w:rFonts w:cs="Arial"/>
                <w:b w:val="0"/>
                <w:bCs/>
              </w:rPr>
            </w:pPr>
            <w:r>
              <w:rPr>
                <w:rFonts w:ascii="ZWAdobeF" w:hAnsi="ZWAdobeF" w:cs="ZWAdobeF"/>
                <w:b w:val="0"/>
                <w:color w:val="auto"/>
                <w:sz w:val="2"/>
                <w:szCs w:val="2"/>
                <w:lang w:eastAsia="zh-CN"/>
              </w:rPr>
              <w:t>7B</w:t>
            </w:r>
            <w:r w:rsidR="00534AAA" w:rsidRPr="005B24A6">
              <w:rPr>
                <w:lang w:eastAsia="zh-CN"/>
              </w:rPr>
              <w:t>Anne O’Donnell</w:t>
            </w:r>
          </w:p>
        </w:tc>
        <w:tc>
          <w:tcPr>
            <w:tcW w:w="3402" w:type="dxa"/>
          </w:tcPr>
          <w:p w14:paraId="2E4CC16D" w14:textId="77777777" w:rsidR="00534AAA" w:rsidRPr="005B24A6"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5B24A6">
              <w:t>Independent Chair</w:t>
            </w:r>
          </w:p>
          <w:p w14:paraId="51A54984" w14:textId="77777777" w:rsidR="00534AAA" w:rsidRPr="00BB2758"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5B24A6">
              <w:t>Member Audit and Risk Committee</w:t>
            </w:r>
          </w:p>
        </w:tc>
        <w:tc>
          <w:tcPr>
            <w:tcW w:w="4841" w:type="dxa"/>
          </w:tcPr>
          <w:p w14:paraId="4D021B67" w14:textId="77777777" w:rsidR="00534AAA"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5B24A6">
              <w:t xml:space="preserve">Appointed on 26 January 2022 for a </w:t>
            </w:r>
            <w:r>
              <w:t>period</w:t>
            </w:r>
            <w:r w:rsidRPr="005B24A6">
              <w:t xml:space="preserve"> of 3 years</w:t>
            </w:r>
            <w:r>
              <w:t>.</w:t>
            </w:r>
          </w:p>
          <w:p w14:paraId="64E21F13" w14:textId="77777777" w:rsidR="00534AAA" w:rsidRPr="005B24A6"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t>R</w:t>
            </w:r>
            <w:r w:rsidRPr="005B24A6">
              <w:t xml:space="preserve">eappointed on 26 January 2025 for a </w:t>
            </w:r>
            <w:r>
              <w:t>period</w:t>
            </w:r>
            <w:r w:rsidRPr="005B24A6">
              <w:t xml:space="preserve"> of 1 year</w:t>
            </w:r>
            <w:r>
              <w:t>.</w:t>
            </w:r>
          </w:p>
          <w:p w14:paraId="51CF01E1" w14:textId="77777777" w:rsidR="00534AAA" w:rsidRPr="00393CCD" w:rsidRDefault="00534AAA" w:rsidP="000A630C">
            <w:pPr>
              <w:pStyle w:val="ListBullet"/>
              <w:cnfStyle w:val="000000010000" w:firstRow="0" w:lastRow="0" w:firstColumn="0" w:lastColumn="0" w:oddVBand="0" w:evenVBand="0" w:oddHBand="0" w:evenHBand="1" w:firstRowFirstColumn="0" w:firstRowLastColumn="0" w:lastRowFirstColumn="0" w:lastRowLastColumn="0"/>
            </w:pPr>
            <w:r w:rsidRPr="005B24A6">
              <w:t>Term completed on 25 January 2026.</w:t>
            </w:r>
          </w:p>
        </w:tc>
      </w:tr>
    </w:tbl>
    <w:p w14:paraId="2268ACCE" w14:textId="77777777" w:rsidR="00DE7619" w:rsidRDefault="00DE7619" w:rsidP="005B0C18">
      <w:pPr>
        <w:rPr>
          <w:rFonts w:cs="Arial"/>
        </w:rPr>
      </w:pPr>
    </w:p>
    <w:p w14:paraId="109306F0" w14:textId="77777777" w:rsidR="00DE7619" w:rsidRDefault="00DE7619">
      <w:pPr>
        <w:spacing w:before="120" w:after="120" w:line="240" w:lineRule="auto"/>
        <w:rPr>
          <w:rFonts w:ascii="Arial" w:eastAsiaTheme="majorEastAsia" w:hAnsi="Arial" w:cs="Arial"/>
          <w:b/>
          <w:spacing w:val="4"/>
          <w:sz w:val="24"/>
          <w:szCs w:val="28"/>
          <w:lang w:eastAsia="en-US"/>
        </w:rPr>
      </w:pPr>
      <w:r>
        <w:rPr>
          <w:rFonts w:cs="Arial"/>
        </w:rPr>
        <w:br w:type="page"/>
      </w:r>
    </w:p>
    <w:p w14:paraId="4A75EC41" w14:textId="24BA0D0A" w:rsidR="00583F3E" w:rsidRPr="00BB2758" w:rsidRDefault="00576AAB" w:rsidP="00B41368">
      <w:pPr>
        <w:pStyle w:val="Heading3NoNumber"/>
        <w:rPr>
          <w:rFonts w:cs="Arial"/>
        </w:rPr>
      </w:pPr>
      <w:bookmarkStart w:id="20" w:name="_Toc171087021"/>
      <w:r w:rsidRPr="00BB2758">
        <w:rPr>
          <w:rFonts w:cs="Arial"/>
        </w:rPr>
        <w:lastRenderedPageBreak/>
        <w:t xml:space="preserve">Governing </w:t>
      </w:r>
      <w:r w:rsidR="00583F3E" w:rsidRPr="00BB2758">
        <w:rPr>
          <w:rFonts w:cs="Arial"/>
        </w:rPr>
        <w:t xml:space="preserve">Board and Audit </w:t>
      </w:r>
      <w:r w:rsidRPr="00BB2758">
        <w:rPr>
          <w:rFonts w:cs="Arial"/>
        </w:rPr>
        <w:t xml:space="preserve">and Risk </w:t>
      </w:r>
      <w:r w:rsidR="00583F3E" w:rsidRPr="00BB2758">
        <w:rPr>
          <w:rFonts w:cs="Arial"/>
        </w:rPr>
        <w:t xml:space="preserve">Committee </w:t>
      </w:r>
      <w:r w:rsidR="008C06CA" w:rsidRPr="00BB2758">
        <w:rPr>
          <w:rFonts w:cs="Arial"/>
        </w:rPr>
        <w:t>m</w:t>
      </w:r>
      <w:r w:rsidR="00583F3E" w:rsidRPr="00BB2758">
        <w:rPr>
          <w:rFonts w:cs="Arial"/>
        </w:rPr>
        <w:t>eetings</w:t>
      </w:r>
      <w:bookmarkEnd w:id="20"/>
    </w:p>
    <w:p w14:paraId="28F54A76" w14:textId="7FBE6CEE" w:rsidR="00583F3E" w:rsidRPr="00DE7619" w:rsidRDefault="00583F3E" w:rsidP="006E0242">
      <w:pPr>
        <w:rPr>
          <w:lang w:val="en-AU"/>
        </w:rPr>
      </w:pPr>
      <w:r w:rsidRPr="00087041">
        <w:rPr>
          <w:lang w:val="en-AU"/>
        </w:rPr>
        <w:t xml:space="preserve">The following table </w:t>
      </w:r>
      <w:r w:rsidR="00087041" w:rsidRPr="00087041">
        <w:rPr>
          <w:lang w:val="en-AU"/>
        </w:rPr>
        <w:t xml:space="preserve">provides details of </w:t>
      </w:r>
      <w:r w:rsidR="00576AAB" w:rsidRPr="00087041">
        <w:rPr>
          <w:lang w:val="en-AU"/>
        </w:rPr>
        <w:t xml:space="preserve">Governing </w:t>
      </w:r>
      <w:r w:rsidRPr="00087041">
        <w:rPr>
          <w:lang w:val="en-AU"/>
        </w:rPr>
        <w:t xml:space="preserve">Board and Audit </w:t>
      </w:r>
      <w:r w:rsidR="00E92C5B" w:rsidRPr="00087041">
        <w:rPr>
          <w:lang w:val="en-AU"/>
        </w:rPr>
        <w:t>and Risk</w:t>
      </w:r>
      <w:r w:rsidRPr="00087041">
        <w:rPr>
          <w:lang w:val="en-AU"/>
        </w:rPr>
        <w:t xml:space="preserve"> Committee </w:t>
      </w:r>
      <w:r w:rsidR="00087041" w:rsidRPr="00087041">
        <w:rPr>
          <w:lang w:val="en-AU"/>
        </w:rPr>
        <w:t>meetings</w:t>
      </w:r>
      <w:r w:rsidRPr="00087041">
        <w:rPr>
          <w:lang w:val="en-AU"/>
        </w:rPr>
        <w:t xml:space="preserve"> held during </w:t>
      </w:r>
      <w:r w:rsidR="000F3C03" w:rsidRPr="00087041">
        <w:rPr>
          <w:lang w:val="en-AU"/>
        </w:rPr>
        <w:t>2025-26</w:t>
      </w:r>
      <w:r w:rsidR="00087041" w:rsidRPr="00087041">
        <w:rPr>
          <w:lang w:val="en-AU"/>
        </w:rPr>
        <w:t>, including</w:t>
      </w:r>
      <w:r w:rsidRPr="00087041">
        <w:rPr>
          <w:lang w:val="en-AU"/>
        </w:rPr>
        <w:t xml:space="preserve"> the number of meetings attended by each member </w:t>
      </w:r>
      <w:r w:rsidR="00087041" w:rsidRPr="00087041">
        <w:rPr>
          <w:lang w:val="en-AU"/>
        </w:rPr>
        <w:t>while serving on</w:t>
      </w:r>
      <w:r w:rsidRPr="00087041">
        <w:rPr>
          <w:lang w:val="en-AU"/>
        </w:rPr>
        <w:t xml:space="preserve"> the relevant </w:t>
      </w:r>
      <w:r w:rsidR="00087041" w:rsidRPr="00087041">
        <w:rPr>
          <w:lang w:val="en-AU"/>
        </w:rPr>
        <w:t>committee.</w:t>
      </w:r>
      <w:r w:rsidR="00F37A19">
        <w:rPr>
          <w:lang w:val="en-AU"/>
        </w:rPr>
        <w:t xml:space="preserve"> </w:t>
      </w:r>
      <w:r w:rsidR="00F37A19" w:rsidRPr="00F37A19">
        <w:rPr>
          <w:lang w:val="en-AU"/>
        </w:rPr>
        <w:t>While not a member of the Audit and Risk Committee, the Chief Executive Officer attended all committee meetings during the reporting period.</w:t>
      </w:r>
    </w:p>
    <w:tbl>
      <w:tblPr>
        <w:tblStyle w:val="ACTLeavetable"/>
        <w:tblW w:w="5000" w:type="pct"/>
        <w:tblLook w:val="04A0" w:firstRow="1" w:lastRow="0" w:firstColumn="1" w:lastColumn="0" w:noHBand="0" w:noVBand="1"/>
      </w:tblPr>
      <w:tblGrid>
        <w:gridCol w:w="2971"/>
        <w:gridCol w:w="1892"/>
        <w:gridCol w:w="38"/>
        <w:gridCol w:w="1856"/>
        <w:gridCol w:w="1930"/>
        <w:gridCol w:w="1409"/>
      </w:tblGrid>
      <w:tr w:rsidR="00DF7099" w:rsidRPr="000A6413" w14:paraId="324C281F" w14:textId="77777777" w:rsidTr="00E83529">
        <w:trPr>
          <w:cnfStyle w:val="100000000000" w:firstRow="1" w:lastRow="0" w:firstColumn="0" w:lastColumn="0" w:oddVBand="0" w:evenVBand="0" w:oddHBand="0"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65366A54" w14:textId="7B728A3A" w:rsidR="00583F3E" w:rsidRPr="00BB2758" w:rsidRDefault="0049765F" w:rsidP="00986F70">
            <w:pPr>
              <w:spacing w:before="30" w:after="30"/>
              <w:rPr>
                <w:b w:val="0"/>
              </w:rPr>
            </w:pPr>
            <w:r>
              <w:t>Board member</w:t>
            </w:r>
          </w:p>
        </w:tc>
        <w:tc>
          <w:tcPr>
            <w:tcW w:w="1875" w:type="pct"/>
            <w:gridSpan w:val="3"/>
            <w:vAlign w:val="center"/>
          </w:tcPr>
          <w:p w14:paraId="739A1412" w14:textId="3B28FB72" w:rsidR="00583F3E" w:rsidRPr="00BB2758" w:rsidRDefault="00C00685" w:rsidP="00986F70">
            <w:pPr>
              <w:spacing w:before="30" w:after="30"/>
              <w:cnfStyle w:val="100000000000" w:firstRow="1" w:lastRow="0" w:firstColumn="0" w:lastColumn="0" w:oddVBand="0" w:evenVBand="0" w:oddHBand="0" w:evenHBand="0" w:firstRowFirstColumn="0" w:firstRowLastColumn="0" w:lastRowFirstColumn="0" w:lastRowLastColumn="0"/>
              <w:rPr>
                <w:b w:val="0"/>
              </w:rPr>
            </w:pPr>
            <w:r>
              <w:t>Governing Board</w:t>
            </w:r>
          </w:p>
        </w:tc>
        <w:tc>
          <w:tcPr>
            <w:tcW w:w="1654" w:type="pct"/>
            <w:gridSpan w:val="2"/>
            <w:vAlign w:val="center"/>
          </w:tcPr>
          <w:p w14:paraId="7900E488" w14:textId="75DCEE40" w:rsidR="00583F3E" w:rsidRPr="00BB2758" w:rsidRDefault="00C00685" w:rsidP="00986F70">
            <w:pPr>
              <w:spacing w:before="30" w:after="30"/>
              <w:cnfStyle w:val="100000000000" w:firstRow="1" w:lastRow="0" w:firstColumn="0" w:lastColumn="0" w:oddVBand="0" w:evenVBand="0" w:oddHBand="0" w:evenHBand="0" w:firstRowFirstColumn="0" w:firstRowLastColumn="0" w:lastRowFirstColumn="0" w:lastRowLastColumn="0"/>
              <w:rPr>
                <w:b w:val="0"/>
              </w:rPr>
            </w:pPr>
            <w:r>
              <w:t xml:space="preserve">Audit </w:t>
            </w:r>
            <w:r w:rsidR="0049765F">
              <w:t>and</w:t>
            </w:r>
            <w:r>
              <w:t xml:space="preserve"> Risk Committee</w:t>
            </w:r>
          </w:p>
        </w:tc>
      </w:tr>
      <w:tr w:rsidR="00583F3E" w:rsidRPr="000A6413" w14:paraId="68AE2B95" w14:textId="77777777" w:rsidTr="00EC73F2">
        <w:trPr>
          <w:cantSplit w:val="0"/>
          <w:trHeight w:val="100"/>
        </w:trPr>
        <w:tc>
          <w:tcPr>
            <w:cnfStyle w:val="001000000000" w:firstRow="0" w:lastRow="0" w:firstColumn="1" w:lastColumn="0" w:oddVBand="0" w:evenVBand="0" w:oddHBand="0" w:evenHBand="0" w:firstRowFirstColumn="0" w:firstRowLastColumn="0" w:lastRowFirstColumn="0" w:lastRowLastColumn="0"/>
            <w:tcW w:w="1471" w:type="pct"/>
            <w:shd w:val="clear" w:color="auto" w:fill="CEE1FB" w:themeFill="accent4"/>
            <w:vAlign w:val="center"/>
          </w:tcPr>
          <w:p w14:paraId="2EAC0AB3" w14:textId="38932D8D" w:rsidR="00583F3E" w:rsidRPr="00356139" w:rsidRDefault="00583F3E" w:rsidP="00986F70">
            <w:pPr>
              <w:spacing w:before="30" w:after="30"/>
              <w:rPr>
                <w:b/>
                <w:bCs/>
              </w:rPr>
            </w:pPr>
            <w:r w:rsidRPr="00356139">
              <w:rPr>
                <w:b/>
                <w:bCs/>
              </w:rPr>
              <w:t>CURRENT</w:t>
            </w:r>
            <w:r w:rsidR="00EC73F2">
              <w:rPr>
                <w:b/>
                <w:bCs/>
              </w:rPr>
              <w:t xml:space="preserve"> MEMBERS</w:t>
            </w:r>
          </w:p>
        </w:tc>
        <w:tc>
          <w:tcPr>
            <w:tcW w:w="937" w:type="pct"/>
            <w:shd w:val="clear" w:color="auto" w:fill="CEE1FB" w:themeFill="accent4"/>
            <w:vAlign w:val="center"/>
          </w:tcPr>
          <w:p w14:paraId="19233BEA" w14:textId="77777777" w:rsidR="00583F3E" w:rsidRPr="00356139" w:rsidRDefault="00583F3E" w:rsidP="00986F70">
            <w:pPr>
              <w:spacing w:before="30" w:after="30"/>
              <w:cnfStyle w:val="000000000000" w:firstRow="0" w:lastRow="0" w:firstColumn="0" w:lastColumn="0" w:oddVBand="0" w:evenVBand="0" w:oddHBand="0" w:evenHBand="0" w:firstRowFirstColumn="0" w:firstRowLastColumn="0" w:lastRowFirstColumn="0" w:lastRowLastColumn="0"/>
              <w:rPr>
                <w:b/>
                <w:bCs/>
              </w:rPr>
            </w:pPr>
            <w:r w:rsidRPr="00356139">
              <w:rPr>
                <w:b/>
                <w:bCs/>
              </w:rPr>
              <w:t>A</w:t>
            </w:r>
          </w:p>
        </w:tc>
        <w:tc>
          <w:tcPr>
            <w:tcW w:w="938" w:type="pct"/>
            <w:gridSpan w:val="2"/>
            <w:shd w:val="clear" w:color="auto" w:fill="CEE1FB" w:themeFill="accent4"/>
            <w:vAlign w:val="center"/>
          </w:tcPr>
          <w:p w14:paraId="77BE2D09" w14:textId="77777777" w:rsidR="00583F3E" w:rsidRPr="00356139" w:rsidRDefault="00583F3E" w:rsidP="00986F70">
            <w:pPr>
              <w:spacing w:before="30" w:after="30"/>
              <w:cnfStyle w:val="000000000000" w:firstRow="0" w:lastRow="0" w:firstColumn="0" w:lastColumn="0" w:oddVBand="0" w:evenVBand="0" w:oddHBand="0" w:evenHBand="0" w:firstRowFirstColumn="0" w:firstRowLastColumn="0" w:lastRowFirstColumn="0" w:lastRowLastColumn="0"/>
              <w:rPr>
                <w:b/>
                <w:bCs/>
              </w:rPr>
            </w:pPr>
            <w:r w:rsidRPr="00356139">
              <w:rPr>
                <w:b/>
                <w:bCs/>
              </w:rPr>
              <w:t>B</w:t>
            </w:r>
          </w:p>
        </w:tc>
        <w:tc>
          <w:tcPr>
            <w:tcW w:w="937" w:type="pct"/>
            <w:shd w:val="clear" w:color="auto" w:fill="CEE1FB" w:themeFill="accent4"/>
            <w:vAlign w:val="center"/>
          </w:tcPr>
          <w:p w14:paraId="55D2B8D7" w14:textId="77777777" w:rsidR="00583F3E" w:rsidRPr="00356139" w:rsidRDefault="00583F3E" w:rsidP="00986F70">
            <w:pPr>
              <w:spacing w:before="30" w:after="30"/>
              <w:cnfStyle w:val="000000000000" w:firstRow="0" w:lastRow="0" w:firstColumn="0" w:lastColumn="0" w:oddVBand="0" w:evenVBand="0" w:oddHBand="0" w:evenHBand="0" w:firstRowFirstColumn="0" w:firstRowLastColumn="0" w:lastRowFirstColumn="0" w:lastRowLastColumn="0"/>
              <w:rPr>
                <w:b/>
                <w:bCs/>
              </w:rPr>
            </w:pPr>
            <w:r w:rsidRPr="00356139">
              <w:rPr>
                <w:b/>
                <w:bCs/>
              </w:rPr>
              <w:t>A</w:t>
            </w:r>
          </w:p>
        </w:tc>
        <w:tc>
          <w:tcPr>
            <w:tcW w:w="717" w:type="pct"/>
            <w:shd w:val="clear" w:color="auto" w:fill="CEE1FB" w:themeFill="accent4"/>
            <w:vAlign w:val="center"/>
          </w:tcPr>
          <w:p w14:paraId="1009F2A4" w14:textId="77777777" w:rsidR="00583F3E" w:rsidRPr="00356139" w:rsidRDefault="00583F3E" w:rsidP="00986F70">
            <w:pPr>
              <w:spacing w:before="30" w:after="30"/>
              <w:cnfStyle w:val="000000000000" w:firstRow="0" w:lastRow="0" w:firstColumn="0" w:lastColumn="0" w:oddVBand="0" w:evenVBand="0" w:oddHBand="0" w:evenHBand="0" w:firstRowFirstColumn="0" w:firstRowLastColumn="0" w:lastRowFirstColumn="0" w:lastRowLastColumn="0"/>
              <w:rPr>
                <w:b/>
                <w:bCs/>
              </w:rPr>
            </w:pPr>
            <w:r w:rsidRPr="00356139">
              <w:rPr>
                <w:b/>
                <w:bCs/>
              </w:rPr>
              <w:t>B</w:t>
            </w:r>
          </w:p>
        </w:tc>
      </w:tr>
      <w:tr w:rsidR="0028352A" w:rsidRPr="000A6413" w14:paraId="780C6756" w14:textId="77777777" w:rsidTr="00983C62">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CCAE132" w14:textId="33113D26" w:rsidR="00583F3E" w:rsidRPr="00BB2758" w:rsidRDefault="00C07350" w:rsidP="00986F70">
            <w:pPr>
              <w:spacing w:before="30" w:after="30"/>
            </w:pPr>
            <w:proofErr w:type="spellStart"/>
            <w:r>
              <w:t>Ms</w:t>
            </w:r>
            <w:proofErr w:type="spellEnd"/>
            <w:r>
              <w:t xml:space="preserve"> J Ross</w:t>
            </w:r>
          </w:p>
        </w:tc>
        <w:tc>
          <w:tcPr>
            <w:tcW w:w="937" w:type="pct"/>
            <w:vAlign w:val="center"/>
          </w:tcPr>
          <w:p w14:paraId="0E2E34DA" w14:textId="360EA600" w:rsidR="00583F3E" w:rsidRPr="00BB2758" w:rsidRDefault="00F31CAA" w:rsidP="00986F70">
            <w:pPr>
              <w:spacing w:before="30" w:after="30"/>
              <w:cnfStyle w:val="000000010000" w:firstRow="0" w:lastRow="0" w:firstColumn="0" w:lastColumn="0" w:oddVBand="0" w:evenVBand="0" w:oddHBand="0" w:evenHBand="1" w:firstRowFirstColumn="0" w:firstRowLastColumn="0" w:lastRowFirstColumn="0" w:lastRowLastColumn="0"/>
            </w:pPr>
            <w:r>
              <w:t>3</w:t>
            </w:r>
          </w:p>
        </w:tc>
        <w:tc>
          <w:tcPr>
            <w:tcW w:w="938" w:type="pct"/>
            <w:gridSpan w:val="2"/>
            <w:vAlign w:val="center"/>
          </w:tcPr>
          <w:p w14:paraId="1DAE4213" w14:textId="2777B501" w:rsidR="00583F3E" w:rsidRPr="00BB2758" w:rsidRDefault="00F31CAA" w:rsidP="00986F70">
            <w:pPr>
              <w:spacing w:before="30" w:after="30"/>
              <w:cnfStyle w:val="000000010000" w:firstRow="0" w:lastRow="0" w:firstColumn="0" w:lastColumn="0" w:oddVBand="0" w:evenVBand="0" w:oddHBand="0" w:evenHBand="1" w:firstRowFirstColumn="0" w:firstRowLastColumn="0" w:lastRowFirstColumn="0" w:lastRowLastColumn="0"/>
            </w:pPr>
            <w:r>
              <w:t>3</w:t>
            </w:r>
          </w:p>
        </w:tc>
        <w:tc>
          <w:tcPr>
            <w:tcW w:w="937" w:type="pct"/>
            <w:vAlign w:val="center"/>
          </w:tcPr>
          <w:p w14:paraId="41299331" w14:textId="6D9B308F" w:rsidR="00583F3E" w:rsidRPr="00BB2758" w:rsidRDefault="000739AA" w:rsidP="00986F70">
            <w:pPr>
              <w:spacing w:before="30" w:after="30"/>
              <w:cnfStyle w:val="000000010000" w:firstRow="0" w:lastRow="0" w:firstColumn="0" w:lastColumn="0" w:oddVBand="0" w:evenVBand="0" w:oddHBand="0" w:evenHBand="1" w:firstRowFirstColumn="0" w:firstRowLastColumn="0" w:lastRowFirstColumn="0" w:lastRowLastColumn="0"/>
            </w:pPr>
            <w:r w:rsidDel="00C42C63">
              <w:t>1</w:t>
            </w:r>
          </w:p>
        </w:tc>
        <w:tc>
          <w:tcPr>
            <w:tcW w:w="717" w:type="pct"/>
            <w:vAlign w:val="center"/>
          </w:tcPr>
          <w:p w14:paraId="730092CB" w14:textId="75A2CB57" w:rsidR="00583F3E" w:rsidRPr="00BB2758" w:rsidRDefault="000739AA" w:rsidP="00986F70">
            <w:pPr>
              <w:spacing w:before="30" w:after="30"/>
              <w:cnfStyle w:val="000000010000" w:firstRow="0" w:lastRow="0" w:firstColumn="0" w:lastColumn="0" w:oddVBand="0" w:evenVBand="0" w:oddHBand="0" w:evenHBand="1" w:firstRowFirstColumn="0" w:firstRowLastColumn="0" w:lastRowFirstColumn="0" w:lastRowLastColumn="0"/>
            </w:pPr>
            <w:r w:rsidDel="00C42C63">
              <w:t>1</w:t>
            </w:r>
          </w:p>
        </w:tc>
      </w:tr>
      <w:tr w:rsidR="00F64ACC" w:rsidRPr="000A6413" w14:paraId="257D94A6" w14:textId="77777777" w:rsidTr="00983C62">
        <w:trPr>
          <w:cantSplit w:val="0"/>
          <w:trHeight w:val="96"/>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B6FB1FB" w14:textId="38CC9F72" w:rsidR="00F64ACC" w:rsidRPr="00BB2758" w:rsidRDefault="00F9130F" w:rsidP="00986F70">
            <w:pPr>
              <w:spacing w:before="30" w:after="30"/>
            </w:pPr>
            <w:proofErr w:type="spellStart"/>
            <w:r w:rsidRPr="00BB2758">
              <w:t>Ms</w:t>
            </w:r>
            <w:proofErr w:type="spellEnd"/>
            <w:r w:rsidRPr="00BB2758">
              <w:t xml:space="preserve"> </w:t>
            </w:r>
            <w:r w:rsidR="00F64ACC" w:rsidRPr="00BB2758">
              <w:t>R Jackson</w:t>
            </w:r>
          </w:p>
        </w:tc>
        <w:tc>
          <w:tcPr>
            <w:tcW w:w="937" w:type="pct"/>
            <w:vAlign w:val="center"/>
          </w:tcPr>
          <w:p w14:paraId="070BD988" w14:textId="255E2FCA" w:rsidR="00F64ACC" w:rsidRPr="00BB2758" w:rsidRDefault="00B83802" w:rsidP="00986F70">
            <w:pPr>
              <w:spacing w:before="30" w:after="30"/>
              <w:cnfStyle w:val="000000000000" w:firstRow="0" w:lastRow="0" w:firstColumn="0" w:lastColumn="0" w:oddVBand="0" w:evenVBand="0" w:oddHBand="0" w:evenHBand="0" w:firstRowFirstColumn="0" w:firstRowLastColumn="0" w:lastRowFirstColumn="0" w:lastRowLastColumn="0"/>
            </w:pPr>
            <w:r>
              <w:t>6</w:t>
            </w:r>
          </w:p>
        </w:tc>
        <w:tc>
          <w:tcPr>
            <w:tcW w:w="938" w:type="pct"/>
            <w:gridSpan w:val="2"/>
            <w:vAlign w:val="center"/>
          </w:tcPr>
          <w:p w14:paraId="6CA4E6E2" w14:textId="6B476162" w:rsidR="00F64ACC" w:rsidRPr="00BB2758" w:rsidRDefault="00B83802" w:rsidP="00986F70">
            <w:pPr>
              <w:spacing w:before="30" w:after="30"/>
              <w:cnfStyle w:val="000000000000" w:firstRow="0" w:lastRow="0" w:firstColumn="0" w:lastColumn="0" w:oddVBand="0" w:evenVBand="0" w:oddHBand="0" w:evenHBand="0" w:firstRowFirstColumn="0" w:firstRowLastColumn="0" w:lastRowFirstColumn="0" w:lastRowLastColumn="0"/>
            </w:pPr>
            <w:r>
              <w:t>6</w:t>
            </w:r>
          </w:p>
        </w:tc>
        <w:tc>
          <w:tcPr>
            <w:tcW w:w="937" w:type="pct"/>
            <w:vAlign w:val="center"/>
          </w:tcPr>
          <w:p w14:paraId="0D3A59F3" w14:textId="015FD04E" w:rsidR="00F64ACC" w:rsidRPr="00BB2758" w:rsidRDefault="00A37B81" w:rsidP="00986F70">
            <w:pPr>
              <w:spacing w:before="30" w:after="30"/>
              <w:cnfStyle w:val="000000000000" w:firstRow="0" w:lastRow="0" w:firstColumn="0" w:lastColumn="0" w:oddVBand="0" w:evenVBand="0" w:oddHBand="0" w:evenHBand="0" w:firstRowFirstColumn="0" w:firstRowLastColumn="0" w:lastRowFirstColumn="0" w:lastRowLastColumn="0"/>
            </w:pPr>
            <w:r>
              <w:t>5</w:t>
            </w:r>
          </w:p>
        </w:tc>
        <w:tc>
          <w:tcPr>
            <w:tcW w:w="717" w:type="pct"/>
            <w:vAlign w:val="center"/>
          </w:tcPr>
          <w:p w14:paraId="12997DD8" w14:textId="57988B4E" w:rsidR="00F64ACC" w:rsidRPr="00BB2758" w:rsidRDefault="00A37B81" w:rsidP="00986F70">
            <w:pPr>
              <w:spacing w:before="30" w:after="30"/>
              <w:cnfStyle w:val="000000000000" w:firstRow="0" w:lastRow="0" w:firstColumn="0" w:lastColumn="0" w:oddVBand="0" w:evenVBand="0" w:oddHBand="0" w:evenHBand="0" w:firstRowFirstColumn="0" w:firstRowLastColumn="0" w:lastRowFirstColumn="0" w:lastRowLastColumn="0"/>
            </w:pPr>
            <w:r>
              <w:t>5</w:t>
            </w:r>
          </w:p>
        </w:tc>
      </w:tr>
      <w:tr w:rsidR="0028352A" w:rsidRPr="000A6413" w14:paraId="13C12DBF" w14:textId="77777777" w:rsidTr="00983C62">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589F9EA" w14:textId="5D1C5376" w:rsidR="00583F3E" w:rsidRPr="00BB2758" w:rsidRDefault="00F9130F" w:rsidP="00986F70">
            <w:pPr>
              <w:spacing w:before="30" w:after="30"/>
            </w:pPr>
            <w:proofErr w:type="spellStart"/>
            <w:r w:rsidRPr="00BB2758">
              <w:t>Mr</w:t>
            </w:r>
            <w:proofErr w:type="spellEnd"/>
            <w:r w:rsidRPr="00BB2758">
              <w:t xml:space="preserve"> </w:t>
            </w:r>
            <w:r w:rsidR="317B2424" w:rsidRPr="00BB2758">
              <w:t>J Bolitho</w:t>
            </w:r>
          </w:p>
        </w:tc>
        <w:tc>
          <w:tcPr>
            <w:tcW w:w="937" w:type="pct"/>
            <w:vAlign w:val="center"/>
          </w:tcPr>
          <w:p w14:paraId="49456E28" w14:textId="5AB51923" w:rsidR="00583F3E" w:rsidRPr="00BB2758" w:rsidRDefault="2E3B8E90" w:rsidP="00986F70">
            <w:pPr>
              <w:spacing w:before="30" w:after="30"/>
              <w:cnfStyle w:val="000000010000" w:firstRow="0" w:lastRow="0" w:firstColumn="0" w:lastColumn="0" w:oddVBand="0" w:evenVBand="0" w:oddHBand="0" w:evenHBand="1" w:firstRowFirstColumn="0" w:firstRowLastColumn="0" w:lastRowFirstColumn="0" w:lastRowLastColumn="0"/>
            </w:pPr>
            <w:r w:rsidRPr="00BB2758">
              <w:t>6</w:t>
            </w:r>
          </w:p>
        </w:tc>
        <w:tc>
          <w:tcPr>
            <w:tcW w:w="938" w:type="pct"/>
            <w:gridSpan w:val="2"/>
            <w:vAlign w:val="center"/>
          </w:tcPr>
          <w:p w14:paraId="079FE0F5" w14:textId="4D570156" w:rsidR="00583F3E" w:rsidRPr="00BB2758" w:rsidRDefault="00AD37AE" w:rsidP="00986F70">
            <w:pPr>
              <w:spacing w:before="30" w:after="30"/>
              <w:cnfStyle w:val="000000010000" w:firstRow="0" w:lastRow="0" w:firstColumn="0" w:lastColumn="0" w:oddVBand="0" w:evenVBand="0" w:oddHBand="0" w:evenHBand="1" w:firstRowFirstColumn="0" w:firstRowLastColumn="0" w:lastRowFirstColumn="0" w:lastRowLastColumn="0"/>
            </w:pPr>
            <w:r>
              <w:t>6</w:t>
            </w:r>
          </w:p>
        </w:tc>
        <w:tc>
          <w:tcPr>
            <w:tcW w:w="937" w:type="pct"/>
            <w:vAlign w:val="center"/>
          </w:tcPr>
          <w:p w14:paraId="1B85C41D" w14:textId="77777777" w:rsidR="00583F3E" w:rsidRPr="00BB2758" w:rsidRDefault="00583F3E" w:rsidP="00986F70">
            <w:pPr>
              <w:spacing w:before="30" w:after="30"/>
              <w:cnfStyle w:val="000000010000" w:firstRow="0" w:lastRow="0" w:firstColumn="0" w:lastColumn="0" w:oddVBand="0" w:evenVBand="0" w:oddHBand="0" w:evenHBand="1" w:firstRowFirstColumn="0" w:firstRowLastColumn="0" w:lastRowFirstColumn="0" w:lastRowLastColumn="0"/>
            </w:pPr>
            <w:r w:rsidRPr="00BB2758">
              <w:t>N/A</w:t>
            </w:r>
          </w:p>
        </w:tc>
        <w:tc>
          <w:tcPr>
            <w:tcW w:w="717" w:type="pct"/>
            <w:vAlign w:val="center"/>
          </w:tcPr>
          <w:p w14:paraId="75C14D58" w14:textId="77777777" w:rsidR="00583F3E" w:rsidRPr="00BB2758" w:rsidRDefault="00583F3E" w:rsidP="00986F70">
            <w:pPr>
              <w:spacing w:before="30" w:after="30"/>
              <w:cnfStyle w:val="000000010000" w:firstRow="0" w:lastRow="0" w:firstColumn="0" w:lastColumn="0" w:oddVBand="0" w:evenVBand="0" w:oddHBand="0" w:evenHBand="1" w:firstRowFirstColumn="0" w:firstRowLastColumn="0" w:lastRowFirstColumn="0" w:lastRowLastColumn="0"/>
            </w:pPr>
            <w:r w:rsidRPr="00BB2758">
              <w:t>N/A</w:t>
            </w:r>
          </w:p>
        </w:tc>
      </w:tr>
      <w:tr w:rsidR="00583F3E" w:rsidRPr="000A6413" w14:paraId="598A375E" w14:textId="77777777" w:rsidTr="00983C62">
        <w:trPr>
          <w:cantSplit w:val="0"/>
          <w:trHeight w:val="96"/>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504A6C4" w14:textId="4CD3E340" w:rsidR="00583F3E" w:rsidRPr="00BB2758" w:rsidRDefault="00DD7B46" w:rsidP="00986F70">
            <w:pPr>
              <w:spacing w:before="30" w:after="30"/>
            </w:pPr>
            <w:proofErr w:type="spellStart"/>
            <w:r w:rsidRPr="00BB2758">
              <w:t>Mr</w:t>
            </w:r>
            <w:proofErr w:type="spellEnd"/>
            <w:r w:rsidRPr="00BB2758">
              <w:t xml:space="preserve"> </w:t>
            </w:r>
            <w:r w:rsidR="7F27180B" w:rsidRPr="00BB2758">
              <w:t>M Capezio</w:t>
            </w:r>
          </w:p>
        </w:tc>
        <w:tc>
          <w:tcPr>
            <w:tcW w:w="937" w:type="pct"/>
            <w:vAlign w:val="center"/>
          </w:tcPr>
          <w:p w14:paraId="4E7E97C0" w14:textId="4173A1E9" w:rsidR="00583F3E" w:rsidRPr="00BB2758" w:rsidRDefault="00770F5E" w:rsidP="00986F70">
            <w:pPr>
              <w:spacing w:before="30" w:after="30"/>
              <w:cnfStyle w:val="000000000000" w:firstRow="0" w:lastRow="0" w:firstColumn="0" w:lastColumn="0" w:oddVBand="0" w:evenVBand="0" w:oddHBand="0" w:evenHBand="0" w:firstRowFirstColumn="0" w:firstRowLastColumn="0" w:lastRowFirstColumn="0" w:lastRowLastColumn="0"/>
            </w:pPr>
            <w:r w:rsidRPr="00BB2758">
              <w:t>6</w:t>
            </w:r>
          </w:p>
        </w:tc>
        <w:tc>
          <w:tcPr>
            <w:tcW w:w="938" w:type="pct"/>
            <w:gridSpan w:val="2"/>
            <w:vAlign w:val="center"/>
          </w:tcPr>
          <w:p w14:paraId="699085FA" w14:textId="48E36FF7" w:rsidR="00583F3E" w:rsidRPr="00BB2758" w:rsidRDefault="00770F5E" w:rsidP="00986F70">
            <w:pPr>
              <w:spacing w:before="30" w:after="30"/>
              <w:cnfStyle w:val="000000000000" w:firstRow="0" w:lastRow="0" w:firstColumn="0" w:lastColumn="0" w:oddVBand="0" w:evenVBand="0" w:oddHBand="0" w:evenHBand="0" w:firstRowFirstColumn="0" w:firstRowLastColumn="0" w:lastRowFirstColumn="0" w:lastRowLastColumn="0"/>
            </w:pPr>
            <w:r w:rsidRPr="00BB2758">
              <w:t>6</w:t>
            </w:r>
          </w:p>
        </w:tc>
        <w:tc>
          <w:tcPr>
            <w:tcW w:w="937" w:type="pct"/>
            <w:vAlign w:val="center"/>
          </w:tcPr>
          <w:p w14:paraId="6870B0DE" w14:textId="345D4011" w:rsidR="00583F3E" w:rsidRPr="00BB2758" w:rsidRDefault="00A37B81" w:rsidP="00986F70">
            <w:pPr>
              <w:spacing w:before="30" w:after="30"/>
              <w:cnfStyle w:val="000000000000" w:firstRow="0" w:lastRow="0" w:firstColumn="0" w:lastColumn="0" w:oddVBand="0" w:evenVBand="0" w:oddHBand="0" w:evenHBand="0" w:firstRowFirstColumn="0" w:firstRowLastColumn="0" w:lastRowFirstColumn="0" w:lastRowLastColumn="0"/>
            </w:pPr>
            <w:r>
              <w:t>5</w:t>
            </w:r>
          </w:p>
        </w:tc>
        <w:tc>
          <w:tcPr>
            <w:tcW w:w="717" w:type="pct"/>
            <w:vAlign w:val="center"/>
          </w:tcPr>
          <w:p w14:paraId="463E27D0" w14:textId="786F935B" w:rsidR="00583F3E" w:rsidRPr="00BB2758" w:rsidRDefault="00A37B81" w:rsidP="00986F70">
            <w:pPr>
              <w:spacing w:before="30" w:after="30"/>
              <w:cnfStyle w:val="000000000000" w:firstRow="0" w:lastRow="0" w:firstColumn="0" w:lastColumn="0" w:oddVBand="0" w:evenVBand="0" w:oddHBand="0" w:evenHBand="0" w:firstRowFirstColumn="0" w:firstRowLastColumn="0" w:lastRowFirstColumn="0" w:lastRowLastColumn="0"/>
            </w:pPr>
            <w:r>
              <w:t>5</w:t>
            </w:r>
          </w:p>
        </w:tc>
      </w:tr>
      <w:tr w:rsidR="00F64ACC" w:rsidRPr="000A6413" w14:paraId="1412E899" w14:textId="77777777" w:rsidTr="00983C62">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120ED54D" w14:textId="39A1F641" w:rsidR="00F64ACC" w:rsidRPr="00BB2758" w:rsidRDefault="00DD7B46" w:rsidP="00986F70">
            <w:pPr>
              <w:spacing w:before="30" w:after="30"/>
            </w:pPr>
            <w:proofErr w:type="spellStart"/>
            <w:r w:rsidRPr="00BB2758">
              <w:t>Mr</w:t>
            </w:r>
            <w:proofErr w:type="spellEnd"/>
            <w:r w:rsidRPr="00BB2758">
              <w:t xml:space="preserve"> </w:t>
            </w:r>
            <w:r w:rsidR="00F64ACC" w:rsidRPr="00BB2758">
              <w:t>P Huetter</w:t>
            </w:r>
          </w:p>
        </w:tc>
        <w:tc>
          <w:tcPr>
            <w:tcW w:w="937" w:type="pct"/>
            <w:vAlign w:val="center"/>
          </w:tcPr>
          <w:p w14:paraId="5E19B42D" w14:textId="16A7B056" w:rsidR="00F64ACC" w:rsidRPr="00BB2758" w:rsidRDefault="0082527D" w:rsidP="00986F70">
            <w:pPr>
              <w:spacing w:before="30" w:after="30"/>
              <w:cnfStyle w:val="000000010000" w:firstRow="0" w:lastRow="0" w:firstColumn="0" w:lastColumn="0" w:oddVBand="0" w:evenVBand="0" w:oddHBand="0" w:evenHBand="1" w:firstRowFirstColumn="0" w:firstRowLastColumn="0" w:lastRowFirstColumn="0" w:lastRowLastColumn="0"/>
            </w:pPr>
            <w:r>
              <w:t>6</w:t>
            </w:r>
          </w:p>
        </w:tc>
        <w:tc>
          <w:tcPr>
            <w:tcW w:w="938" w:type="pct"/>
            <w:gridSpan w:val="2"/>
            <w:vAlign w:val="center"/>
          </w:tcPr>
          <w:p w14:paraId="1B220DF2" w14:textId="7728044D" w:rsidR="00F64ACC" w:rsidRPr="00BB2758" w:rsidRDefault="0082527D" w:rsidP="00986F70">
            <w:pPr>
              <w:spacing w:before="30" w:after="30"/>
              <w:cnfStyle w:val="000000010000" w:firstRow="0" w:lastRow="0" w:firstColumn="0" w:lastColumn="0" w:oddVBand="0" w:evenVBand="0" w:oddHBand="0" w:evenHBand="1" w:firstRowFirstColumn="0" w:firstRowLastColumn="0" w:lastRowFirstColumn="0" w:lastRowLastColumn="0"/>
            </w:pPr>
            <w:r>
              <w:t>6</w:t>
            </w:r>
          </w:p>
        </w:tc>
        <w:tc>
          <w:tcPr>
            <w:tcW w:w="937" w:type="pct"/>
            <w:vAlign w:val="center"/>
          </w:tcPr>
          <w:p w14:paraId="047DD077" w14:textId="640AFD92" w:rsidR="00F64ACC" w:rsidRPr="00BB2758" w:rsidRDefault="00B719AD" w:rsidP="00986F70">
            <w:pPr>
              <w:spacing w:before="30" w:after="30"/>
              <w:cnfStyle w:val="000000010000" w:firstRow="0" w:lastRow="0" w:firstColumn="0" w:lastColumn="0" w:oddVBand="0" w:evenVBand="0" w:oddHBand="0" w:evenHBand="1" w:firstRowFirstColumn="0" w:firstRowLastColumn="0" w:lastRowFirstColumn="0" w:lastRowLastColumn="0"/>
            </w:pPr>
            <w:r w:rsidRPr="00BB2758">
              <w:t>N/A</w:t>
            </w:r>
          </w:p>
        </w:tc>
        <w:tc>
          <w:tcPr>
            <w:tcW w:w="717" w:type="pct"/>
            <w:vAlign w:val="center"/>
          </w:tcPr>
          <w:p w14:paraId="69B306A5" w14:textId="179612B9" w:rsidR="00F64ACC" w:rsidRPr="00BB2758" w:rsidRDefault="00B719AD" w:rsidP="00986F70">
            <w:pPr>
              <w:spacing w:before="30" w:after="30"/>
              <w:cnfStyle w:val="000000010000" w:firstRow="0" w:lastRow="0" w:firstColumn="0" w:lastColumn="0" w:oddVBand="0" w:evenVBand="0" w:oddHBand="0" w:evenHBand="1" w:firstRowFirstColumn="0" w:firstRowLastColumn="0" w:lastRowFirstColumn="0" w:lastRowLastColumn="0"/>
            </w:pPr>
            <w:r w:rsidRPr="00BB2758">
              <w:t>N/A</w:t>
            </w:r>
          </w:p>
        </w:tc>
      </w:tr>
      <w:tr w:rsidR="00F64ACC" w:rsidRPr="000A6413" w14:paraId="6F7B893F" w14:textId="77777777" w:rsidTr="00983C62">
        <w:trPr>
          <w:cantSplit w:val="0"/>
          <w:trHeight w:val="96"/>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42E63D8D" w14:textId="51D064FB" w:rsidR="00F64ACC" w:rsidRPr="00BB2758" w:rsidRDefault="00DD7B46" w:rsidP="00986F70">
            <w:pPr>
              <w:spacing w:before="30" w:after="30"/>
            </w:pPr>
            <w:proofErr w:type="spellStart"/>
            <w:r w:rsidRPr="00BB2758">
              <w:t>Ms</w:t>
            </w:r>
            <w:proofErr w:type="spellEnd"/>
            <w:r w:rsidRPr="00BB2758">
              <w:t xml:space="preserve"> </w:t>
            </w:r>
            <w:r w:rsidR="00F64ACC" w:rsidRPr="00BB2758">
              <w:t>P Choden</w:t>
            </w:r>
          </w:p>
        </w:tc>
        <w:tc>
          <w:tcPr>
            <w:tcW w:w="937" w:type="pct"/>
            <w:vAlign w:val="center"/>
          </w:tcPr>
          <w:p w14:paraId="15D425CA" w14:textId="63D827B4" w:rsidR="00F64ACC" w:rsidRPr="00BB2758" w:rsidRDefault="0082527D" w:rsidP="00986F70">
            <w:pPr>
              <w:spacing w:before="30" w:after="30"/>
              <w:cnfStyle w:val="000000000000" w:firstRow="0" w:lastRow="0" w:firstColumn="0" w:lastColumn="0" w:oddVBand="0" w:evenVBand="0" w:oddHBand="0" w:evenHBand="0" w:firstRowFirstColumn="0" w:firstRowLastColumn="0" w:lastRowFirstColumn="0" w:lastRowLastColumn="0"/>
            </w:pPr>
            <w:r>
              <w:t>6</w:t>
            </w:r>
          </w:p>
        </w:tc>
        <w:tc>
          <w:tcPr>
            <w:tcW w:w="938" w:type="pct"/>
            <w:gridSpan w:val="2"/>
            <w:vAlign w:val="center"/>
          </w:tcPr>
          <w:p w14:paraId="06BA6883" w14:textId="51EC5069" w:rsidR="00F64ACC" w:rsidRPr="00BB2758" w:rsidRDefault="00985064" w:rsidP="00986F70">
            <w:pPr>
              <w:spacing w:before="30" w:after="30"/>
              <w:cnfStyle w:val="000000000000" w:firstRow="0" w:lastRow="0" w:firstColumn="0" w:lastColumn="0" w:oddVBand="0" w:evenVBand="0" w:oddHBand="0" w:evenHBand="0" w:firstRowFirstColumn="0" w:firstRowLastColumn="0" w:lastRowFirstColumn="0" w:lastRowLastColumn="0"/>
            </w:pPr>
            <w:r>
              <w:t>4</w:t>
            </w:r>
          </w:p>
        </w:tc>
        <w:tc>
          <w:tcPr>
            <w:tcW w:w="937" w:type="pct"/>
            <w:vAlign w:val="center"/>
          </w:tcPr>
          <w:p w14:paraId="384830EC" w14:textId="5956CB4D" w:rsidR="00F64ACC" w:rsidRPr="00BB2758" w:rsidRDefault="00B719AD" w:rsidP="00986F70">
            <w:pPr>
              <w:spacing w:before="30" w:after="30"/>
              <w:cnfStyle w:val="000000000000" w:firstRow="0" w:lastRow="0" w:firstColumn="0" w:lastColumn="0" w:oddVBand="0" w:evenVBand="0" w:oddHBand="0" w:evenHBand="0" w:firstRowFirstColumn="0" w:firstRowLastColumn="0" w:lastRowFirstColumn="0" w:lastRowLastColumn="0"/>
            </w:pPr>
            <w:r w:rsidRPr="00BB2758">
              <w:t>N/A</w:t>
            </w:r>
          </w:p>
        </w:tc>
        <w:tc>
          <w:tcPr>
            <w:tcW w:w="717" w:type="pct"/>
            <w:vAlign w:val="center"/>
          </w:tcPr>
          <w:p w14:paraId="4489A494" w14:textId="5CC560CE" w:rsidR="00F64ACC" w:rsidRPr="00BB2758" w:rsidRDefault="00B719AD" w:rsidP="00986F70">
            <w:pPr>
              <w:spacing w:before="30" w:after="30"/>
              <w:cnfStyle w:val="000000000000" w:firstRow="0" w:lastRow="0" w:firstColumn="0" w:lastColumn="0" w:oddVBand="0" w:evenVBand="0" w:oddHBand="0" w:evenHBand="0" w:firstRowFirstColumn="0" w:firstRowLastColumn="0" w:lastRowFirstColumn="0" w:lastRowLastColumn="0"/>
            </w:pPr>
            <w:r w:rsidRPr="00BB2758">
              <w:t>N/A</w:t>
            </w:r>
          </w:p>
        </w:tc>
      </w:tr>
      <w:tr w:rsidR="00583F3E" w:rsidRPr="000A6413" w14:paraId="5D61B537" w14:textId="77777777" w:rsidTr="00983C62">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4E67C0B4" w14:textId="38038DE7" w:rsidR="00583F3E" w:rsidRPr="00BB2758" w:rsidRDefault="00DD7B46" w:rsidP="00986F70">
            <w:pPr>
              <w:spacing w:before="30" w:after="30"/>
            </w:pPr>
            <w:proofErr w:type="spellStart"/>
            <w:r w:rsidRPr="00BB2758">
              <w:t>Ms</w:t>
            </w:r>
            <w:proofErr w:type="spellEnd"/>
            <w:r w:rsidRPr="00BB2758">
              <w:t xml:space="preserve"> </w:t>
            </w:r>
            <w:r w:rsidR="00583F3E" w:rsidRPr="00BB2758">
              <w:t>C Webeck</w:t>
            </w:r>
          </w:p>
        </w:tc>
        <w:tc>
          <w:tcPr>
            <w:tcW w:w="937" w:type="pct"/>
            <w:vAlign w:val="center"/>
          </w:tcPr>
          <w:p w14:paraId="7D589865" w14:textId="1E35CA3E" w:rsidR="00583F3E" w:rsidRPr="00BB2758" w:rsidRDefault="0082527D" w:rsidP="00986F70">
            <w:pPr>
              <w:spacing w:before="30" w:after="30"/>
              <w:cnfStyle w:val="000000010000" w:firstRow="0" w:lastRow="0" w:firstColumn="0" w:lastColumn="0" w:oddVBand="0" w:evenVBand="0" w:oddHBand="0" w:evenHBand="1" w:firstRowFirstColumn="0" w:firstRowLastColumn="0" w:lastRowFirstColumn="0" w:lastRowLastColumn="0"/>
            </w:pPr>
            <w:r>
              <w:t>6</w:t>
            </w:r>
          </w:p>
        </w:tc>
        <w:tc>
          <w:tcPr>
            <w:tcW w:w="938" w:type="pct"/>
            <w:gridSpan w:val="2"/>
            <w:vAlign w:val="center"/>
          </w:tcPr>
          <w:p w14:paraId="4ADB672E" w14:textId="6D3F9247" w:rsidR="00583F3E" w:rsidRPr="00BB2758" w:rsidRDefault="00985064" w:rsidP="00986F70">
            <w:pPr>
              <w:spacing w:before="30" w:after="30"/>
              <w:cnfStyle w:val="000000010000" w:firstRow="0" w:lastRow="0" w:firstColumn="0" w:lastColumn="0" w:oddVBand="0" w:evenVBand="0" w:oddHBand="0" w:evenHBand="1" w:firstRowFirstColumn="0" w:firstRowLastColumn="0" w:lastRowFirstColumn="0" w:lastRowLastColumn="0"/>
            </w:pPr>
            <w:r>
              <w:t>6</w:t>
            </w:r>
          </w:p>
        </w:tc>
        <w:tc>
          <w:tcPr>
            <w:tcW w:w="937" w:type="pct"/>
            <w:vAlign w:val="center"/>
          </w:tcPr>
          <w:p w14:paraId="5E123FBA" w14:textId="0039F907" w:rsidR="00583F3E" w:rsidRPr="00BB2758" w:rsidRDefault="00ED6441" w:rsidP="00986F70">
            <w:pPr>
              <w:spacing w:before="30" w:after="30"/>
              <w:cnfStyle w:val="000000010000" w:firstRow="0" w:lastRow="0" w:firstColumn="0" w:lastColumn="0" w:oddVBand="0" w:evenVBand="0" w:oddHBand="0" w:evenHBand="1" w:firstRowFirstColumn="0" w:firstRowLastColumn="0" w:lastRowFirstColumn="0" w:lastRowLastColumn="0"/>
            </w:pPr>
            <w:r w:rsidRPr="00BB2758">
              <w:t>N/A</w:t>
            </w:r>
          </w:p>
        </w:tc>
        <w:tc>
          <w:tcPr>
            <w:tcW w:w="717" w:type="pct"/>
            <w:vAlign w:val="center"/>
          </w:tcPr>
          <w:p w14:paraId="7D23B19C" w14:textId="38D4EA49" w:rsidR="00583F3E" w:rsidRPr="00BB2758" w:rsidRDefault="00ED6441" w:rsidP="00986F70">
            <w:pPr>
              <w:spacing w:before="30" w:after="30"/>
              <w:cnfStyle w:val="000000010000" w:firstRow="0" w:lastRow="0" w:firstColumn="0" w:lastColumn="0" w:oddVBand="0" w:evenVBand="0" w:oddHBand="0" w:evenHBand="1" w:firstRowFirstColumn="0" w:firstRowLastColumn="0" w:lastRowFirstColumn="0" w:lastRowLastColumn="0"/>
            </w:pPr>
            <w:r w:rsidRPr="00BB2758">
              <w:t>N/A</w:t>
            </w:r>
          </w:p>
        </w:tc>
      </w:tr>
      <w:tr w:rsidR="00583F3E" w:rsidRPr="000A6413" w14:paraId="15FBDAE8" w14:textId="77777777" w:rsidTr="00986F70">
        <w:trPr>
          <w:cantSplit w:val="0"/>
          <w:trHeight w:val="64"/>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CEE1FB" w:themeFill="accent4"/>
            <w:vAlign w:val="center"/>
          </w:tcPr>
          <w:p w14:paraId="0871EF74" w14:textId="77777777" w:rsidR="00583F3E" w:rsidRPr="00356139" w:rsidRDefault="00583F3E" w:rsidP="00986F70">
            <w:pPr>
              <w:spacing w:before="30" w:after="30"/>
              <w:rPr>
                <w:b/>
                <w:bCs/>
                <w:color w:val="FFFFFF"/>
              </w:rPr>
            </w:pPr>
            <w:r w:rsidRPr="00356139">
              <w:rPr>
                <w:b/>
                <w:bCs/>
              </w:rPr>
              <w:t>FORMER MEMBERS</w:t>
            </w:r>
          </w:p>
        </w:tc>
      </w:tr>
      <w:tr w:rsidR="00583F3E" w:rsidRPr="000A6413" w14:paraId="4B4663D1" w14:textId="77777777" w:rsidTr="00983C62">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A09BEBC" w14:textId="5E182A31" w:rsidR="00583F3E" w:rsidRPr="00BB2758" w:rsidRDefault="00935FDE" w:rsidP="00986F70">
            <w:pPr>
              <w:spacing w:before="30" w:after="30"/>
            </w:pPr>
            <w:proofErr w:type="spellStart"/>
            <w:r>
              <w:t>Ms</w:t>
            </w:r>
            <w:proofErr w:type="spellEnd"/>
            <w:r>
              <w:t xml:space="preserve"> A O’Donnell</w:t>
            </w:r>
          </w:p>
        </w:tc>
        <w:tc>
          <w:tcPr>
            <w:tcW w:w="956" w:type="pct"/>
            <w:gridSpan w:val="2"/>
            <w:vAlign w:val="center"/>
          </w:tcPr>
          <w:p w14:paraId="62E724EF" w14:textId="252240F3" w:rsidR="00583F3E" w:rsidRPr="00BB2758" w:rsidRDefault="000739AA" w:rsidP="00986F70">
            <w:pPr>
              <w:spacing w:before="30" w:after="30"/>
              <w:cnfStyle w:val="000000010000" w:firstRow="0" w:lastRow="0" w:firstColumn="0" w:lastColumn="0" w:oddVBand="0" w:evenVBand="0" w:oddHBand="0" w:evenHBand="1" w:firstRowFirstColumn="0" w:firstRowLastColumn="0" w:lastRowFirstColumn="0" w:lastRowLastColumn="0"/>
            </w:pPr>
            <w:r>
              <w:t>3</w:t>
            </w:r>
          </w:p>
        </w:tc>
        <w:tc>
          <w:tcPr>
            <w:tcW w:w="882" w:type="pct"/>
            <w:vAlign w:val="center"/>
          </w:tcPr>
          <w:p w14:paraId="5880E1BA" w14:textId="338897F7" w:rsidR="00583F3E" w:rsidRPr="00BB2758" w:rsidRDefault="00770F5E" w:rsidP="00986F70">
            <w:pPr>
              <w:spacing w:before="30" w:after="30"/>
              <w:cnfStyle w:val="000000010000" w:firstRow="0" w:lastRow="0" w:firstColumn="0" w:lastColumn="0" w:oddVBand="0" w:evenVBand="0" w:oddHBand="0" w:evenHBand="1" w:firstRowFirstColumn="0" w:firstRowLastColumn="0" w:lastRowFirstColumn="0" w:lastRowLastColumn="0"/>
            </w:pPr>
            <w:r w:rsidRPr="00BB2758">
              <w:t>3</w:t>
            </w:r>
          </w:p>
        </w:tc>
        <w:tc>
          <w:tcPr>
            <w:tcW w:w="956" w:type="pct"/>
            <w:vAlign w:val="center"/>
          </w:tcPr>
          <w:p w14:paraId="636094E7" w14:textId="75156E9A" w:rsidR="00583F3E" w:rsidRPr="00BB2758" w:rsidRDefault="008F2AFE" w:rsidP="00986F70">
            <w:pPr>
              <w:spacing w:before="30" w:after="30"/>
              <w:cnfStyle w:val="000000010000" w:firstRow="0" w:lastRow="0" w:firstColumn="0" w:lastColumn="0" w:oddVBand="0" w:evenVBand="0" w:oddHBand="0" w:evenHBand="1" w:firstRowFirstColumn="0" w:firstRowLastColumn="0" w:lastRowFirstColumn="0" w:lastRowLastColumn="0"/>
            </w:pPr>
            <w:r>
              <w:t>4</w:t>
            </w:r>
          </w:p>
        </w:tc>
        <w:tc>
          <w:tcPr>
            <w:tcW w:w="735" w:type="pct"/>
            <w:vAlign w:val="center"/>
          </w:tcPr>
          <w:p w14:paraId="0B3D572F" w14:textId="54E59491" w:rsidR="00583F3E" w:rsidRPr="00BB2758" w:rsidRDefault="008F2AFE" w:rsidP="00986F70">
            <w:pPr>
              <w:spacing w:before="30" w:after="30"/>
              <w:cnfStyle w:val="000000010000" w:firstRow="0" w:lastRow="0" w:firstColumn="0" w:lastColumn="0" w:oddVBand="0" w:evenVBand="0" w:oddHBand="0" w:evenHBand="1" w:firstRowFirstColumn="0" w:firstRowLastColumn="0" w:lastRowFirstColumn="0" w:lastRowLastColumn="0"/>
            </w:pPr>
            <w:r>
              <w:t>4</w:t>
            </w:r>
          </w:p>
        </w:tc>
      </w:tr>
    </w:tbl>
    <w:p w14:paraId="750FA099" w14:textId="77777777" w:rsidR="00583F3E" w:rsidRPr="00BB2758" w:rsidRDefault="00583F3E" w:rsidP="00356139">
      <w:pPr>
        <w:pStyle w:val="NoSpacing"/>
        <w:spacing w:before="240"/>
      </w:pPr>
      <w:r w:rsidRPr="00BB2758">
        <w:t>A = Meetings eligible to attend</w:t>
      </w:r>
    </w:p>
    <w:p w14:paraId="73910F21" w14:textId="77777777" w:rsidR="00583F3E" w:rsidRPr="00BB2758" w:rsidRDefault="00583F3E" w:rsidP="006E0242">
      <w:pPr>
        <w:pStyle w:val="NoSpacing"/>
      </w:pPr>
      <w:r w:rsidRPr="00BB2758">
        <w:t>B = Meetings attended</w:t>
      </w:r>
    </w:p>
    <w:p w14:paraId="1EFE6771" w14:textId="77777777" w:rsidR="00583F3E" w:rsidRPr="00BB2758" w:rsidRDefault="00583F3E" w:rsidP="006E0242">
      <w:pPr>
        <w:pStyle w:val="NoSpacing"/>
      </w:pPr>
      <w:r w:rsidRPr="00BB2758">
        <w:t>N/A = Not applicable</w:t>
      </w:r>
    </w:p>
    <w:p w14:paraId="70DB0311" w14:textId="77777777" w:rsidR="00991509" w:rsidRPr="00BB2758" w:rsidRDefault="00991509" w:rsidP="006E0242">
      <w:pPr>
        <w:pStyle w:val="NoSpacing"/>
      </w:pPr>
    </w:p>
    <w:p w14:paraId="24798E34" w14:textId="77777777" w:rsidR="005B671F" w:rsidRDefault="005B671F" w:rsidP="00CF17D1">
      <w:pPr>
        <w:rPr>
          <w:rFonts w:ascii="Arial" w:eastAsiaTheme="majorEastAsia" w:hAnsi="Arial"/>
          <w:spacing w:val="4"/>
          <w:sz w:val="24"/>
          <w:szCs w:val="28"/>
          <w:lang w:eastAsia="en-US"/>
        </w:rPr>
      </w:pPr>
      <w:bookmarkStart w:id="21" w:name="_Toc171087022"/>
      <w:r>
        <w:br w:type="page"/>
      </w:r>
    </w:p>
    <w:p w14:paraId="5C31ED71" w14:textId="1FAAABB7" w:rsidR="00231526" w:rsidRPr="00BB2758" w:rsidRDefault="00813485" w:rsidP="006E0242">
      <w:pPr>
        <w:pStyle w:val="Heading2NoNumber"/>
      </w:pPr>
      <w:bookmarkStart w:id="22" w:name="_Toc240533487"/>
      <w:bookmarkStart w:id="23" w:name="_Toc19627240"/>
      <w:bookmarkStart w:id="24" w:name="_Toc171087023"/>
      <w:bookmarkStart w:id="25" w:name="_Toc428798631"/>
      <w:bookmarkEnd w:id="21"/>
      <w:r w:rsidRPr="00BB2758">
        <w:lastRenderedPageBreak/>
        <w:t xml:space="preserve">B2. </w:t>
      </w:r>
      <w:r w:rsidR="00231526" w:rsidRPr="00BB2758">
        <w:t>Performance analysis</w:t>
      </w:r>
      <w:bookmarkEnd w:id="22"/>
    </w:p>
    <w:p w14:paraId="635BEDD0" w14:textId="75496F52" w:rsidR="008C1843" w:rsidRPr="008C1843" w:rsidRDefault="00420238" w:rsidP="00381F53">
      <w:pPr>
        <w:pStyle w:val="Heading3"/>
      </w:pPr>
      <w:r w:rsidRPr="00BB2758">
        <w:t>Operational performance</w:t>
      </w:r>
    </w:p>
    <w:p w14:paraId="5BDA875E" w14:textId="77777777" w:rsidR="000764E1" w:rsidRPr="000764E1" w:rsidRDefault="000764E1" w:rsidP="000764E1">
      <w:pPr>
        <w:rPr>
          <w:lang w:val="en-AU" w:eastAsia="en-US"/>
        </w:rPr>
      </w:pPr>
      <w:r w:rsidRPr="000764E1">
        <w:rPr>
          <w:lang w:val="en-AU" w:eastAsia="en-US"/>
        </w:rPr>
        <w:t>The following section outlines ACT Leave’s operational performance across its administered schemes. The definitions below are provided to support interpretation of the performance data presented in this section.</w:t>
      </w:r>
    </w:p>
    <w:p w14:paraId="7BE7B820" w14:textId="77777777" w:rsidR="008C1843" w:rsidRDefault="008C1843" w:rsidP="000A630C">
      <w:pPr>
        <w:pStyle w:val="ListBullet"/>
      </w:pPr>
      <w:r>
        <w:t>Registered employer: The current number of employers registered with ACT Leave who have employees performing relevant service within a covered industry. These employers are required to submit quarterly returns and pay levies for covered employees.</w:t>
      </w:r>
    </w:p>
    <w:p w14:paraId="038F997E" w14:textId="77777777" w:rsidR="008C1843" w:rsidRDefault="008C1843" w:rsidP="000A630C">
      <w:pPr>
        <w:pStyle w:val="ListBullet"/>
      </w:pPr>
      <w:r>
        <w:t xml:space="preserve">Active workers: The current number of people who are employed in a covered industry, or who are registered as a voluntary member in a covered industry. This excludes active apprentices. </w:t>
      </w:r>
    </w:p>
    <w:p w14:paraId="37001F9C" w14:textId="77777777" w:rsidR="008C1843" w:rsidRDefault="008C1843" w:rsidP="000A630C">
      <w:pPr>
        <w:pStyle w:val="ListBullet"/>
      </w:pPr>
      <w:r>
        <w:t>Active apprentices: The current number of apprentices registered with ACT Leave in covered industries. Active apprentices are reported on separately as they do not attract a levy if the employer has provided ACT Leave with a current training contract.</w:t>
      </w:r>
    </w:p>
    <w:p w14:paraId="615E087C" w14:textId="29BBA0B8" w:rsidR="0089702C" w:rsidRPr="0089702C" w:rsidRDefault="008C1843" w:rsidP="000A630C">
      <w:pPr>
        <w:pStyle w:val="ListBullet"/>
        <w:rPr>
          <w:rFonts w:cs="Arial"/>
        </w:rPr>
      </w:pPr>
      <w:r>
        <w:t xml:space="preserve">Inactive workers: Workers registered with ACT Leave who are not currently employed but have not exceeded 4 years without any reported service. Once a worker has exceeded 4 years without reported service in their covered industry, they will be deregistered. </w:t>
      </w:r>
    </w:p>
    <w:p w14:paraId="0E31BB8C" w14:textId="11255C99" w:rsidR="00420238" w:rsidRPr="0089702C" w:rsidRDefault="008C1843" w:rsidP="000A630C">
      <w:pPr>
        <w:pStyle w:val="ListBullet"/>
        <w:rPr>
          <w:rFonts w:cs="Arial"/>
        </w:rPr>
      </w:pPr>
      <w:r>
        <w:t>Deregistered workers: Workers with more than 4 years of no reported service. This may be due to leaving the industry, retirement, total incapacitation or death. This includes workers who have a long service leave entitlement for service recorded prior to deregistration.</w:t>
      </w:r>
    </w:p>
    <w:p w14:paraId="7332F59E" w14:textId="596E5266" w:rsidR="00231526" w:rsidRPr="00E15C4B" w:rsidRDefault="00231526" w:rsidP="008C530F">
      <w:pPr>
        <w:pStyle w:val="Heading4"/>
      </w:pPr>
      <w:r w:rsidRPr="00BB2758">
        <w:rPr>
          <w:rFonts w:cs="Arial"/>
        </w:rPr>
        <w:t>Building and Construction Industry Scheme</w:t>
      </w:r>
      <w:r w:rsidRPr="006820D3">
        <w:rPr>
          <w:rFonts w:cs="Arial"/>
          <w:sz w:val="22"/>
          <w:szCs w:val="22"/>
        </w:rPr>
        <w:t xml:space="preserve"> </w:t>
      </w:r>
      <w:r w:rsidR="00FB4094" w:rsidRPr="00C94261">
        <w:rPr>
          <w:rFonts w:cs="Arial"/>
        </w:rPr>
        <w:t>e</w:t>
      </w:r>
      <w:r w:rsidR="00117EC9" w:rsidRPr="00E15C4B">
        <w:t>mployer</w:t>
      </w:r>
      <w:r w:rsidRPr="00E15C4B">
        <w:t xml:space="preserve"> and </w:t>
      </w:r>
      <w:r w:rsidR="00FB4094">
        <w:t>worker</w:t>
      </w:r>
      <w:r w:rsidRPr="00E15C4B">
        <w:t xml:space="preserve"> statistics</w:t>
      </w:r>
    </w:p>
    <w:p w14:paraId="20E69A40" w14:textId="5A52BF8F" w:rsidR="007E0EFE" w:rsidRDefault="007E0EFE" w:rsidP="006E0242">
      <w:r w:rsidRPr="00BB2758">
        <w:t xml:space="preserve">The Building and Construction Industry Scheme </w:t>
      </w:r>
      <w:r w:rsidR="00D93DBC">
        <w:t xml:space="preserve">saw decreases </w:t>
      </w:r>
      <w:r w:rsidR="00375F15">
        <w:t xml:space="preserve">across </w:t>
      </w:r>
      <w:r w:rsidR="00140EA4">
        <w:t>all active</w:t>
      </w:r>
      <w:r w:rsidR="004E67BB">
        <w:t xml:space="preserve"> </w:t>
      </w:r>
      <w:r w:rsidR="005D7C25">
        <w:t>groups</w:t>
      </w:r>
      <w:r w:rsidRPr="00BB2758">
        <w:t xml:space="preserve"> during the reporting period, </w:t>
      </w:r>
      <w:r w:rsidR="005D7C25">
        <w:t xml:space="preserve">including </w:t>
      </w:r>
      <w:r w:rsidR="00570CCC">
        <w:t>registered employers (</w:t>
      </w:r>
      <w:r w:rsidR="00F47130">
        <w:t>0.44%</w:t>
      </w:r>
      <w:r w:rsidR="00570CCC">
        <w:t>),</w:t>
      </w:r>
      <w:r w:rsidRPr="00BB2758">
        <w:t xml:space="preserve"> active </w:t>
      </w:r>
      <w:r w:rsidR="00540385">
        <w:t>workers (</w:t>
      </w:r>
      <w:r w:rsidR="00C25B3A">
        <w:t>excluding</w:t>
      </w:r>
      <w:r w:rsidR="00540385">
        <w:t xml:space="preserve"> apprentices) </w:t>
      </w:r>
      <w:r w:rsidR="00DE0C54">
        <w:t>(2.21%) and active apprentices (</w:t>
      </w:r>
      <w:r w:rsidR="00051EBC">
        <w:t>19.48%)</w:t>
      </w:r>
      <w:r w:rsidR="00D516FF">
        <w:t>,</w:t>
      </w:r>
      <w:r w:rsidR="00AC2039">
        <w:t xml:space="preserve"> who experienced</w:t>
      </w:r>
      <w:r w:rsidRPr="00BB2758">
        <w:t xml:space="preserve"> a significant decrease </w:t>
      </w:r>
      <w:r w:rsidR="005D2D09">
        <w:t>for the second</w:t>
      </w:r>
      <w:r w:rsidRPr="00BB2758">
        <w:t xml:space="preserve"> year</w:t>
      </w:r>
      <w:r w:rsidR="005D2D09">
        <w:t xml:space="preserve"> </w:t>
      </w:r>
      <w:r w:rsidR="00AC2039">
        <w:t>in a row</w:t>
      </w:r>
      <w:r w:rsidRPr="00BB2758">
        <w:t>. </w:t>
      </w:r>
      <w:r w:rsidR="008F3DE0">
        <w:t>The total number of deregistered workers in the Building an</w:t>
      </w:r>
      <w:r w:rsidR="009668B6">
        <w:t>d</w:t>
      </w:r>
      <w:r w:rsidR="008F3DE0">
        <w:t xml:space="preserve"> Construction Industry</w:t>
      </w:r>
      <w:r w:rsidR="00AC4BFE">
        <w:t xml:space="preserve"> since the scheme commenced in 1981 is 90,961.</w:t>
      </w:r>
    </w:p>
    <w:p w14:paraId="44AF4224" w14:textId="18C1BE3C" w:rsidR="00231526" w:rsidRPr="00BB2758" w:rsidRDefault="00231526" w:rsidP="006E0242">
      <w:pPr>
        <w:rPr>
          <w:lang w:eastAsia="zh-TW"/>
        </w:rPr>
      </w:pPr>
      <w:r w:rsidRPr="00BB2758">
        <w:rPr>
          <w:lang w:eastAsia="zh-TW"/>
        </w:rPr>
        <w:t>Figure 1.</w:t>
      </w:r>
      <w:r w:rsidR="008754F5" w:rsidRPr="00BB2758">
        <w:rPr>
          <w:lang w:eastAsia="zh-TW"/>
        </w:rPr>
        <w:t xml:space="preserve"> </w:t>
      </w:r>
      <w:r w:rsidRPr="00BB2758">
        <w:rPr>
          <w:lang w:eastAsia="zh-TW"/>
        </w:rPr>
        <w:t xml:space="preserve">Building and Construction Industry </w:t>
      </w:r>
      <w:r w:rsidR="005F17BE">
        <w:rPr>
          <w:lang w:eastAsia="zh-TW"/>
        </w:rPr>
        <w:t xml:space="preserve">Scheme </w:t>
      </w:r>
      <w:r w:rsidRPr="00BB2758">
        <w:rPr>
          <w:lang w:eastAsia="zh-TW"/>
        </w:rPr>
        <w:t xml:space="preserve">employer and </w:t>
      </w:r>
      <w:r w:rsidR="004063CA">
        <w:rPr>
          <w:lang w:eastAsia="zh-TW"/>
        </w:rPr>
        <w:t>worker</w:t>
      </w:r>
      <w:r w:rsidRPr="00BB2758">
        <w:rPr>
          <w:lang w:eastAsia="zh-TW"/>
        </w:rPr>
        <w:t xml:space="preserve"> registration statistics</w:t>
      </w:r>
    </w:p>
    <w:p w14:paraId="24F7C1E7" w14:textId="67391DAA" w:rsidR="00E424AA" w:rsidRPr="00C4623C" w:rsidRDefault="00CA0414" w:rsidP="006E0242">
      <w:r>
        <w:rPr>
          <w:noProof/>
        </w:rPr>
        <w:drawing>
          <wp:inline distT="0" distB="0" distL="0" distR="0" wp14:anchorId="60273639" wp14:editId="3060F32A">
            <wp:extent cx="6477000" cy="3619500"/>
            <wp:effectExtent l="0" t="0" r="0" b="0"/>
            <wp:docPr id="2023083187" name="Chart 1" descr="Bar graph showing workforce and employer participation in the Building and Construction Industry Scheme from 2024 to 2026. Registered employers decreased slightly from 2,303 in 2024 to 2,234 in 2026. Active employees and contractors remained relatively stable, with 24,589 in 2024, peaking at 24,932 in 2025 before decreasing slightly to 24,380 in 2026. Active apprentices declined from 2,647 in 2024 to 1,364 in 2026. Inactive workers increased from 3,691 in 2024 to 4,041 in 2026. Overall, the graph shows stable employer and active worker participation, a decline in apprentice numbers, and an increase in inactive workers over the three-year period.">
              <a:extLst xmlns:a="http://schemas.openxmlformats.org/drawingml/2006/main">
                <a:ext uri="{FF2B5EF4-FFF2-40B4-BE49-F238E27FC236}">
                  <a16:creationId xmlns:a16="http://schemas.microsoft.com/office/drawing/2014/main" id="{1DCC1F11-8D59-48F8-9D77-C2FBDD5587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FD672D0" w14:textId="2133C1FF" w:rsidR="00E424AA" w:rsidRPr="00BB2758" w:rsidRDefault="00E424AA" w:rsidP="006E0242">
      <w:r w:rsidRPr="00BB2758">
        <w:lastRenderedPageBreak/>
        <w:t xml:space="preserve">Image description: Figure 1 is a bar graph that measures the number of registered employers, active employees and contractors, active apprentices, </w:t>
      </w:r>
      <w:r w:rsidR="0016021F" w:rsidRPr="00BB2758">
        <w:t xml:space="preserve">and </w:t>
      </w:r>
      <w:r w:rsidRPr="00BB2758">
        <w:t xml:space="preserve">inactive </w:t>
      </w:r>
      <w:r w:rsidR="000C376F">
        <w:t>workers</w:t>
      </w:r>
      <w:r w:rsidRPr="00BB2758">
        <w:t xml:space="preserve"> each year from </w:t>
      </w:r>
      <w:r w:rsidR="00E8340C">
        <w:t>2024</w:t>
      </w:r>
      <w:r w:rsidRPr="00BB2758">
        <w:t xml:space="preserve"> to </w:t>
      </w:r>
      <w:r w:rsidR="00E8340C">
        <w:t>2026</w:t>
      </w:r>
      <w:r w:rsidRPr="00BB2758">
        <w:t xml:space="preserve"> in the Building and Construction Industry Scheme. The data is summarised in the following table: </w:t>
      </w:r>
    </w:p>
    <w:tbl>
      <w:tblPr>
        <w:tblStyle w:val="ACTLeavetable"/>
        <w:tblW w:w="5000" w:type="pct"/>
        <w:tblLook w:val="04A0" w:firstRow="1" w:lastRow="0" w:firstColumn="1" w:lastColumn="0" w:noHBand="0" w:noVBand="1"/>
      </w:tblPr>
      <w:tblGrid>
        <w:gridCol w:w="4384"/>
        <w:gridCol w:w="1904"/>
        <w:gridCol w:w="1904"/>
        <w:gridCol w:w="1904"/>
      </w:tblGrid>
      <w:tr w:rsidR="00E424AA" w:rsidRPr="0018305A" w14:paraId="1D29BFFE" w14:textId="77777777" w:rsidTr="00983C6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1" w:type="pct"/>
            <w:hideMark/>
          </w:tcPr>
          <w:p w14:paraId="70FF82BB" w14:textId="77777777" w:rsidR="00E424AA" w:rsidRPr="00BB2758" w:rsidRDefault="00E424AA" w:rsidP="009745A0">
            <w:pPr>
              <w:spacing w:before="30" w:after="30"/>
            </w:pPr>
            <w:r w:rsidRPr="00BB2758">
              <w:t> </w:t>
            </w:r>
          </w:p>
        </w:tc>
        <w:tc>
          <w:tcPr>
            <w:tcW w:w="943" w:type="pct"/>
            <w:hideMark/>
          </w:tcPr>
          <w:p w14:paraId="154732BA" w14:textId="66029755" w:rsidR="00E424AA" w:rsidRPr="00BB2758" w:rsidRDefault="009745A0" w:rsidP="009745A0">
            <w:pPr>
              <w:spacing w:before="30" w:after="30"/>
              <w:cnfStyle w:val="100000000000" w:firstRow="1" w:lastRow="0" w:firstColumn="0" w:lastColumn="0" w:oddVBand="0" w:evenVBand="0" w:oddHBand="0" w:evenHBand="0" w:firstRowFirstColumn="0" w:firstRowLastColumn="0" w:lastRowFirstColumn="0" w:lastRowLastColumn="0"/>
            </w:pPr>
            <w:r w:rsidRPr="00C935B3">
              <w:t>2024 </w:t>
            </w:r>
          </w:p>
        </w:tc>
        <w:tc>
          <w:tcPr>
            <w:tcW w:w="943" w:type="pct"/>
            <w:hideMark/>
          </w:tcPr>
          <w:p w14:paraId="6771C789" w14:textId="6E885FFB" w:rsidR="00E424AA" w:rsidRPr="00BB2758" w:rsidRDefault="009745A0" w:rsidP="009745A0">
            <w:pPr>
              <w:spacing w:before="30" w:after="30"/>
              <w:cnfStyle w:val="100000000000" w:firstRow="1" w:lastRow="0" w:firstColumn="0" w:lastColumn="0" w:oddVBand="0" w:evenVBand="0" w:oddHBand="0" w:evenHBand="0" w:firstRowFirstColumn="0" w:firstRowLastColumn="0" w:lastRowFirstColumn="0" w:lastRowLastColumn="0"/>
            </w:pPr>
            <w:r w:rsidRPr="00C935B3">
              <w:t>2025 </w:t>
            </w:r>
          </w:p>
        </w:tc>
        <w:tc>
          <w:tcPr>
            <w:tcW w:w="943" w:type="pct"/>
            <w:hideMark/>
          </w:tcPr>
          <w:p w14:paraId="1300B4EE" w14:textId="571F31DA" w:rsidR="00E424AA" w:rsidRPr="00BB2758" w:rsidRDefault="009745A0" w:rsidP="009745A0">
            <w:pPr>
              <w:spacing w:before="30" w:after="30"/>
              <w:cnfStyle w:val="100000000000" w:firstRow="1" w:lastRow="0" w:firstColumn="0" w:lastColumn="0" w:oddVBand="0" w:evenVBand="0" w:oddHBand="0" w:evenHBand="0" w:firstRowFirstColumn="0" w:firstRowLastColumn="0" w:lastRowFirstColumn="0" w:lastRowLastColumn="0"/>
            </w:pPr>
            <w:r w:rsidRPr="00C935B3">
              <w:t>2026 </w:t>
            </w:r>
          </w:p>
        </w:tc>
      </w:tr>
      <w:tr w:rsidR="00E424AA" w:rsidRPr="0018305A" w14:paraId="6E2DF49F" w14:textId="77777777" w:rsidTr="00983C62">
        <w:trPr>
          <w:trHeight w:val="300"/>
        </w:trPr>
        <w:tc>
          <w:tcPr>
            <w:cnfStyle w:val="001000000000" w:firstRow="0" w:lastRow="0" w:firstColumn="1" w:lastColumn="0" w:oddVBand="0" w:evenVBand="0" w:oddHBand="0" w:evenHBand="0" w:firstRowFirstColumn="0" w:firstRowLastColumn="0" w:lastRowFirstColumn="0" w:lastRowLastColumn="0"/>
            <w:tcW w:w="2171" w:type="pct"/>
            <w:hideMark/>
          </w:tcPr>
          <w:p w14:paraId="65B72938" w14:textId="78E10744" w:rsidR="00E424AA" w:rsidRPr="00BB2758" w:rsidRDefault="00E424AA" w:rsidP="009745A0">
            <w:pPr>
              <w:spacing w:before="30" w:after="30"/>
            </w:pPr>
            <w:r w:rsidRPr="00BB2758">
              <w:t xml:space="preserve">Registered </w:t>
            </w:r>
            <w:r w:rsidR="00C94261">
              <w:t>e</w:t>
            </w:r>
            <w:r w:rsidRPr="00BB2758">
              <w:t>mployers </w:t>
            </w:r>
          </w:p>
        </w:tc>
        <w:tc>
          <w:tcPr>
            <w:tcW w:w="943" w:type="pct"/>
            <w:hideMark/>
          </w:tcPr>
          <w:p w14:paraId="3EB54128" w14:textId="3CBA80FB" w:rsidR="00E424AA" w:rsidRPr="00BB2758" w:rsidRDefault="00E424AA" w:rsidP="009745A0">
            <w:pPr>
              <w:spacing w:before="30" w:after="30"/>
              <w:cnfStyle w:val="000000000000" w:firstRow="0" w:lastRow="0" w:firstColumn="0" w:lastColumn="0" w:oddVBand="0" w:evenVBand="0" w:oddHBand="0" w:evenHBand="0" w:firstRowFirstColumn="0" w:firstRowLastColumn="0" w:lastRowFirstColumn="0" w:lastRowLastColumn="0"/>
            </w:pPr>
            <w:r w:rsidRPr="00BB2758">
              <w:t>2,</w:t>
            </w:r>
            <w:r w:rsidR="009745A0" w:rsidRPr="00C935B3">
              <w:t>303</w:t>
            </w:r>
          </w:p>
        </w:tc>
        <w:tc>
          <w:tcPr>
            <w:tcW w:w="943" w:type="pct"/>
            <w:hideMark/>
          </w:tcPr>
          <w:p w14:paraId="4A916004" w14:textId="571E4852" w:rsidR="00E424AA" w:rsidRPr="00BB2758" w:rsidRDefault="00E424AA" w:rsidP="009745A0">
            <w:pPr>
              <w:spacing w:before="30" w:after="30"/>
              <w:cnfStyle w:val="000000000000" w:firstRow="0" w:lastRow="0" w:firstColumn="0" w:lastColumn="0" w:oddVBand="0" w:evenVBand="0" w:oddHBand="0" w:evenHBand="0" w:firstRowFirstColumn="0" w:firstRowLastColumn="0" w:lastRowFirstColumn="0" w:lastRowLastColumn="0"/>
            </w:pPr>
            <w:r w:rsidRPr="00BB2758">
              <w:t>2,</w:t>
            </w:r>
            <w:r w:rsidR="009745A0" w:rsidRPr="00C935B3">
              <w:t>244</w:t>
            </w:r>
          </w:p>
        </w:tc>
        <w:tc>
          <w:tcPr>
            <w:tcW w:w="943" w:type="pct"/>
            <w:hideMark/>
          </w:tcPr>
          <w:p w14:paraId="461D540B" w14:textId="275EBD0F" w:rsidR="00E424AA" w:rsidRPr="00BB2758" w:rsidRDefault="00E424AA" w:rsidP="009745A0">
            <w:pPr>
              <w:spacing w:before="30" w:after="30"/>
              <w:cnfStyle w:val="000000000000" w:firstRow="0" w:lastRow="0" w:firstColumn="0" w:lastColumn="0" w:oddVBand="0" w:evenVBand="0" w:oddHBand="0" w:evenHBand="0" w:firstRowFirstColumn="0" w:firstRowLastColumn="0" w:lastRowFirstColumn="0" w:lastRowLastColumn="0"/>
            </w:pPr>
            <w:r w:rsidRPr="00BB2758">
              <w:t>2,</w:t>
            </w:r>
            <w:r w:rsidR="009745A0" w:rsidRPr="00C935B3">
              <w:t>234</w:t>
            </w:r>
          </w:p>
        </w:tc>
      </w:tr>
      <w:tr w:rsidR="00E424AA" w:rsidRPr="0018305A" w14:paraId="22B65636" w14:textId="77777777" w:rsidTr="00983C62">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1" w:type="pct"/>
            <w:hideMark/>
          </w:tcPr>
          <w:p w14:paraId="740E74AA" w14:textId="435896CD" w:rsidR="00E424AA" w:rsidRPr="00BB2758" w:rsidRDefault="00E424AA" w:rsidP="009745A0">
            <w:pPr>
              <w:spacing w:before="30" w:after="30"/>
            </w:pPr>
            <w:r w:rsidRPr="00BB2758">
              <w:t xml:space="preserve">Active </w:t>
            </w:r>
            <w:r w:rsidR="00331DC9">
              <w:t>workers (exclud</w:t>
            </w:r>
            <w:r w:rsidR="00C25B3A">
              <w:t>ing</w:t>
            </w:r>
            <w:r w:rsidR="00331DC9">
              <w:t xml:space="preserve"> apprentices)</w:t>
            </w:r>
            <w:r w:rsidRPr="00BB2758">
              <w:t> </w:t>
            </w:r>
          </w:p>
        </w:tc>
        <w:tc>
          <w:tcPr>
            <w:tcW w:w="943" w:type="pct"/>
            <w:hideMark/>
          </w:tcPr>
          <w:p w14:paraId="699E962A" w14:textId="0A77AB18" w:rsidR="00E424AA" w:rsidRPr="00BB2758" w:rsidRDefault="00E424AA" w:rsidP="009745A0">
            <w:pPr>
              <w:spacing w:before="30" w:after="30"/>
              <w:cnfStyle w:val="000000010000" w:firstRow="0" w:lastRow="0" w:firstColumn="0" w:lastColumn="0" w:oddVBand="0" w:evenVBand="0" w:oddHBand="0" w:evenHBand="1" w:firstRowFirstColumn="0" w:firstRowLastColumn="0" w:lastRowFirstColumn="0" w:lastRowLastColumn="0"/>
            </w:pPr>
            <w:r w:rsidRPr="00BB2758">
              <w:t>24,</w:t>
            </w:r>
            <w:r w:rsidR="009745A0" w:rsidRPr="00C935B3">
              <w:t>589</w:t>
            </w:r>
          </w:p>
        </w:tc>
        <w:tc>
          <w:tcPr>
            <w:tcW w:w="943" w:type="pct"/>
            <w:hideMark/>
          </w:tcPr>
          <w:p w14:paraId="03F3C591" w14:textId="01EF29AB" w:rsidR="00E424AA" w:rsidRPr="00BB2758" w:rsidRDefault="00E424AA" w:rsidP="009745A0">
            <w:pPr>
              <w:spacing w:before="30" w:after="30"/>
              <w:cnfStyle w:val="000000010000" w:firstRow="0" w:lastRow="0" w:firstColumn="0" w:lastColumn="0" w:oddVBand="0" w:evenVBand="0" w:oddHBand="0" w:evenHBand="1" w:firstRowFirstColumn="0" w:firstRowLastColumn="0" w:lastRowFirstColumn="0" w:lastRowLastColumn="0"/>
            </w:pPr>
            <w:r w:rsidRPr="00BB2758">
              <w:t>24,</w:t>
            </w:r>
            <w:r w:rsidR="009745A0" w:rsidRPr="00C935B3">
              <w:t>932</w:t>
            </w:r>
          </w:p>
        </w:tc>
        <w:tc>
          <w:tcPr>
            <w:tcW w:w="943" w:type="pct"/>
            <w:hideMark/>
          </w:tcPr>
          <w:p w14:paraId="39EF0C44" w14:textId="53A7EBB0" w:rsidR="00E424AA" w:rsidRPr="00BB2758" w:rsidRDefault="00E424AA" w:rsidP="009745A0">
            <w:pPr>
              <w:spacing w:before="30" w:after="30"/>
              <w:cnfStyle w:val="000000010000" w:firstRow="0" w:lastRow="0" w:firstColumn="0" w:lastColumn="0" w:oddVBand="0" w:evenVBand="0" w:oddHBand="0" w:evenHBand="1" w:firstRowFirstColumn="0" w:firstRowLastColumn="0" w:lastRowFirstColumn="0" w:lastRowLastColumn="0"/>
            </w:pPr>
            <w:r w:rsidRPr="00BB2758">
              <w:t>24,</w:t>
            </w:r>
            <w:r w:rsidR="009745A0" w:rsidRPr="00C935B3">
              <w:t>380</w:t>
            </w:r>
          </w:p>
        </w:tc>
      </w:tr>
      <w:tr w:rsidR="00E424AA" w:rsidRPr="0018305A" w14:paraId="49EBFE15" w14:textId="77777777" w:rsidTr="00983C62">
        <w:trPr>
          <w:trHeight w:val="300"/>
        </w:trPr>
        <w:tc>
          <w:tcPr>
            <w:cnfStyle w:val="001000000000" w:firstRow="0" w:lastRow="0" w:firstColumn="1" w:lastColumn="0" w:oddVBand="0" w:evenVBand="0" w:oddHBand="0" w:evenHBand="0" w:firstRowFirstColumn="0" w:firstRowLastColumn="0" w:lastRowFirstColumn="0" w:lastRowLastColumn="0"/>
            <w:tcW w:w="2171" w:type="pct"/>
            <w:hideMark/>
          </w:tcPr>
          <w:p w14:paraId="4816105C" w14:textId="51FBBDA6" w:rsidR="00E424AA" w:rsidRPr="00BB2758" w:rsidRDefault="00E424AA" w:rsidP="009745A0">
            <w:pPr>
              <w:spacing w:before="30" w:after="30"/>
            </w:pPr>
            <w:r w:rsidRPr="00BB2758">
              <w:t xml:space="preserve">Active </w:t>
            </w:r>
            <w:r w:rsidR="00C94261">
              <w:t>a</w:t>
            </w:r>
            <w:r w:rsidRPr="00BB2758">
              <w:t>pprentices </w:t>
            </w:r>
          </w:p>
        </w:tc>
        <w:tc>
          <w:tcPr>
            <w:tcW w:w="943" w:type="pct"/>
            <w:hideMark/>
          </w:tcPr>
          <w:p w14:paraId="117E82D9" w14:textId="4A6FD6D9" w:rsidR="00E424AA" w:rsidRPr="00BB2758" w:rsidRDefault="00E424AA" w:rsidP="009745A0">
            <w:pPr>
              <w:spacing w:before="30" w:after="30"/>
              <w:cnfStyle w:val="000000000000" w:firstRow="0" w:lastRow="0" w:firstColumn="0" w:lastColumn="0" w:oddVBand="0" w:evenVBand="0" w:oddHBand="0" w:evenHBand="0" w:firstRowFirstColumn="0" w:firstRowLastColumn="0" w:lastRowFirstColumn="0" w:lastRowLastColumn="0"/>
            </w:pPr>
            <w:r w:rsidRPr="00BB2758">
              <w:t>2,</w:t>
            </w:r>
            <w:r w:rsidR="009745A0" w:rsidRPr="00C935B3">
              <w:t>647</w:t>
            </w:r>
          </w:p>
        </w:tc>
        <w:tc>
          <w:tcPr>
            <w:tcW w:w="943" w:type="pct"/>
            <w:hideMark/>
          </w:tcPr>
          <w:p w14:paraId="3D6E881D" w14:textId="644E798D" w:rsidR="00E424AA" w:rsidRPr="00BB2758" w:rsidRDefault="009745A0" w:rsidP="009745A0">
            <w:pPr>
              <w:spacing w:before="30" w:after="30"/>
              <w:cnfStyle w:val="000000000000" w:firstRow="0" w:lastRow="0" w:firstColumn="0" w:lastColumn="0" w:oddVBand="0" w:evenVBand="0" w:oddHBand="0" w:evenHBand="0" w:firstRowFirstColumn="0" w:firstRowLastColumn="0" w:lastRowFirstColumn="0" w:lastRowLastColumn="0"/>
            </w:pPr>
            <w:r w:rsidRPr="00C935B3">
              <w:t>1,694</w:t>
            </w:r>
          </w:p>
        </w:tc>
        <w:tc>
          <w:tcPr>
            <w:tcW w:w="943" w:type="pct"/>
            <w:hideMark/>
          </w:tcPr>
          <w:p w14:paraId="54688CBC" w14:textId="7AA3DB95" w:rsidR="00E424AA" w:rsidRPr="00BB2758" w:rsidRDefault="00E424AA" w:rsidP="009745A0">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9745A0" w:rsidRPr="00C935B3">
              <w:t>364</w:t>
            </w:r>
          </w:p>
        </w:tc>
      </w:tr>
      <w:tr w:rsidR="00E424AA" w:rsidRPr="0018305A" w14:paraId="7724534A" w14:textId="77777777" w:rsidTr="00983C62">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1" w:type="pct"/>
            <w:hideMark/>
          </w:tcPr>
          <w:p w14:paraId="7D7F5A25" w14:textId="4F11A2EA" w:rsidR="00E424AA" w:rsidRPr="00BB2758" w:rsidRDefault="009745A0" w:rsidP="009745A0">
            <w:pPr>
              <w:spacing w:before="30" w:after="30"/>
            </w:pPr>
            <w:r w:rsidRPr="00BB2758">
              <w:t xml:space="preserve">Inactive </w:t>
            </w:r>
            <w:r w:rsidR="00C94261">
              <w:t>w</w:t>
            </w:r>
            <w:r w:rsidR="00540972">
              <w:t>orkers</w:t>
            </w:r>
            <w:r w:rsidRPr="00BB2758">
              <w:t> </w:t>
            </w:r>
          </w:p>
        </w:tc>
        <w:tc>
          <w:tcPr>
            <w:tcW w:w="943" w:type="pct"/>
            <w:hideMark/>
          </w:tcPr>
          <w:p w14:paraId="19B23A93" w14:textId="5E583EA4" w:rsidR="00E424AA" w:rsidRPr="00BB2758" w:rsidRDefault="00E424AA" w:rsidP="009745A0">
            <w:pPr>
              <w:spacing w:before="30" w:after="30"/>
              <w:cnfStyle w:val="000000010000" w:firstRow="0" w:lastRow="0" w:firstColumn="0" w:lastColumn="0" w:oddVBand="0" w:evenVBand="0" w:oddHBand="0" w:evenHBand="1" w:firstRowFirstColumn="0" w:firstRowLastColumn="0" w:lastRowFirstColumn="0" w:lastRowLastColumn="0"/>
            </w:pPr>
            <w:r w:rsidRPr="00BB2758">
              <w:t>3,</w:t>
            </w:r>
            <w:r w:rsidR="009745A0" w:rsidRPr="00C935B3">
              <w:t>691</w:t>
            </w:r>
          </w:p>
        </w:tc>
        <w:tc>
          <w:tcPr>
            <w:tcW w:w="943" w:type="pct"/>
            <w:hideMark/>
          </w:tcPr>
          <w:p w14:paraId="657DDA10" w14:textId="031448FA" w:rsidR="00E424AA" w:rsidRPr="00BB2758" w:rsidRDefault="00E424AA" w:rsidP="009745A0">
            <w:pPr>
              <w:spacing w:before="30" w:after="30"/>
              <w:cnfStyle w:val="000000010000" w:firstRow="0" w:lastRow="0" w:firstColumn="0" w:lastColumn="0" w:oddVBand="0" w:evenVBand="0" w:oddHBand="0" w:evenHBand="1" w:firstRowFirstColumn="0" w:firstRowLastColumn="0" w:lastRowFirstColumn="0" w:lastRowLastColumn="0"/>
            </w:pPr>
            <w:r w:rsidRPr="00BB2758">
              <w:t>3,</w:t>
            </w:r>
            <w:r w:rsidR="009745A0" w:rsidRPr="00C935B3">
              <w:t>861</w:t>
            </w:r>
          </w:p>
        </w:tc>
        <w:tc>
          <w:tcPr>
            <w:tcW w:w="943" w:type="pct"/>
            <w:hideMark/>
          </w:tcPr>
          <w:p w14:paraId="28238EA7" w14:textId="08351B39" w:rsidR="00E424AA" w:rsidRPr="00BB2758" w:rsidRDefault="009745A0" w:rsidP="009745A0">
            <w:pPr>
              <w:spacing w:before="30" w:after="30"/>
              <w:cnfStyle w:val="000000010000" w:firstRow="0" w:lastRow="0" w:firstColumn="0" w:lastColumn="0" w:oddVBand="0" w:evenVBand="0" w:oddHBand="0" w:evenHBand="1" w:firstRowFirstColumn="0" w:firstRowLastColumn="0" w:lastRowFirstColumn="0" w:lastRowLastColumn="0"/>
            </w:pPr>
            <w:r w:rsidRPr="00C935B3">
              <w:t>4,041</w:t>
            </w:r>
          </w:p>
        </w:tc>
      </w:tr>
    </w:tbl>
    <w:p w14:paraId="201D7259" w14:textId="6FCEE2BE" w:rsidR="00E424AA" w:rsidRPr="00BB2758" w:rsidRDefault="00E424AA" w:rsidP="002C572A">
      <w:pPr>
        <w:pStyle w:val="Heading4"/>
        <w:rPr>
          <w:rFonts w:cs="Arial"/>
          <w:b w:val="0"/>
          <w:sz w:val="22"/>
          <w:szCs w:val="22"/>
        </w:rPr>
      </w:pPr>
      <w:r w:rsidRPr="00BB2758">
        <w:rPr>
          <w:rFonts w:cs="Arial"/>
        </w:rPr>
        <w:t>Building and Construction Industry Scheme levy contributions </w:t>
      </w:r>
    </w:p>
    <w:p w14:paraId="102A706A" w14:textId="42B5D17E" w:rsidR="0054744A" w:rsidRDefault="0054744A" w:rsidP="00CF17D1">
      <w:r w:rsidRPr="0054744A">
        <w:t xml:space="preserve">In 2025-26, Building and Construction Industry </w:t>
      </w:r>
      <w:r w:rsidR="00CD4EA0">
        <w:t xml:space="preserve">Scheme </w:t>
      </w:r>
      <w:r w:rsidRPr="0054744A">
        <w:t>employers paid a total of $23.39</w:t>
      </w:r>
      <w:r w:rsidR="00B86935">
        <w:t xml:space="preserve"> </w:t>
      </w:r>
      <w:r w:rsidRPr="0054744A">
        <w:t>m</w:t>
      </w:r>
      <w:r w:rsidR="00B86935">
        <w:t>illion</w:t>
      </w:r>
      <w:r w:rsidRPr="0054744A">
        <w:t xml:space="preserve"> in levy contributions (up from $22.17</w:t>
      </w:r>
      <w:r w:rsidR="00B86935">
        <w:t xml:space="preserve"> </w:t>
      </w:r>
      <w:r w:rsidR="00B86935" w:rsidRPr="0054744A">
        <w:t>m</w:t>
      </w:r>
      <w:r w:rsidR="00B86935">
        <w:t>illion</w:t>
      </w:r>
      <w:r w:rsidRPr="0054744A">
        <w:t xml:space="preserve"> in 2024-25) based on a levy rate of 2.75% of </w:t>
      </w:r>
      <w:r w:rsidR="00E46867">
        <w:t xml:space="preserve">gross </w:t>
      </w:r>
      <w:r w:rsidRPr="0054744A">
        <w:t xml:space="preserve">ordinary </w:t>
      </w:r>
      <w:r w:rsidR="00837FA0">
        <w:t>wages</w:t>
      </w:r>
      <w:r w:rsidRPr="0054744A">
        <w:t xml:space="preserve">. The increase in levy contributions paid this year is attributed to general wage increases across the financial year for registered </w:t>
      </w:r>
      <w:r w:rsidR="007B49C7">
        <w:t>workers</w:t>
      </w:r>
      <w:r w:rsidRPr="0054744A">
        <w:t>. ACT Leave budgeted $23.</w:t>
      </w:r>
      <w:r w:rsidR="00B86935" w:rsidRPr="0054744A">
        <w:t>90</w:t>
      </w:r>
      <w:r w:rsidR="00B86935">
        <w:t xml:space="preserve"> </w:t>
      </w:r>
      <w:r w:rsidR="00B86935" w:rsidRPr="0054744A">
        <w:t>m</w:t>
      </w:r>
      <w:r w:rsidR="00B86935">
        <w:t>illion</w:t>
      </w:r>
      <w:r w:rsidR="00B86935" w:rsidRPr="0054744A">
        <w:t xml:space="preserve"> </w:t>
      </w:r>
      <w:r w:rsidRPr="0054744A">
        <w:t>in contributions for the 2025-26 financial year.</w:t>
      </w:r>
    </w:p>
    <w:p w14:paraId="4AFE235D" w14:textId="77777777" w:rsidR="0089702C" w:rsidRDefault="0089702C" w:rsidP="006E0242"/>
    <w:p w14:paraId="1732721B" w14:textId="59EF1568" w:rsidR="0089702C" w:rsidRDefault="00A7481B" w:rsidP="006E0242">
      <w:r>
        <w:rPr>
          <w:noProof/>
        </w:rPr>
        <w:drawing>
          <wp:inline distT="0" distB="0" distL="0" distR="0" wp14:anchorId="441509F4" wp14:editId="5C95F088">
            <wp:extent cx="6410960" cy="2403475"/>
            <wp:effectExtent l="0" t="0" r="8890" b="0"/>
            <wp:docPr id="897945091" name="Picture 8" descr="Decorative testimonial graphic featuring a quote from an employer in the construction industry about the benefits of portable long service leave. The graphic includes the testimonial text, a small profile image and name of the employer, and a larger photograph of a person working in a construction or trade-related environment overlaid with ACT Leave's green dynamic track swirl design. The testimonial reads: “Portable long service leave contributes to employees’ long-term happiness and gives them options down the track. As an employer, you should feel great about that.” The graphic is included to provide a stakeholder perspective and support the report's visual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50486" name="Picture 8" descr="Decorative testimonial graphic featuring a quote from an employer in the construction industry about the benefits of portable long service leave. The graphic includes the testimonial text, a small profile image and name of the employer, and a larger photograph of a person working in a construction or trade-related environment overlaid with ACT Leave's green dynamic track swirl design. The testimonial reads: “Portable long service leave contributes to employees’ long-term happiness and gives them options down the track. As an employer, you should feel great about that.” The graphic is included to provide a stakeholder perspective and support the report's visual presentation."/>
                    <pic:cNvPicPr/>
                  </pic:nvPicPr>
                  <pic:blipFill>
                    <a:blip r:embed="rId39"/>
                    <a:stretch>
                      <a:fillRect/>
                    </a:stretch>
                  </pic:blipFill>
                  <pic:spPr>
                    <a:xfrm>
                      <a:off x="0" y="0"/>
                      <a:ext cx="6410960" cy="2403475"/>
                    </a:xfrm>
                    <a:prstGeom prst="rect">
                      <a:avLst/>
                    </a:prstGeom>
                  </pic:spPr>
                </pic:pic>
              </a:graphicData>
            </a:graphic>
          </wp:inline>
        </w:drawing>
      </w:r>
    </w:p>
    <w:p w14:paraId="5438B109" w14:textId="77777777" w:rsidR="0089702C" w:rsidRDefault="0089702C" w:rsidP="006E0242"/>
    <w:p w14:paraId="7B9C8E3D" w14:textId="77777777" w:rsidR="0089702C" w:rsidRDefault="0089702C" w:rsidP="006E0242"/>
    <w:p w14:paraId="22073AE8" w14:textId="77777777" w:rsidR="0089702C" w:rsidRDefault="0089702C" w:rsidP="006E0242"/>
    <w:p w14:paraId="224A015C" w14:textId="77777777" w:rsidR="0089702C" w:rsidRDefault="0089702C" w:rsidP="006E0242"/>
    <w:p w14:paraId="5C4979BA" w14:textId="77777777" w:rsidR="00A7481B" w:rsidRDefault="00A7481B">
      <w:pPr>
        <w:spacing w:before="120" w:after="120" w:line="240" w:lineRule="auto"/>
      </w:pPr>
      <w:r>
        <w:br w:type="page"/>
      </w:r>
    </w:p>
    <w:p w14:paraId="16D5FAB6" w14:textId="7F398252" w:rsidR="00E424AA" w:rsidRPr="00BB2758" w:rsidRDefault="00E424AA" w:rsidP="006E0242">
      <w:r w:rsidRPr="00BB2758">
        <w:lastRenderedPageBreak/>
        <w:t xml:space="preserve">Figure 2. Building and Construction Industry </w:t>
      </w:r>
      <w:r w:rsidR="00CD4EA0">
        <w:t>Scheme</w:t>
      </w:r>
      <w:r w:rsidRPr="00BB2758">
        <w:t xml:space="preserve"> levy contribution payments by employers </w:t>
      </w:r>
    </w:p>
    <w:p w14:paraId="29FFE346" w14:textId="6550BD76" w:rsidR="00E424AA" w:rsidRDefault="00E424AA" w:rsidP="006E0242">
      <w:r w:rsidRPr="00BB2758">
        <w:t xml:space="preserve"> </w:t>
      </w:r>
      <w:r w:rsidR="00107AE7">
        <w:rPr>
          <w:noProof/>
        </w:rPr>
        <w:drawing>
          <wp:inline distT="0" distB="0" distL="0" distR="0" wp14:anchorId="11E20426" wp14:editId="2B77E34B">
            <wp:extent cx="6410960" cy="2790000"/>
            <wp:effectExtent l="0" t="0" r="8890" b="0"/>
            <wp:docPr id="934277082" name="Chart 1" descr="Bar graph showing levy contributions paid by employers in the Building and Construction Industry Scheme from 2020 to 2026. Employer levy contributions increased overall during the seven-year period, rising from $14.905 million in 2020 to $23.393 million in 2026. Contributions increased to $15.849 million in 2021, decreased to $14.659 million in 2022, then increased steadily to $17.609 million in 2023, $19.388 million in 2024, $22.170 million in 2025, and $23.393 million in 2026, the highest level recorded. Overall, the graph shows a strong upward trend in levy contributions over time.">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8BEAF06" w14:textId="179C6F04" w:rsidR="00E424AA" w:rsidRPr="00BB2758" w:rsidRDefault="00E424AA" w:rsidP="006E0242">
      <w:r w:rsidRPr="00BB2758">
        <w:t xml:space="preserve">Image description: Figure 2 is a bar graph that measures the levy contributions made by employers in the Building and Construction Industry Scheme over the last </w:t>
      </w:r>
      <w:r w:rsidR="00F14CC6">
        <w:t>7</w:t>
      </w:r>
      <w:r w:rsidRPr="00BB2758">
        <w:t xml:space="preserve"> years from </w:t>
      </w:r>
      <w:r w:rsidR="008E34D6">
        <w:t>2020</w:t>
      </w:r>
      <w:r w:rsidRPr="00BB2758">
        <w:t xml:space="preserve"> to </w:t>
      </w:r>
      <w:r w:rsidR="008E34D6">
        <w:t>2026</w:t>
      </w:r>
      <w:r w:rsidRPr="00BB2758">
        <w:t>. The data, measured in dollars, is summarised in the table below:</w:t>
      </w:r>
      <w:r w:rsidR="005B5AC9" w:rsidRPr="00BB2758">
        <w:t xml:space="preserve"> </w:t>
      </w:r>
    </w:p>
    <w:tbl>
      <w:tblPr>
        <w:tblStyle w:val="ACTLeavetable"/>
        <w:tblW w:w="5000" w:type="pct"/>
        <w:tblLook w:val="04A0" w:firstRow="1" w:lastRow="0" w:firstColumn="1" w:lastColumn="0" w:noHBand="0" w:noVBand="1"/>
      </w:tblPr>
      <w:tblGrid>
        <w:gridCol w:w="1820"/>
        <w:gridCol w:w="1184"/>
        <w:gridCol w:w="1183"/>
        <w:gridCol w:w="1183"/>
        <w:gridCol w:w="1183"/>
        <w:gridCol w:w="1183"/>
        <w:gridCol w:w="1183"/>
        <w:gridCol w:w="1177"/>
      </w:tblGrid>
      <w:tr w:rsidR="00E424AA" w:rsidRPr="0018305A" w14:paraId="00F0FD52" w14:textId="77777777" w:rsidTr="003000C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1" w:type="pct"/>
            <w:hideMark/>
          </w:tcPr>
          <w:p w14:paraId="264D54AB" w14:textId="77777777" w:rsidR="00E424AA" w:rsidRPr="00BB2758" w:rsidRDefault="00E424AA" w:rsidP="003000C6">
            <w:pPr>
              <w:spacing w:before="30" w:after="30"/>
            </w:pPr>
            <w:r w:rsidRPr="00BB2758">
              <w:t> </w:t>
            </w:r>
          </w:p>
        </w:tc>
        <w:tc>
          <w:tcPr>
            <w:tcW w:w="586" w:type="pct"/>
            <w:hideMark/>
          </w:tcPr>
          <w:p w14:paraId="7FB5F5A4" w14:textId="3019C142" w:rsidR="00E424AA" w:rsidRPr="00BB2758" w:rsidRDefault="003000C6" w:rsidP="003000C6">
            <w:pPr>
              <w:spacing w:before="30" w:after="30"/>
              <w:cnfStyle w:val="100000000000" w:firstRow="1" w:lastRow="0" w:firstColumn="0" w:lastColumn="0" w:oddVBand="0" w:evenVBand="0" w:oddHBand="0" w:evenHBand="0" w:firstRowFirstColumn="0" w:firstRowLastColumn="0" w:lastRowFirstColumn="0" w:lastRowLastColumn="0"/>
            </w:pPr>
            <w:r w:rsidRPr="0011282A">
              <w:t xml:space="preserve">2020 </w:t>
            </w:r>
          </w:p>
        </w:tc>
        <w:tc>
          <w:tcPr>
            <w:tcW w:w="586" w:type="pct"/>
            <w:hideMark/>
          </w:tcPr>
          <w:p w14:paraId="029D8666" w14:textId="194F144F" w:rsidR="00E424AA" w:rsidRPr="00BB2758" w:rsidRDefault="003000C6" w:rsidP="003000C6">
            <w:pPr>
              <w:spacing w:before="30" w:after="30"/>
              <w:cnfStyle w:val="100000000000" w:firstRow="1" w:lastRow="0" w:firstColumn="0" w:lastColumn="0" w:oddVBand="0" w:evenVBand="0" w:oddHBand="0" w:evenHBand="0" w:firstRowFirstColumn="0" w:firstRowLastColumn="0" w:lastRowFirstColumn="0" w:lastRowLastColumn="0"/>
            </w:pPr>
            <w:r w:rsidRPr="0011282A">
              <w:t xml:space="preserve">2021 </w:t>
            </w:r>
          </w:p>
        </w:tc>
        <w:tc>
          <w:tcPr>
            <w:tcW w:w="586" w:type="pct"/>
            <w:hideMark/>
          </w:tcPr>
          <w:p w14:paraId="7039A73B" w14:textId="43D5EBB6" w:rsidR="00E424AA" w:rsidRPr="00BB2758" w:rsidRDefault="003000C6" w:rsidP="003000C6">
            <w:pPr>
              <w:spacing w:before="30" w:after="30"/>
              <w:cnfStyle w:val="100000000000" w:firstRow="1" w:lastRow="0" w:firstColumn="0" w:lastColumn="0" w:oddVBand="0" w:evenVBand="0" w:oddHBand="0" w:evenHBand="0" w:firstRowFirstColumn="0" w:firstRowLastColumn="0" w:lastRowFirstColumn="0" w:lastRowLastColumn="0"/>
            </w:pPr>
            <w:r w:rsidRPr="0011282A">
              <w:t xml:space="preserve">2022 </w:t>
            </w:r>
          </w:p>
        </w:tc>
        <w:tc>
          <w:tcPr>
            <w:tcW w:w="586" w:type="pct"/>
            <w:hideMark/>
          </w:tcPr>
          <w:p w14:paraId="6ED17AC5" w14:textId="722FA18E" w:rsidR="00E424AA" w:rsidRPr="00BB2758" w:rsidRDefault="003000C6" w:rsidP="003000C6">
            <w:pPr>
              <w:spacing w:before="30" w:after="30"/>
              <w:cnfStyle w:val="100000000000" w:firstRow="1" w:lastRow="0" w:firstColumn="0" w:lastColumn="0" w:oddVBand="0" w:evenVBand="0" w:oddHBand="0" w:evenHBand="0" w:firstRowFirstColumn="0" w:firstRowLastColumn="0" w:lastRowFirstColumn="0" w:lastRowLastColumn="0"/>
            </w:pPr>
            <w:r w:rsidRPr="0011282A">
              <w:t xml:space="preserve">2023 </w:t>
            </w:r>
          </w:p>
        </w:tc>
        <w:tc>
          <w:tcPr>
            <w:tcW w:w="586" w:type="pct"/>
            <w:hideMark/>
          </w:tcPr>
          <w:p w14:paraId="755FBD8A" w14:textId="7B886C64" w:rsidR="00E424AA" w:rsidRPr="00BB2758" w:rsidRDefault="003000C6" w:rsidP="003000C6">
            <w:pPr>
              <w:spacing w:before="30" w:after="30"/>
              <w:cnfStyle w:val="100000000000" w:firstRow="1" w:lastRow="0" w:firstColumn="0" w:lastColumn="0" w:oddVBand="0" w:evenVBand="0" w:oddHBand="0" w:evenHBand="0" w:firstRowFirstColumn="0" w:firstRowLastColumn="0" w:lastRowFirstColumn="0" w:lastRowLastColumn="0"/>
            </w:pPr>
            <w:r w:rsidRPr="0011282A">
              <w:t xml:space="preserve">2024 </w:t>
            </w:r>
          </w:p>
        </w:tc>
        <w:tc>
          <w:tcPr>
            <w:tcW w:w="586" w:type="pct"/>
            <w:hideMark/>
          </w:tcPr>
          <w:p w14:paraId="74F75F93" w14:textId="66A35E88" w:rsidR="00E424AA" w:rsidRPr="00BB2758" w:rsidRDefault="003000C6" w:rsidP="003000C6">
            <w:pPr>
              <w:spacing w:before="30" w:after="30"/>
              <w:cnfStyle w:val="100000000000" w:firstRow="1" w:lastRow="0" w:firstColumn="0" w:lastColumn="0" w:oddVBand="0" w:evenVBand="0" w:oddHBand="0" w:evenHBand="0" w:firstRowFirstColumn="0" w:firstRowLastColumn="0" w:lastRowFirstColumn="0" w:lastRowLastColumn="0"/>
            </w:pPr>
            <w:r w:rsidRPr="0011282A">
              <w:t xml:space="preserve">2025 </w:t>
            </w:r>
          </w:p>
        </w:tc>
        <w:tc>
          <w:tcPr>
            <w:tcW w:w="583" w:type="pct"/>
            <w:hideMark/>
          </w:tcPr>
          <w:p w14:paraId="511A81C3" w14:textId="3CD9F9ED" w:rsidR="00E424AA" w:rsidRPr="00BB2758" w:rsidRDefault="003000C6" w:rsidP="003000C6">
            <w:pPr>
              <w:spacing w:before="30" w:after="30"/>
              <w:cnfStyle w:val="100000000000" w:firstRow="1" w:lastRow="0" w:firstColumn="0" w:lastColumn="0" w:oddVBand="0" w:evenVBand="0" w:oddHBand="0" w:evenHBand="0" w:firstRowFirstColumn="0" w:firstRowLastColumn="0" w:lastRowFirstColumn="0" w:lastRowLastColumn="0"/>
            </w:pPr>
            <w:r w:rsidRPr="0011282A">
              <w:t xml:space="preserve">2026 </w:t>
            </w:r>
          </w:p>
        </w:tc>
      </w:tr>
      <w:tr w:rsidR="00E424AA" w:rsidRPr="0018305A" w14:paraId="0CB6E2CC" w14:textId="77777777" w:rsidTr="003000C6">
        <w:trPr>
          <w:trHeight w:val="300"/>
        </w:trPr>
        <w:tc>
          <w:tcPr>
            <w:cnfStyle w:val="001000000000" w:firstRow="0" w:lastRow="0" w:firstColumn="1" w:lastColumn="0" w:oddVBand="0" w:evenVBand="0" w:oddHBand="0" w:evenHBand="0" w:firstRowFirstColumn="0" w:firstRowLastColumn="0" w:lastRowFirstColumn="0" w:lastRowLastColumn="0"/>
            <w:tcW w:w="901" w:type="pct"/>
            <w:hideMark/>
          </w:tcPr>
          <w:p w14:paraId="3832E059" w14:textId="77777777" w:rsidR="00E424AA" w:rsidRPr="00BB2758" w:rsidRDefault="00E424AA" w:rsidP="003000C6">
            <w:pPr>
              <w:spacing w:before="30" w:after="30"/>
            </w:pPr>
            <w:r w:rsidRPr="00BB2758">
              <w:t>Amount ($) </w:t>
            </w:r>
          </w:p>
        </w:tc>
        <w:tc>
          <w:tcPr>
            <w:tcW w:w="586" w:type="pct"/>
            <w:hideMark/>
          </w:tcPr>
          <w:p w14:paraId="12D57A99" w14:textId="7BCE92B1" w:rsidR="00E424AA" w:rsidRPr="00BB2758" w:rsidRDefault="00E424AA" w:rsidP="003000C6">
            <w:pPr>
              <w:spacing w:before="30" w:after="30"/>
              <w:cnfStyle w:val="000000000000" w:firstRow="0" w:lastRow="0" w:firstColumn="0" w:lastColumn="0" w:oddVBand="0" w:evenVBand="0" w:oddHBand="0" w:evenHBand="0" w:firstRowFirstColumn="0" w:firstRowLastColumn="0" w:lastRowFirstColumn="0" w:lastRowLastColumn="0"/>
            </w:pPr>
            <w:r w:rsidRPr="00BB2758">
              <w:t>14.</w:t>
            </w:r>
            <w:r w:rsidR="00250047" w:rsidRPr="0011282A">
              <w:t>9</w:t>
            </w:r>
            <w:r w:rsidR="00C62A1D">
              <w:t>1</w:t>
            </w:r>
            <w:r w:rsidR="00250047">
              <w:t>m</w:t>
            </w:r>
            <w:r w:rsidR="00250047" w:rsidRPr="0011282A">
              <w:rPr>
                <w:rFonts w:cs="Arial"/>
              </w:rPr>
              <w:t> </w:t>
            </w:r>
            <w:r w:rsidR="00250047" w:rsidRPr="0011282A">
              <w:t xml:space="preserve"> </w:t>
            </w:r>
          </w:p>
        </w:tc>
        <w:tc>
          <w:tcPr>
            <w:tcW w:w="586" w:type="pct"/>
            <w:hideMark/>
          </w:tcPr>
          <w:p w14:paraId="22CCEA5E" w14:textId="7E1D6986" w:rsidR="00E424AA" w:rsidRPr="00BB2758" w:rsidRDefault="003000C6" w:rsidP="003000C6">
            <w:pPr>
              <w:spacing w:before="30" w:after="30"/>
              <w:cnfStyle w:val="000000000000" w:firstRow="0" w:lastRow="0" w:firstColumn="0" w:lastColumn="0" w:oddVBand="0" w:evenVBand="0" w:oddHBand="0" w:evenHBand="0" w:firstRowFirstColumn="0" w:firstRowLastColumn="0" w:lastRowFirstColumn="0" w:lastRowLastColumn="0"/>
            </w:pPr>
            <w:r w:rsidRPr="0011282A">
              <w:t>15.</w:t>
            </w:r>
            <w:r w:rsidR="00E12432" w:rsidRPr="0011282A">
              <w:t>8</w:t>
            </w:r>
            <w:r w:rsidR="00C62A1D">
              <w:t>5</w:t>
            </w:r>
            <w:r w:rsidR="00E12432">
              <w:t>m</w:t>
            </w:r>
            <w:r w:rsidR="00E12432" w:rsidRPr="0011282A">
              <w:t xml:space="preserve"> </w:t>
            </w:r>
          </w:p>
        </w:tc>
        <w:tc>
          <w:tcPr>
            <w:tcW w:w="586" w:type="pct"/>
            <w:hideMark/>
          </w:tcPr>
          <w:p w14:paraId="2A47E720" w14:textId="390BEC6F" w:rsidR="00E424AA" w:rsidRPr="00BB2758" w:rsidRDefault="003000C6" w:rsidP="003000C6">
            <w:pPr>
              <w:spacing w:before="30" w:after="30"/>
              <w:cnfStyle w:val="000000000000" w:firstRow="0" w:lastRow="0" w:firstColumn="0" w:lastColumn="0" w:oddVBand="0" w:evenVBand="0" w:oddHBand="0" w:evenHBand="0" w:firstRowFirstColumn="0" w:firstRowLastColumn="0" w:lastRowFirstColumn="0" w:lastRowLastColumn="0"/>
            </w:pPr>
            <w:r w:rsidRPr="0011282A">
              <w:t>14.</w:t>
            </w:r>
            <w:r w:rsidR="00E12432" w:rsidRPr="0011282A">
              <w:t>6</w:t>
            </w:r>
            <w:r w:rsidR="00C62A1D">
              <w:t>6</w:t>
            </w:r>
            <w:r w:rsidR="00E12432">
              <w:t>m</w:t>
            </w:r>
            <w:r w:rsidR="00E12432" w:rsidRPr="0011282A">
              <w:t xml:space="preserve"> </w:t>
            </w:r>
          </w:p>
        </w:tc>
        <w:tc>
          <w:tcPr>
            <w:tcW w:w="586" w:type="pct"/>
            <w:hideMark/>
          </w:tcPr>
          <w:p w14:paraId="237A7B56" w14:textId="39FD2ED9" w:rsidR="00E424AA" w:rsidRPr="00BB2758" w:rsidRDefault="003000C6" w:rsidP="003000C6">
            <w:pPr>
              <w:spacing w:before="30" w:after="30"/>
              <w:cnfStyle w:val="000000000000" w:firstRow="0" w:lastRow="0" w:firstColumn="0" w:lastColumn="0" w:oddVBand="0" w:evenVBand="0" w:oddHBand="0" w:evenHBand="0" w:firstRowFirstColumn="0" w:firstRowLastColumn="0" w:lastRowFirstColumn="0" w:lastRowLastColumn="0"/>
            </w:pPr>
            <w:r w:rsidRPr="0011282A">
              <w:t>17.</w:t>
            </w:r>
            <w:r w:rsidR="00E12432" w:rsidRPr="0011282A">
              <w:t>6</w:t>
            </w:r>
            <w:r w:rsidR="00C62A1D">
              <w:t>1</w:t>
            </w:r>
            <w:r w:rsidR="00E12432">
              <w:t>m</w:t>
            </w:r>
            <w:r w:rsidR="00E12432" w:rsidRPr="0011282A">
              <w:t xml:space="preserve"> </w:t>
            </w:r>
          </w:p>
        </w:tc>
        <w:tc>
          <w:tcPr>
            <w:tcW w:w="586" w:type="pct"/>
            <w:hideMark/>
          </w:tcPr>
          <w:p w14:paraId="2CDA5B60" w14:textId="73C73A56" w:rsidR="00E424AA" w:rsidRPr="00BB2758" w:rsidRDefault="003000C6" w:rsidP="003000C6">
            <w:pPr>
              <w:spacing w:before="30" w:after="30"/>
              <w:cnfStyle w:val="000000000000" w:firstRow="0" w:lastRow="0" w:firstColumn="0" w:lastColumn="0" w:oddVBand="0" w:evenVBand="0" w:oddHBand="0" w:evenHBand="0" w:firstRowFirstColumn="0" w:firstRowLastColumn="0" w:lastRowFirstColumn="0" w:lastRowLastColumn="0"/>
            </w:pPr>
            <w:r w:rsidRPr="0011282A">
              <w:t>19.</w:t>
            </w:r>
            <w:r w:rsidR="00E12432" w:rsidRPr="0011282A">
              <w:t>3</w:t>
            </w:r>
            <w:r w:rsidR="00C62A1D">
              <w:t>9</w:t>
            </w:r>
            <w:r w:rsidR="00E12432">
              <w:t>m</w:t>
            </w:r>
            <w:r w:rsidR="00E12432" w:rsidRPr="0011282A">
              <w:t xml:space="preserve"> </w:t>
            </w:r>
          </w:p>
        </w:tc>
        <w:tc>
          <w:tcPr>
            <w:tcW w:w="586" w:type="pct"/>
            <w:hideMark/>
          </w:tcPr>
          <w:p w14:paraId="4FF03024" w14:textId="3D15E290" w:rsidR="00E424AA" w:rsidRPr="00BB2758" w:rsidRDefault="003000C6" w:rsidP="003000C6">
            <w:pPr>
              <w:spacing w:before="30" w:after="30"/>
              <w:cnfStyle w:val="000000000000" w:firstRow="0" w:lastRow="0" w:firstColumn="0" w:lastColumn="0" w:oddVBand="0" w:evenVBand="0" w:oddHBand="0" w:evenHBand="0" w:firstRowFirstColumn="0" w:firstRowLastColumn="0" w:lastRowFirstColumn="0" w:lastRowLastColumn="0"/>
            </w:pPr>
            <w:r w:rsidRPr="0011282A">
              <w:t>22.</w:t>
            </w:r>
            <w:r w:rsidR="00E12432" w:rsidRPr="0011282A">
              <w:t>17</w:t>
            </w:r>
            <w:r w:rsidR="00E12432">
              <w:t>m</w:t>
            </w:r>
            <w:r w:rsidR="00E12432" w:rsidRPr="0011282A">
              <w:t xml:space="preserve"> </w:t>
            </w:r>
          </w:p>
        </w:tc>
        <w:tc>
          <w:tcPr>
            <w:tcW w:w="583" w:type="pct"/>
            <w:hideMark/>
          </w:tcPr>
          <w:p w14:paraId="4C73ACBE" w14:textId="0BA188C1" w:rsidR="00E424AA" w:rsidRPr="00BB2758" w:rsidRDefault="003000C6" w:rsidP="003000C6">
            <w:pPr>
              <w:spacing w:before="30" w:after="30"/>
              <w:cnfStyle w:val="000000000000" w:firstRow="0" w:lastRow="0" w:firstColumn="0" w:lastColumn="0" w:oddVBand="0" w:evenVBand="0" w:oddHBand="0" w:evenHBand="0" w:firstRowFirstColumn="0" w:firstRowLastColumn="0" w:lastRowFirstColumn="0" w:lastRowLastColumn="0"/>
            </w:pPr>
            <w:r w:rsidRPr="0011282A">
              <w:rPr>
                <w:rFonts w:cs="Arial"/>
              </w:rPr>
              <w:t> </w:t>
            </w:r>
            <w:r w:rsidRPr="0011282A">
              <w:t>23.</w:t>
            </w:r>
            <w:r w:rsidR="00E12432" w:rsidRPr="0011282A">
              <w:t>39</w:t>
            </w:r>
            <w:r w:rsidR="00E12432">
              <w:t>m</w:t>
            </w:r>
          </w:p>
        </w:tc>
      </w:tr>
    </w:tbl>
    <w:p w14:paraId="55F4F97A" w14:textId="55F332B9" w:rsidR="004828B4" w:rsidRDefault="004828B4" w:rsidP="004828B4">
      <w:pPr>
        <w:spacing w:before="120"/>
        <w:rPr>
          <w:b/>
        </w:rPr>
      </w:pPr>
    </w:p>
    <w:p w14:paraId="6DEDB913" w14:textId="77777777" w:rsidR="004828B4" w:rsidRDefault="004828B4">
      <w:pPr>
        <w:spacing w:before="120" w:after="120" w:line="240" w:lineRule="auto"/>
        <w:rPr>
          <w:b/>
        </w:rPr>
      </w:pPr>
      <w:r>
        <w:rPr>
          <w:b/>
        </w:rPr>
        <w:br w:type="page"/>
      </w:r>
    </w:p>
    <w:p w14:paraId="05232850" w14:textId="32139A9B" w:rsidR="00231526" w:rsidRPr="008B3AD6" w:rsidRDefault="00231526" w:rsidP="00381F53">
      <w:pPr>
        <w:spacing w:before="120"/>
        <w:rPr>
          <w:rFonts w:cs="Arial"/>
          <w:b/>
          <w:sz w:val="22"/>
          <w:szCs w:val="22"/>
        </w:rPr>
      </w:pPr>
      <w:r w:rsidRPr="00381F53">
        <w:rPr>
          <w:rFonts w:cs="Arial"/>
          <w:b/>
        </w:rPr>
        <w:lastRenderedPageBreak/>
        <w:t>Building and Construction Industry Scheme benefit payments</w:t>
      </w:r>
      <w:r w:rsidR="00E424AA" w:rsidRPr="3EE19C2C">
        <w:rPr>
          <w:rFonts w:cs="Arial"/>
          <w:sz w:val="22"/>
          <w:szCs w:val="22"/>
        </w:rPr>
        <w:t> </w:t>
      </w:r>
    </w:p>
    <w:p w14:paraId="14289930" w14:textId="1DE7CE5D" w:rsidR="00BA3D14" w:rsidRDefault="00BA3D14" w:rsidP="00BA3D14">
      <w:r>
        <w:t>There were 1,362 long service leave benefit payments made during the financial year (1,296 in 2024-25), representing a payment value of $18.7</w:t>
      </w:r>
      <w:r w:rsidR="00F97BEC">
        <w:t>9</w:t>
      </w:r>
      <w:r w:rsidR="00A60154">
        <w:t xml:space="preserve"> million</w:t>
      </w:r>
      <w:r>
        <w:t xml:space="preserve"> ($17.2</w:t>
      </w:r>
      <w:r w:rsidR="00F97BEC">
        <w:t>4</w:t>
      </w:r>
      <w:r w:rsidR="00860283">
        <w:t xml:space="preserve"> </w:t>
      </w:r>
      <w:r>
        <w:t>m</w:t>
      </w:r>
      <w:r w:rsidR="00C10543">
        <w:t>illion</w:t>
      </w:r>
      <w:r>
        <w:t xml:space="preserve"> in 2024-25). The Scheme has paid a total of $239.3</w:t>
      </w:r>
      <w:r w:rsidR="00F97BEC">
        <w:t>9</w:t>
      </w:r>
      <w:r w:rsidR="00A60154">
        <w:t xml:space="preserve"> million</w:t>
      </w:r>
      <w:r>
        <w:t xml:space="preserve"> in long service leave benefits since its commencement in 1981.  </w:t>
      </w:r>
    </w:p>
    <w:p w14:paraId="740DE446" w14:textId="0A2130C4" w:rsidR="00E424AA" w:rsidRPr="00BB2758" w:rsidRDefault="00E424AA" w:rsidP="006E0242">
      <w:r w:rsidRPr="00BB2758">
        <w:t xml:space="preserve">Overall, within the Building and Construction Industry </w:t>
      </w:r>
      <w:r w:rsidR="00CD4EA0">
        <w:t xml:space="preserve">Scheme </w:t>
      </w:r>
      <w:r w:rsidRPr="00BB2758">
        <w:t xml:space="preserve">the total number of payments made increased by </w:t>
      </w:r>
      <w:r w:rsidR="00BA3D14">
        <w:t>5.09</w:t>
      </w:r>
      <w:r w:rsidRPr="00BB2758">
        <w:t xml:space="preserve">% (after an increase of </w:t>
      </w:r>
      <w:r w:rsidR="00BA3D14">
        <w:t>0.70</w:t>
      </w:r>
      <w:r w:rsidRPr="00BB2758">
        <w:t xml:space="preserve">% in </w:t>
      </w:r>
      <w:r w:rsidR="00BA3D14">
        <w:t>2024-25</w:t>
      </w:r>
      <w:r w:rsidRPr="00BB2758">
        <w:t xml:space="preserve">), with </w:t>
      </w:r>
      <w:r w:rsidR="00BA3D14">
        <w:t>an</w:t>
      </w:r>
      <w:r w:rsidRPr="00BB2758">
        <w:t xml:space="preserve"> increase of </w:t>
      </w:r>
      <w:r w:rsidR="00BA3D14">
        <w:t>8.24</w:t>
      </w:r>
      <w:r w:rsidRPr="00BB2758">
        <w:t xml:space="preserve">% in workers accessing a period of long service leave upon reaching a full entitlement after 10 years </w:t>
      </w:r>
      <w:r w:rsidR="0070598D">
        <w:t xml:space="preserve">of </w:t>
      </w:r>
      <w:r w:rsidRPr="00BB2758">
        <w:t xml:space="preserve">service (increased by </w:t>
      </w:r>
      <w:r w:rsidR="00BA3D14">
        <w:t>1.07</w:t>
      </w:r>
      <w:r w:rsidRPr="00BB2758">
        <w:t xml:space="preserve">% in </w:t>
      </w:r>
      <w:r w:rsidR="00BA3D14">
        <w:t>2024-25).</w:t>
      </w:r>
    </w:p>
    <w:tbl>
      <w:tblPr>
        <w:tblStyle w:val="ACTLeavetable"/>
        <w:tblW w:w="10050" w:type="dxa"/>
        <w:tblLook w:val="04A0" w:firstRow="1" w:lastRow="0" w:firstColumn="1" w:lastColumn="0" w:noHBand="0" w:noVBand="1"/>
      </w:tblPr>
      <w:tblGrid>
        <w:gridCol w:w="6945"/>
        <w:gridCol w:w="1035"/>
        <w:gridCol w:w="1035"/>
        <w:gridCol w:w="1035"/>
      </w:tblGrid>
      <w:tr w:rsidR="00E424AA" w:rsidRPr="0018305A" w14:paraId="6ED6050B" w14:textId="77777777" w:rsidTr="007F1A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vAlign w:val="center"/>
            <w:hideMark/>
          </w:tcPr>
          <w:p w14:paraId="53FB48B7" w14:textId="77777777" w:rsidR="00E424AA" w:rsidRPr="00BB2758" w:rsidRDefault="00E424AA" w:rsidP="007F1AC1">
            <w:pPr>
              <w:spacing w:before="30" w:after="30"/>
            </w:pPr>
            <w:r w:rsidRPr="00BB2758">
              <w:t>Claims lodged </w:t>
            </w:r>
          </w:p>
        </w:tc>
        <w:tc>
          <w:tcPr>
            <w:tcW w:w="1035" w:type="dxa"/>
            <w:hideMark/>
          </w:tcPr>
          <w:p w14:paraId="6A2174E9" w14:textId="5633D64B" w:rsidR="00E424AA" w:rsidRPr="00BB2758" w:rsidRDefault="007F1AC1" w:rsidP="007F1AC1">
            <w:pPr>
              <w:spacing w:before="30" w:after="30"/>
              <w:cnfStyle w:val="100000000000" w:firstRow="1" w:lastRow="0" w:firstColumn="0" w:lastColumn="0" w:oddVBand="0" w:evenVBand="0" w:oddHBand="0" w:evenHBand="0" w:firstRowFirstColumn="0" w:firstRowLastColumn="0" w:lastRowFirstColumn="0" w:lastRowLastColumn="0"/>
            </w:pPr>
            <w:r w:rsidRPr="00BC394C">
              <w:t>2024</w:t>
            </w:r>
            <w:r w:rsidRPr="00BC394C">
              <w:rPr>
                <w:rFonts w:ascii="Arial" w:hAnsi="Arial" w:cs="Arial"/>
              </w:rPr>
              <w:t> </w:t>
            </w:r>
            <w:r w:rsidRPr="00BC394C">
              <w:t xml:space="preserve"> </w:t>
            </w:r>
          </w:p>
        </w:tc>
        <w:tc>
          <w:tcPr>
            <w:tcW w:w="1035" w:type="dxa"/>
            <w:hideMark/>
          </w:tcPr>
          <w:p w14:paraId="208F0615" w14:textId="270D7A95" w:rsidR="00E424AA" w:rsidRPr="00BB2758" w:rsidRDefault="007F1AC1" w:rsidP="007F1AC1">
            <w:pPr>
              <w:spacing w:before="30" w:after="30"/>
              <w:cnfStyle w:val="100000000000" w:firstRow="1" w:lastRow="0" w:firstColumn="0" w:lastColumn="0" w:oddVBand="0" w:evenVBand="0" w:oddHBand="0" w:evenHBand="0" w:firstRowFirstColumn="0" w:firstRowLastColumn="0" w:lastRowFirstColumn="0" w:lastRowLastColumn="0"/>
            </w:pPr>
            <w:r w:rsidRPr="00BC394C">
              <w:t xml:space="preserve">2025 </w:t>
            </w:r>
          </w:p>
        </w:tc>
        <w:tc>
          <w:tcPr>
            <w:tcW w:w="1035" w:type="dxa"/>
            <w:hideMark/>
          </w:tcPr>
          <w:p w14:paraId="29E91BA3" w14:textId="5267FD9A" w:rsidR="00E424AA" w:rsidRPr="00BB2758" w:rsidRDefault="007F1AC1" w:rsidP="007F1AC1">
            <w:pPr>
              <w:spacing w:before="30" w:after="30"/>
              <w:cnfStyle w:val="100000000000" w:firstRow="1" w:lastRow="0" w:firstColumn="0" w:lastColumn="0" w:oddVBand="0" w:evenVBand="0" w:oddHBand="0" w:evenHBand="0" w:firstRowFirstColumn="0" w:firstRowLastColumn="0" w:lastRowFirstColumn="0" w:lastRowLastColumn="0"/>
            </w:pPr>
            <w:r w:rsidRPr="00BC394C">
              <w:t xml:space="preserve">2026 </w:t>
            </w:r>
          </w:p>
        </w:tc>
      </w:tr>
      <w:tr w:rsidR="00E424AA" w:rsidRPr="0018305A" w14:paraId="0DE3A469" w14:textId="77777777" w:rsidTr="007F1AC1">
        <w:trPr>
          <w:trHeight w:val="300"/>
        </w:trPr>
        <w:tc>
          <w:tcPr>
            <w:cnfStyle w:val="001000000000" w:firstRow="0" w:lastRow="0" w:firstColumn="1" w:lastColumn="0" w:oddVBand="0" w:evenVBand="0" w:oddHBand="0" w:evenHBand="0" w:firstRowFirstColumn="0" w:firstRowLastColumn="0" w:lastRowFirstColumn="0" w:lastRowLastColumn="0"/>
            <w:tcW w:w="6945" w:type="dxa"/>
            <w:vAlign w:val="center"/>
            <w:hideMark/>
          </w:tcPr>
          <w:p w14:paraId="238C661E" w14:textId="77777777" w:rsidR="00E424AA" w:rsidRPr="00BB2758" w:rsidRDefault="00E424AA" w:rsidP="007F1AC1">
            <w:pPr>
              <w:spacing w:before="30" w:after="30"/>
            </w:pPr>
            <w:r w:rsidRPr="00BB2758">
              <w:t>Total claims lodged </w:t>
            </w:r>
          </w:p>
        </w:tc>
        <w:tc>
          <w:tcPr>
            <w:tcW w:w="1035" w:type="dxa"/>
            <w:hideMark/>
          </w:tcPr>
          <w:p w14:paraId="5C364EC2" w14:textId="08F44D46" w:rsidR="00E424AA" w:rsidRPr="00BB2758" w:rsidRDefault="00E424AA" w:rsidP="007F1AC1">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7F1AC1" w:rsidRPr="00BC394C">
              <w:t>406</w:t>
            </w:r>
            <w:r w:rsidR="007F1AC1" w:rsidRPr="00BC394C">
              <w:rPr>
                <w:rFonts w:cs="Arial"/>
              </w:rPr>
              <w:t> </w:t>
            </w:r>
            <w:r w:rsidR="007F1AC1" w:rsidRPr="00BC394C">
              <w:t xml:space="preserve"> </w:t>
            </w:r>
          </w:p>
        </w:tc>
        <w:tc>
          <w:tcPr>
            <w:tcW w:w="1035" w:type="dxa"/>
            <w:hideMark/>
          </w:tcPr>
          <w:p w14:paraId="2A785BB8" w14:textId="3A4BC7A1" w:rsidR="00E424AA" w:rsidRPr="00BB2758" w:rsidRDefault="00E424AA" w:rsidP="007F1AC1">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7F1AC1" w:rsidRPr="00BC394C">
              <w:t xml:space="preserve">355 </w:t>
            </w:r>
          </w:p>
        </w:tc>
        <w:tc>
          <w:tcPr>
            <w:tcW w:w="1035" w:type="dxa"/>
            <w:hideMark/>
          </w:tcPr>
          <w:p w14:paraId="66636341" w14:textId="22459943" w:rsidR="00E424AA" w:rsidRPr="00BB2758" w:rsidRDefault="00E424AA" w:rsidP="007F1AC1">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7F1AC1" w:rsidRPr="00BC394C">
              <w:t xml:space="preserve">422 </w:t>
            </w:r>
          </w:p>
        </w:tc>
      </w:tr>
      <w:tr w:rsidR="00E424AA" w:rsidRPr="0018305A" w14:paraId="56137943" w14:textId="77777777" w:rsidTr="007F1A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vAlign w:val="center"/>
            <w:hideMark/>
          </w:tcPr>
          <w:p w14:paraId="712703EB" w14:textId="77777777" w:rsidR="00E424AA" w:rsidRPr="00BB2758" w:rsidRDefault="00E424AA" w:rsidP="007F1AC1">
            <w:pPr>
              <w:spacing w:before="30" w:after="30"/>
            </w:pPr>
            <w:r w:rsidRPr="00BB2758">
              <w:t>Withdrawn, declined or duplicate </w:t>
            </w:r>
          </w:p>
        </w:tc>
        <w:tc>
          <w:tcPr>
            <w:tcW w:w="1035" w:type="dxa"/>
            <w:hideMark/>
          </w:tcPr>
          <w:p w14:paraId="00CE3BEC" w14:textId="47B483F4" w:rsidR="00E424AA" w:rsidRPr="00BB2758" w:rsidRDefault="007F1AC1" w:rsidP="007F1AC1">
            <w:pPr>
              <w:spacing w:before="30" w:after="30"/>
              <w:cnfStyle w:val="000000010000" w:firstRow="0" w:lastRow="0" w:firstColumn="0" w:lastColumn="0" w:oddVBand="0" w:evenVBand="0" w:oddHBand="0" w:evenHBand="1" w:firstRowFirstColumn="0" w:firstRowLastColumn="0" w:lastRowFirstColumn="0" w:lastRowLastColumn="0"/>
            </w:pPr>
            <w:r w:rsidRPr="00BC394C">
              <w:t xml:space="preserve">119 </w:t>
            </w:r>
          </w:p>
        </w:tc>
        <w:tc>
          <w:tcPr>
            <w:tcW w:w="1035" w:type="dxa"/>
            <w:hideMark/>
          </w:tcPr>
          <w:p w14:paraId="02DD6F6E" w14:textId="228B02FA" w:rsidR="00E424AA" w:rsidRPr="00BB2758" w:rsidRDefault="007F1AC1" w:rsidP="007F1AC1">
            <w:pPr>
              <w:spacing w:before="30" w:after="30"/>
              <w:cnfStyle w:val="000000010000" w:firstRow="0" w:lastRow="0" w:firstColumn="0" w:lastColumn="0" w:oddVBand="0" w:evenVBand="0" w:oddHBand="0" w:evenHBand="1" w:firstRowFirstColumn="0" w:firstRowLastColumn="0" w:lastRowFirstColumn="0" w:lastRowLastColumn="0"/>
            </w:pPr>
            <w:r w:rsidRPr="00BC394C">
              <w:t xml:space="preserve"> 59 </w:t>
            </w:r>
          </w:p>
        </w:tc>
        <w:tc>
          <w:tcPr>
            <w:tcW w:w="1035" w:type="dxa"/>
            <w:hideMark/>
          </w:tcPr>
          <w:p w14:paraId="04088643" w14:textId="2C9F041C" w:rsidR="00E424AA" w:rsidRPr="00BB2758" w:rsidRDefault="007F1AC1" w:rsidP="007F1AC1">
            <w:pPr>
              <w:spacing w:before="30" w:after="30"/>
              <w:cnfStyle w:val="000000010000" w:firstRow="0" w:lastRow="0" w:firstColumn="0" w:lastColumn="0" w:oddVBand="0" w:evenVBand="0" w:oddHBand="0" w:evenHBand="1" w:firstRowFirstColumn="0" w:firstRowLastColumn="0" w:lastRowFirstColumn="0" w:lastRowLastColumn="0"/>
            </w:pPr>
            <w:r w:rsidRPr="00BC394C">
              <w:t xml:space="preserve">60 </w:t>
            </w:r>
          </w:p>
        </w:tc>
      </w:tr>
      <w:tr w:rsidR="00E424AA" w:rsidRPr="0018305A" w14:paraId="0ACE75D1" w14:textId="77777777" w:rsidTr="007F1AC1">
        <w:trPr>
          <w:trHeight w:val="300"/>
        </w:trPr>
        <w:tc>
          <w:tcPr>
            <w:cnfStyle w:val="001000000000" w:firstRow="0" w:lastRow="0" w:firstColumn="1" w:lastColumn="0" w:oddVBand="0" w:evenVBand="0" w:oddHBand="0" w:evenHBand="0" w:firstRowFirstColumn="0" w:firstRowLastColumn="0" w:lastRowFirstColumn="0" w:lastRowLastColumn="0"/>
            <w:tcW w:w="6945" w:type="dxa"/>
            <w:vAlign w:val="center"/>
            <w:hideMark/>
          </w:tcPr>
          <w:p w14:paraId="441FE464" w14:textId="77777777" w:rsidR="00E424AA" w:rsidRPr="00BB2758" w:rsidRDefault="00E424AA" w:rsidP="007F1AC1">
            <w:pPr>
              <w:spacing w:before="30" w:after="30"/>
            </w:pPr>
            <w:r w:rsidRPr="00BB2758">
              <w:t>Number of payments made </w:t>
            </w:r>
          </w:p>
        </w:tc>
        <w:tc>
          <w:tcPr>
            <w:tcW w:w="1035" w:type="dxa"/>
            <w:hideMark/>
          </w:tcPr>
          <w:p w14:paraId="1689A407" w14:textId="610E9932" w:rsidR="00E424AA" w:rsidRPr="00BB2758" w:rsidRDefault="00E424AA" w:rsidP="007F1AC1">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7F1AC1" w:rsidRPr="00BC394C">
              <w:t xml:space="preserve">287 </w:t>
            </w:r>
          </w:p>
        </w:tc>
        <w:tc>
          <w:tcPr>
            <w:tcW w:w="1035" w:type="dxa"/>
            <w:hideMark/>
          </w:tcPr>
          <w:p w14:paraId="39664FE6" w14:textId="18B293A0" w:rsidR="00E424AA" w:rsidRPr="00BB2758" w:rsidRDefault="00E424AA" w:rsidP="007F1AC1">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7F1AC1" w:rsidRPr="00BC394C">
              <w:t xml:space="preserve">296 </w:t>
            </w:r>
          </w:p>
        </w:tc>
        <w:tc>
          <w:tcPr>
            <w:tcW w:w="1035" w:type="dxa"/>
            <w:hideMark/>
          </w:tcPr>
          <w:p w14:paraId="2513FC9A" w14:textId="51AA6090" w:rsidR="00E424AA" w:rsidRPr="00BB2758" w:rsidRDefault="00E424AA" w:rsidP="007F1AC1">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7F1AC1" w:rsidRPr="00BC394C">
              <w:t xml:space="preserve">362 </w:t>
            </w:r>
          </w:p>
        </w:tc>
      </w:tr>
      <w:tr w:rsidR="00E424AA" w:rsidRPr="0018305A" w14:paraId="52647632" w14:textId="77777777" w:rsidTr="007F1A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shd w:val="clear" w:color="auto" w:fill="081DA4" w:themeFill="accent1"/>
            <w:vAlign w:val="center"/>
            <w:hideMark/>
          </w:tcPr>
          <w:p w14:paraId="2D8A8C8C" w14:textId="77777777" w:rsidR="00E424AA" w:rsidRPr="000D72B7" w:rsidRDefault="00E424AA" w:rsidP="007F1AC1">
            <w:pPr>
              <w:spacing w:before="30" w:after="30"/>
              <w:rPr>
                <w:b/>
                <w:bCs/>
                <w:color w:val="FFFFFF" w:themeColor="background1"/>
              </w:rPr>
            </w:pPr>
            <w:r w:rsidRPr="000D72B7">
              <w:rPr>
                <w:b/>
                <w:bCs/>
                <w:color w:val="FFFFFF" w:themeColor="background1"/>
              </w:rPr>
              <w:t>Criteria under which claims were lodged </w:t>
            </w:r>
          </w:p>
        </w:tc>
        <w:tc>
          <w:tcPr>
            <w:tcW w:w="1035" w:type="dxa"/>
            <w:shd w:val="clear" w:color="auto" w:fill="081DA4" w:themeFill="accent1"/>
            <w:hideMark/>
          </w:tcPr>
          <w:p w14:paraId="373EA47C" w14:textId="1D3FE0CE" w:rsidR="00E424AA" w:rsidRPr="00412877" w:rsidRDefault="007F1AC1" w:rsidP="007F1AC1">
            <w:pPr>
              <w:spacing w:before="30" w:after="30"/>
              <w:cnfStyle w:val="000000010000" w:firstRow="0" w:lastRow="0" w:firstColumn="0" w:lastColumn="0" w:oddVBand="0" w:evenVBand="0" w:oddHBand="0" w:evenHBand="1" w:firstRowFirstColumn="0" w:firstRowLastColumn="0" w:lastRowFirstColumn="0" w:lastRowLastColumn="0"/>
              <w:rPr>
                <w:color w:val="FFFFFF" w:themeColor="background1"/>
              </w:rPr>
            </w:pPr>
            <w:r w:rsidRPr="00BC394C">
              <w:rPr>
                <w:rFonts w:cs="Arial"/>
              </w:rPr>
              <w:t> </w:t>
            </w:r>
            <w:r w:rsidRPr="00BC394C">
              <w:t xml:space="preserve"> </w:t>
            </w:r>
          </w:p>
        </w:tc>
        <w:tc>
          <w:tcPr>
            <w:tcW w:w="1035" w:type="dxa"/>
            <w:shd w:val="clear" w:color="auto" w:fill="081DA4" w:themeFill="accent1"/>
            <w:hideMark/>
          </w:tcPr>
          <w:p w14:paraId="793909C7" w14:textId="32506B07" w:rsidR="00E424AA" w:rsidRPr="00412877" w:rsidRDefault="007F1AC1" w:rsidP="007F1AC1">
            <w:pPr>
              <w:spacing w:before="30" w:after="30"/>
              <w:cnfStyle w:val="000000010000" w:firstRow="0" w:lastRow="0" w:firstColumn="0" w:lastColumn="0" w:oddVBand="0" w:evenVBand="0" w:oddHBand="0" w:evenHBand="1" w:firstRowFirstColumn="0" w:firstRowLastColumn="0" w:lastRowFirstColumn="0" w:lastRowLastColumn="0"/>
              <w:rPr>
                <w:color w:val="FFFFFF" w:themeColor="background1"/>
              </w:rPr>
            </w:pPr>
            <w:r w:rsidRPr="00BC394C">
              <w:rPr>
                <w:rFonts w:cs="Arial"/>
              </w:rPr>
              <w:t> </w:t>
            </w:r>
            <w:r w:rsidRPr="00BC394C">
              <w:t xml:space="preserve"> </w:t>
            </w:r>
          </w:p>
        </w:tc>
        <w:tc>
          <w:tcPr>
            <w:tcW w:w="1035" w:type="dxa"/>
            <w:shd w:val="clear" w:color="auto" w:fill="081DA4" w:themeFill="accent1"/>
            <w:hideMark/>
          </w:tcPr>
          <w:p w14:paraId="1C39043E" w14:textId="3224ACA8" w:rsidR="00E424AA" w:rsidRPr="00412877" w:rsidRDefault="007F1AC1" w:rsidP="007F1AC1">
            <w:pPr>
              <w:spacing w:before="30" w:after="30"/>
              <w:cnfStyle w:val="000000010000" w:firstRow="0" w:lastRow="0" w:firstColumn="0" w:lastColumn="0" w:oddVBand="0" w:evenVBand="0" w:oddHBand="0" w:evenHBand="1" w:firstRowFirstColumn="0" w:firstRowLastColumn="0" w:lastRowFirstColumn="0" w:lastRowLastColumn="0"/>
              <w:rPr>
                <w:color w:val="FFFFFF" w:themeColor="background1"/>
              </w:rPr>
            </w:pPr>
            <w:r w:rsidRPr="00BC394C">
              <w:rPr>
                <w:rFonts w:cs="Arial"/>
              </w:rPr>
              <w:t> </w:t>
            </w:r>
            <w:r w:rsidRPr="00BC394C">
              <w:t xml:space="preserve"> </w:t>
            </w:r>
          </w:p>
        </w:tc>
      </w:tr>
      <w:tr w:rsidR="00E424AA" w:rsidRPr="0018305A" w14:paraId="28B68BA8" w14:textId="77777777" w:rsidTr="007F1AC1">
        <w:trPr>
          <w:trHeight w:val="300"/>
        </w:trPr>
        <w:tc>
          <w:tcPr>
            <w:cnfStyle w:val="001000000000" w:firstRow="0" w:lastRow="0" w:firstColumn="1" w:lastColumn="0" w:oddVBand="0" w:evenVBand="0" w:oddHBand="0" w:evenHBand="0" w:firstRowFirstColumn="0" w:firstRowLastColumn="0" w:lastRowFirstColumn="0" w:lastRowLastColumn="0"/>
            <w:tcW w:w="6945" w:type="dxa"/>
            <w:vAlign w:val="center"/>
            <w:hideMark/>
          </w:tcPr>
          <w:p w14:paraId="7317346D" w14:textId="02E99B16" w:rsidR="00E424AA" w:rsidRPr="00BB2758" w:rsidRDefault="00E424AA" w:rsidP="007F1AC1">
            <w:pPr>
              <w:spacing w:before="30" w:after="30"/>
            </w:pPr>
            <w:r w:rsidRPr="00BB2758">
              <w:t>More than 10 years</w:t>
            </w:r>
            <w:r w:rsidR="000468B2">
              <w:t xml:space="preserve"> of</w:t>
            </w:r>
            <w:r w:rsidRPr="00BB2758">
              <w:t xml:space="preserve"> service </w:t>
            </w:r>
          </w:p>
        </w:tc>
        <w:tc>
          <w:tcPr>
            <w:tcW w:w="1035" w:type="dxa"/>
            <w:hideMark/>
          </w:tcPr>
          <w:p w14:paraId="5C4338C0" w14:textId="6219BD26" w:rsidR="00E424AA" w:rsidRPr="00BB2758" w:rsidRDefault="007F1AC1" w:rsidP="007F1AC1">
            <w:pPr>
              <w:spacing w:before="30" w:after="30"/>
              <w:cnfStyle w:val="000000000000" w:firstRow="0" w:lastRow="0" w:firstColumn="0" w:lastColumn="0" w:oddVBand="0" w:evenVBand="0" w:oddHBand="0" w:evenHBand="0" w:firstRowFirstColumn="0" w:firstRowLastColumn="0" w:lastRowFirstColumn="0" w:lastRowLastColumn="0"/>
            </w:pPr>
            <w:r w:rsidRPr="00BC394C">
              <w:t xml:space="preserve">937 </w:t>
            </w:r>
          </w:p>
        </w:tc>
        <w:tc>
          <w:tcPr>
            <w:tcW w:w="1035" w:type="dxa"/>
            <w:hideMark/>
          </w:tcPr>
          <w:p w14:paraId="19E50108" w14:textId="3D5357D1" w:rsidR="00E424AA" w:rsidRPr="00BB2758" w:rsidRDefault="007F1AC1" w:rsidP="007F1AC1">
            <w:pPr>
              <w:spacing w:before="30" w:after="30"/>
              <w:cnfStyle w:val="000000000000" w:firstRow="0" w:lastRow="0" w:firstColumn="0" w:lastColumn="0" w:oddVBand="0" w:evenVBand="0" w:oddHBand="0" w:evenHBand="0" w:firstRowFirstColumn="0" w:firstRowLastColumn="0" w:lastRowFirstColumn="0" w:lastRowLastColumn="0"/>
            </w:pPr>
            <w:r w:rsidRPr="00BC394C">
              <w:t>947</w:t>
            </w:r>
          </w:p>
        </w:tc>
        <w:tc>
          <w:tcPr>
            <w:tcW w:w="1035" w:type="dxa"/>
            <w:hideMark/>
          </w:tcPr>
          <w:p w14:paraId="01655D3D" w14:textId="2089D022" w:rsidR="00E424AA" w:rsidRPr="00BB2758" w:rsidRDefault="007F1AC1" w:rsidP="007F1AC1">
            <w:pPr>
              <w:spacing w:before="30" w:after="30"/>
              <w:cnfStyle w:val="000000000000" w:firstRow="0" w:lastRow="0" w:firstColumn="0" w:lastColumn="0" w:oddVBand="0" w:evenVBand="0" w:oddHBand="0" w:evenHBand="0" w:firstRowFirstColumn="0" w:firstRowLastColumn="0" w:lastRowFirstColumn="0" w:lastRowLastColumn="0"/>
            </w:pPr>
            <w:r w:rsidRPr="00BC394C">
              <w:t xml:space="preserve">1,025 </w:t>
            </w:r>
          </w:p>
        </w:tc>
      </w:tr>
      <w:tr w:rsidR="00E424AA" w:rsidRPr="0018305A" w14:paraId="6E02E810" w14:textId="77777777" w:rsidTr="007F1A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vAlign w:val="center"/>
            <w:hideMark/>
          </w:tcPr>
          <w:p w14:paraId="7E188318" w14:textId="4A3E1116" w:rsidR="00E424AA" w:rsidRPr="00BB2758" w:rsidRDefault="00E424AA" w:rsidP="007F1AC1">
            <w:pPr>
              <w:spacing w:before="30" w:after="30"/>
            </w:pPr>
            <w:r w:rsidRPr="00BB2758">
              <w:t>Pro-rata (5 years but less than 10 years of service) </w:t>
            </w:r>
          </w:p>
        </w:tc>
        <w:tc>
          <w:tcPr>
            <w:tcW w:w="1035" w:type="dxa"/>
            <w:hideMark/>
          </w:tcPr>
          <w:p w14:paraId="0D6A3DF9" w14:textId="13CDF48C" w:rsidR="00E424AA" w:rsidRPr="00BB2758" w:rsidRDefault="007F1AC1" w:rsidP="007F1AC1">
            <w:pPr>
              <w:spacing w:before="30" w:after="30"/>
              <w:cnfStyle w:val="000000010000" w:firstRow="0" w:lastRow="0" w:firstColumn="0" w:lastColumn="0" w:oddVBand="0" w:evenVBand="0" w:oddHBand="0" w:evenHBand="1" w:firstRowFirstColumn="0" w:firstRowLastColumn="0" w:lastRowFirstColumn="0" w:lastRowLastColumn="0"/>
            </w:pPr>
            <w:r w:rsidRPr="00BC394C">
              <w:t>145</w:t>
            </w:r>
          </w:p>
        </w:tc>
        <w:tc>
          <w:tcPr>
            <w:tcW w:w="1035" w:type="dxa"/>
            <w:hideMark/>
          </w:tcPr>
          <w:p w14:paraId="3FD83A45" w14:textId="1CF9B3CB" w:rsidR="00E424AA" w:rsidRPr="00BB2758" w:rsidRDefault="007F1AC1" w:rsidP="007F1AC1">
            <w:pPr>
              <w:spacing w:before="30" w:after="30"/>
              <w:cnfStyle w:val="000000010000" w:firstRow="0" w:lastRow="0" w:firstColumn="0" w:lastColumn="0" w:oddVBand="0" w:evenVBand="0" w:oddHBand="0" w:evenHBand="1" w:firstRowFirstColumn="0" w:firstRowLastColumn="0" w:lastRowFirstColumn="0" w:lastRowLastColumn="0"/>
            </w:pPr>
            <w:r w:rsidRPr="00BC394C">
              <w:t>135</w:t>
            </w:r>
          </w:p>
        </w:tc>
        <w:tc>
          <w:tcPr>
            <w:tcW w:w="1035" w:type="dxa"/>
            <w:hideMark/>
          </w:tcPr>
          <w:p w14:paraId="65404779" w14:textId="0ADDF8B9" w:rsidR="00E424AA" w:rsidRPr="00BB2758" w:rsidRDefault="007F1AC1" w:rsidP="007F1AC1">
            <w:pPr>
              <w:spacing w:before="30" w:after="30"/>
              <w:cnfStyle w:val="000000010000" w:firstRow="0" w:lastRow="0" w:firstColumn="0" w:lastColumn="0" w:oddVBand="0" w:evenVBand="0" w:oddHBand="0" w:evenHBand="1" w:firstRowFirstColumn="0" w:firstRowLastColumn="0" w:lastRowFirstColumn="0" w:lastRowLastColumn="0"/>
            </w:pPr>
            <w:r w:rsidRPr="00BC394C">
              <w:t xml:space="preserve">130 </w:t>
            </w:r>
          </w:p>
        </w:tc>
      </w:tr>
      <w:tr w:rsidR="00E424AA" w:rsidRPr="0018305A" w14:paraId="444046F1" w14:textId="77777777" w:rsidTr="007F1AC1">
        <w:trPr>
          <w:trHeight w:val="300"/>
        </w:trPr>
        <w:tc>
          <w:tcPr>
            <w:cnfStyle w:val="001000000000" w:firstRow="0" w:lastRow="0" w:firstColumn="1" w:lastColumn="0" w:oddVBand="0" w:evenVBand="0" w:oddHBand="0" w:evenHBand="0" w:firstRowFirstColumn="0" w:firstRowLastColumn="0" w:lastRowFirstColumn="0" w:lastRowLastColumn="0"/>
            <w:tcW w:w="6945" w:type="dxa"/>
            <w:vAlign w:val="center"/>
            <w:hideMark/>
          </w:tcPr>
          <w:p w14:paraId="008D985D" w14:textId="0365267A" w:rsidR="00E424AA" w:rsidRPr="00BB2758" w:rsidRDefault="00E424AA" w:rsidP="007F1AC1">
            <w:pPr>
              <w:spacing w:before="30" w:after="30"/>
            </w:pPr>
            <w:r w:rsidRPr="00BB2758">
              <w:t>Ill health, age retirement or death (55+ days service)</w:t>
            </w:r>
            <w:r w:rsidR="005B5AC9" w:rsidRPr="00BB2758">
              <w:t xml:space="preserve"> </w:t>
            </w:r>
          </w:p>
        </w:tc>
        <w:tc>
          <w:tcPr>
            <w:tcW w:w="1035" w:type="dxa"/>
            <w:hideMark/>
          </w:tcPr>
          <w:p w14:paraId="531AE6A6" w14:textId="67BCD093" w:rsidR="00E424AA" w:rsidRPr="00BB2758" w:rsidRDefault="007F1AC1" w:rsidP="007F1AC1">
            <w:pPr>
              <w:spacing w:before="30" w:after="30"/>
              <w:cnfStyle w:val="000000000000" w:firstRow="0" w:lastRow="0" w:firstColumn="0" w:lastColumn="0" w:oddVBand="0" w:evenVBand="0" w:oddHBand="0" w:evenHBand="0" w:firstRowFirstColumn="0" w:firstRowLastColumn="0" w:lastRowFirstColumn="0" w:lastRowLastColumn="0"/>
            </w:pPr>
            <w:r w:rsidRPr="00BC394C">
              <w:t>42</w:t>
            </w:r>
          </w:p>
        </w:tc>
        <w:tc>
          <w:tcPr>
            <w:tcW w:w="1035" w:type="dxa"/>
            <w:hideMark/>
          </w:tcPr>
          <w:p w14:paraId="4A0F575B" w14:textId="2F2A9B50" w:rsidR="00E424AA" w:rsidRPr="00BB2758" w:rsidRDefault="007F1AC1" w:rsidP="007F1AC1">
            <w:pPr>
              <w:spacing w:before="30" w:after="30"/>
              <w:cnfStyle w:val="000000000000" w:firstRow="0" w:lastRow="0" w:firstColumn="0" w:lastColumn="0" w:oddVBand="0" w:evenVBand="0" w:oddHBand="0" w:evenHBand="0" w:firstRowFirstColumn="0" w:firstRowLastColumn="0" w:lastRowFirstColumn="0" w:lastRowLastColumn="0"/>
            </w:pPr>
            <w:r w:rsidRPr="00BC394C">
              <w:t>49</w:t>
            </w:r>
          </w:p>
        </w:tc>
        <w:tc>
          <w:tcPr>
            <w:tcW w:w="1035" w:type="dxa"/>
            <w:hideMark/>
          </w:tcPr>
          <w:p w14:paraId="49971653" w14:textId="434692D3" w:rsidR="00E424AA" w:rsidRPr="00BB2758" w:rsidRDefault="007F1AC1" w:rsidP="007F1AC1">
            <w:pPr>
              <w:spacing w:before="30" w:after="30"/>
              <w:cnfStyle w:val="000000000000" w:firstRow="0" w:lastRow="0" w:firstColumn="0" w:lastColumn="0" w:oddVBand="0" w:evenVBand="0" w:oddHBand="0" w:evenHBand="0" w:firstRowFirstColumn="0" w:firstRowLastColumn="0" w:lastRowFirstColumn="0" w:lastRowLastColumn="0"/>
            </w:pPr>
            <w:r w:rsidRPr="00BC394C">
              <w:t xml:space="preserve">53 </w:t>
            </w:r>
          </w:p>
        </w:tc>
      </w:tr>
      <w:tr w:rsidR="00E424AA" w:rsidRPr="0018305A" w14:paraId="270FE481" w14:textId="77777777" w:rsidTr="007F1A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vAlign w:val="center"/>
            <w:hideMark/>
          </w:tcPr>
          <w:p w14:paraId="70EE6EC1" w14:textId="77777777" w:rsidR="00E424AA" w:rsidRPr="00BB2758" w:rsidRDefault="00E424AA" w:rsidP="007F1AC1">
            <w:pPr>
              <w:spacing w:before="30" w:after="30"/>
            </w:pPr>
            <w:r w:rsidRPr="00BB2758">
              <w:t>Early release entitlement </w:t>
            </w:r>
          </w:p>
        </w:tc>
        <w:tc>
          <w:tcPr>
            <w:tcW w:w="1035" w:type="dxa"/>
            <w:hideMark/>
          </w:tcPr>
          <w:p w14:paraId="061BCED7" w14:textId="6F104485" w:rsidR="00E424AA" w:rsidRPr="00BB2758" w:rsidRDefault="007F1AC1" w:rsidP="007F1AC1">
            <w:pPr>
              <w:spacing w:before="30" w:after="30"/>
              <w:cnfStyle w:val="000000010000" w:firstRow="0" w:lastRow="0" w:firstColumn="0" w:lastColumn="0" w:oddVBand="0" w:evenVBand="0" w:oddHBand="0" w:evenHBand="1" w:firstRowFirstColumn="0" w:firstRowLastColumn="0" w:lastRowFirstColumn="0" w:lastRowLastColumn="0"/>
            </w:pPr>
            <w:r w:rsidRPr="00BC394C">
              <w:t>0</w:t>
            </w:r>
          </w:p>
        </w:tc>
        <w:tc>
          <w:tcPr>
            <w:tcW w:w="1035" w:type="dxa"/>
            <w:hideMark/>
          </w:tcPr>
          <w:p w14:paraId="73DAB0CB" w14:textId="48F4D634" w:rsidR="00E424AA" w:rsidRPr="00BB2758" w:rsidRDefault="00E424AA" w:rsidP="007F1AC1">
            <w:pPr>
              <w:spacing w:before="30" w:after="30"/>
              <w:cnfStyle w:val="000000010000" w:firstRow="0" w:lastRow="0" w:firstColumn="0" w:lastColumn="0" w:oddVBand="0" w:evenVBand="0" w:oddHBand="0" w:evenHBand="1" w:firstRowFirstColumn="0" w:firstRowLastColumn="0" w:lastRowFirstColumn="0" w:lastRowLastColumn="0"/>
            </w:pPr>
            <w:r w:rsidRPr="00BB2758">
              <w:t>0</w:t>
            </w:r>
          </w:p>
        </w:tc>
        <w:tc>
          <w:tcPr>
            <w:tcW w:w="1035" w:type="dxa"/>
            <w:hideMark/>
          </w:tcPr>
          <w:p w14:paraId="27BD5FC6" w14:textId="344927FB" w:rsidR="00E424AA" w:rsidRPr="00BB2758" w:rsidRDefault="00E424AA" w:rsidP="007F1AC1">
            <w:pPr>
              <w:spacing w:before="30" w:after="30"/>
              <w:cnfStyle w:val="000000010000" w:firstRow="0" w:lastRow="0" w:firstColumn="0" w:lastColumn="0" w:oddVBand="0" w:evenVBand="0" w:oddHBand="0" w:evenHBand="1" w:firstRowFirstColumn="0" w:firstRowLastColumn="0" w:lastRowFirstColumn="0" w:lastRowLastColumn="0"/>
            </w:pPr>
            <w:r w:rsidRPr="00BB2758">
              <w:t>0</w:t>
            </w:r>
            <w:r w:rsidR="007F1AC1" w:rsidRPr="00BC394C">
              <w:t xml:space="preserve"> </w:t>
            </w:r>
          </w:p>
        </w:tc>
      </w:tr>
      <w:tr w:rsidR="00E424AA" w:rsidRPr="0018305A" w14:paraId="673440AA" w14:textId="77777777" w:rsidTr="007F1AC1">
        <w:trPr>
          <w:trHeight w:val="300"/>
        </w:trPr>
        <w:tc>
          <w:tcPr>
            <w:cnfStyle w:val="001000000000" w:firstRow="0" w:lastRow="0" w:firstColumn="1" w:lastColumn="0" w:oddVBand="0" w:evenVBand="0" w:oddHBand="0" w:evenHBand="0" w:firstRowFirstColumn="0" w:firstRowLastColumn="0" w:lastRowFirstColumn="0" w:lastRowLastColumn="0"/>
            <w:tcW w:w="6945" w:type="dxa"/>
            <w:vAlign w:val="center"/>
            <w:hideMark/>
          </w:tcPr>
          <w:p w14:paraId="27BDFDD5" w14:textId="380CD103" w:rsidR="00E424AA" w:rsidRPr="00BB2758" w:rsidRDefault="00064DF1" w:rsidP="007F1AC1">
            <w:pPr>
              <w:spacing w:before="30" w:after="30"/>
            </w:pPr>
            <w:r>
              <w:rPr>
                <w:lang w:val="en-GB"/>
              </w:rPr>
              <w:t>Reimbursements</w:t>
            </w:r>
            <w:r w:rsidR="00E424AA" w:rsidRPr="00BB2758">
              <w:rPr>
                <w:lang w:val="en-GB"/>
              </w:rPr>
              <w:t xml:space="preserve"> to employers who paid their workers under the </w:t>
            </w:r>
            <w:r w:rsidR="007F5301" w:rsidRPr="00BB2758">
              <w:rPr>
                <w:i/>
                <w:lang w:val="en-GB"/>
              </w:rPr>
              <w:t xml:space="preserve">Long Service Leave </w:t>
            </w:r>
            <w:r w:rsidR="00E424AA" w:rsidRPr="00BB2758">
              <w:rPr>
                <w:i/>
                <w:lang w:val="en-GB"/>
              </w:rPr>
              <w:t>Act 1976</w:t>
            </w:r>
            <w:r w:rsidR="00E424AA" w:rsidRPr="00BB2758">
              <w:rPr>
                <w:lang w:val="en-GB"/>
              </w:rPr>
              <w:t xml:space="preserve"> or </w:t>
            </w:r>
            <w:r w:rsidR="00BE266E">
              <w:rPr>
                <w:lang w:val="en-GB"/>
              </w:rPr>
              <w:t>a law prescribed by regulation</w:t>
            </w:r>
          </w:p>
        </w:tc>
        <w:tc>
          <w:tcPr>
            <w:tcW w:w="1035" w:type="dxa"/>
            <w:hideMark/>
          </w:tcPr>
          <w:p w14:paraId="3EBFAD78" w14:textId="1FD4EE0C" w:rsidR="00E424AA" w:rsidRPr="00BB2758" w:rsidRDefault="007F1AC1" w:rsidP="007F1AC1">
            <w:pPr>
              <w:spacing w:before="30" w:after="30"/>
              <w:cnfStyle w:val="000000000000" w:firstRow="0" w:lastRow="0" w:firstColumn="0" w:lastColumn="0" w:oddVBand="0" w:evenVBand="0" w:oddHBand="0" w:evenHBand="0" w:firstRowFirstColumn="0" w:firstRowLastColumn="0" w:lastRowFirstColumn="0" w:lastRowLastColumn="0"/>
            </w:pPr>
            <w:r w:rsidRPr="00BC394C">
              <w:t>10</w:t>
            </w:r>
          </w:p>
        </w:tc>
        <w:tc>
          <w:tcPr>
            <w:tcW w:w="1035" w:type="dxa"/>
            <w:hideMark/>
          </w:tcPr>
          <w:p w14:paraId="5A6EAD4F" w14:textId="5C85C983" w:rsidR="00E424AA" w:rsidRPr="00BB2758" w:rsidRDefault="007F1AC1" w:rsidP="007F1AC1">
            <w:pPr>
              <w:spacing w:before="30" w:after="30"/>
              <w:cnfStyle w:val="000000000000" w:firstRow="0" w:lastRow="0" w:firstColumn="0" w:lastColumn="0" w:oddVBand="0" w:evenVBand="0" w:oddHBand="0" w:evenHBand="0" w:firstRowFirstColumn="0" w:firstRowLastColumn="0" w:lastRowFirstColumn="0" w:lastRowLastColumn="0"/>
            </w:pPr>
            <w:r w:rsidRPr="00BC394C">
              <w:t>14</w:t>
            </w:r>
          </w:p>
        </w:tc>
        <w:tc>
          <w:tcPr>
            <w:tcW w:w="1035" w:type="dxa"/>
            <w:hideMark/>
          </w:tcPr>
          <w:p w14:paraId="62FB8BEF" w14:textId="2D5062F5" w:rsidR="00E424AA" w:rsidRPr="00BB2758" w:rsidRDefault="007F1AC1" w:rsidP="007F1AC1">
            <w:pPr>
              <w:spacing w:before="30" w:after="30"/>
              <w:cnfStyle w:val="000000000000" w:firstRow="0" w:lastRow="0" w:firstColumn="0" w:lastColumn="0" w:oddVBand="0" w:evenVBand="0" w:oddHBand="0" w:evenHBand="0" w:firstRowFirstColumn="0" w:firstRowLastColumn="0" w:lastRowFirstColumn="0" w:lastRowLastColumn="0"/>
            </w:pPr>
            <w:r w:rsidRPr="00BC394C">
              <w:t xml:space="preserve">10 </w:t>
            </w:r>
          </w:p>
        </w:tc>
      </w:tr>
      <w:tr w:rsidR="00E424AA" w:rsidRPr="0018305A" w14:paraId="056D9BAB" w14:textId="77777777" w:rsidTr="007F1A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vAlign w:val="center"/>
            <w:hideMark/>
          </w:tcPr>
          <w:p w14:paraId="5AA1A8BA" w14:textId="77777777" w:rsidR="00E424AA" w:rsidRPr="00BB2758" w:rsidRDefault="00E424AA" w:rsidP="007F1AC1">
            <w:pPr>
              <w:spacing w:before="30" w:after="30"/>
            </w:pPr>
            <w:r w:rsidRPr="00BB2758">
              <w:t>Payments to reciprocal state schemes </w:t>
            </w:r>
          </w:p>
        </w:tc>
        <w:tc>
          <w:tcPr>
            <w:tcW w:w="1035" w:type="dxa"/>
            <w:hideMark/>
          </w:tcPr>
          <w:p w14:paraId="06D2C1CA" w14:textId="5F5F10A9" w:rsidR="00E424AA" w:rsidRPr="00BB2758" w:rsidRDefault="007F1AC1" w:rsidP="007F1AC1">
            <w:pPr>
              <w:spacing w:before="30" w:after="30"/>
              <w:cnfStyle w:val="000000010000" w:firstRow="0" w:lastRow="0" w:firstColumn="0" w:lastColumn="0" w:oddVBand="0" w:evenVBand="0" w:oddHBand="0" w:evenHBand="1" w:firstRowFirstColumn="0" w:firstRowLastColumn="0" w:lastRowFirstColumn="0" w:lastRowLastColumn="0"/>
            </w:pPr>
            <w:r w:rsidRPr="00BC394C">
              <w:t>153</w:t>
            </w:r>
          </w:p>
        </w:tc>
        <w:tc>
          <w:tcPr>
            <w:tcW w:w="1035" w:type="dxa"/>
            <w:hideMark/>
          </w:tcPr>
          <w:p w14:paraId="5E610A2B" w14:textId="250FA1B6" w:rsidR="00E424AA" w:rsidRPr="00BB2758" w:rsidRDefault="007F1AC1" w:rsidP="007F1AC1">
            <w:pPr>
              <w:spacing w:before="30" w:after="30"/>
              <w:cnfStyle w:val="000000010000" w:firstRow="0" w:lastRow="0" w:firstColumn="0" w:lastColumn="0" w:oddVBand="0" w:evenVBand="0" w:oddHBand="0" w:evenHBand="1" w:firstRowFirstColumn="0" w:firstRowLastColumn="0" w:lastRowFirstColumn="0" w:lastRowLastColumn="0"/>
            </w:pPr>
            <w:r w:rsidRPr="00BC394C">
              <w:t>151</w:t>
            </w:r>
          </w:p>
        </w:tc>
        <w:tc>
          <w:tcPr>
            <w:tcW w:w="1035" w:type="dxa"/>
            <w:hideMark/>
          </w:tcPr>
          <w:p w14:paraId="4BCFFEC5" w14:textId="2A3A3176" w:rsidR="00E424AA" w:rsidRPr="00BB2758" w:rsidRDefault="007F1AC1" w:rsidP="007F1AC1">
            <w:pPr>
              <w:spacing w:before="30" w:after="30"/>
              <w:cnfStyle w:val="000000010000" w:firstRow="0" w:lastRow="0" w:firstColumn="0" w:lastColumn="0" w:oddVBand="0" w:evenVBand="0" w:oddHBand="0" w:evenHBand="1" w:firstRowFirstColumn="0" w:firstRowLastColumn="0" w:lastRowFirstColumn="0" w:lastRowLastColumn="0"/>
            </w:pPr>
            <w:r w:rsidRPr="00BC394C">
              <w:t xml:space="preserve">144 </w:t>
            </w:r>
          </w:p>
        </w:tc>
      </w:tr>
    </w:tbl>
    <w:p w14:paraId="45912763" w14:textId="77777777" w:rsidR="00FE298A" w:rsidRDefault="00FE298A" w:rsidP="00783C67">
      <w:pPr>
        <w:spacing w:after="240"/>
      </w:pPr>
    </w:p>
    <w:p w14:paraId="4E7B7378" w14:textId="7B8B57DA" w:rsidR="0065205C" w:rsidRPr="00BB2758" w:rsidRDefault="00B66B2E" w:rsidP="006E0242">
      <w:r>
        <w:rPr>
          <w:noProof/>
        </w:rPr>
        <w:drawing>
          <wp:inline distT="0" distB="0" distL="0" distR="0" wp14:anchorId="7C509F7F" wp14:editId="481ECDAA">
            <wp:extent cx="6410960" cy="2403475"/>
            <wp:effectExtent l="0" t="0" r="8890" b="0"/>
            <wp:docPr id="275314172" name="Picture 9" descr="Decorative testimonial graphic featuring a quote from a worker in the Building and Construction Industry Scheme. The graphic includes the testimonial text, a small profile image and the name Adam, identified as an Electrician, and a larger photograph of a worker carrying out electrical installation work. The photograph is overlaid with ACT Leave's green dynamic track swirl design.&#10;&#10;The testimonial reads: “You know it’s going to be there, and you can choose what you do with it. Knowing your entitlement travels with you gives you freedom, and it makes the industry a better place to build a long term career.”&#10;&#10;The graphic is included to provide a worker perspective on the benefits of portable long service leave and to support the report's visual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314172" name="Picture 9" descr="Decorative testimonial graphic featuring a quote from a worker in the Building and Construction Industry Scheme. The graphic includes the testimonial text, a small profile image and the name Adam, identified as an Electrician, and a larger photograph of a worker carrying out electrical installation work. The photograph is overlaid with ACT Leave's green dynamic track swirl design.&#10;&#10;The testimonial reads: “You know it’s going to be there, and you can choose what you do with it. Knowing your entitlement travels with you gives you freedom, and it makes the industry a better place to build a long term career.”&#10;&#10;The graphic is included to provide a worker perspective on the benefits of portable long service leave and to support the report's visual presentation."/>
                    <pic:cNvPicPr/>
                  </pic:nvPicPr>
                  <pic:blipFill>
                    <a:blip r:embed="rId41"/>
                    <a:stretch>
                      <a:fillRect/>
                    </a:stretch>
                  </pic:blipFill>
                  <pic:spPr>
                    <a:xfrm>
                      <a:off x="0" y="0"/>
                      <a:ext cx="6410960" cy="2403475"/>
                    </a:xfrm>
                    <a:prstGeom prst="rect">
                      <a:avLst/>
                    </a:prstGeom>
                  </pic:spPr>
                </pic:pic>
              </a:graphicData>
            </a:graphic>
          </wp:inline>
        </w:drawing>
      </w:r>
    </w:p>
    <w:p w14:paraId="0EB2ECCD" w14:textId="77777777" w:rsidR="00C51E64" w:rsidRPr="00BB2758" w:rsidRDefault="00C51E64" w:rsidP="00CF17D1"/>
    <w:p w14:paraId="679A8257" w14:textId="77777777" w:rsidR="00673C99" w:rsidRDefault="00673C99">
      <w:pPr>
        <w:spacing w:before="120" w:after="120" w:line="240" w:lineRule="auto"/>
        <w:rPr>
          <w:rFonts w:ascii="Arial" w:eastAsiaTheme="majorEastAsia" w:hAnsi="Arial" w:cs="Arial"/>
          <w:b/>
          <w:iCs/>
          <w:lang w:val="en-AU" w:eastAsia="en-US"/>
        </w:rPr>
      </w:pPr>
      <w:r>
        <w:rPr>
          <w:rFonts w:cs="Arial"/>
        </w:rPr>
        <w:br w:type="page"/>
      </w:r>
    </w:p>
    <w:p w14:paraId="00FA0D09" w14:textId="1528954B" w:rsidR="00AF6FDD" w:rsidRPr="00BB2758" w:rsidRDefault="00AF6FDD" w:rsidP="00D13891">
      <w:pPr>
        <w:pStyle w:val="Heading4"/>
        <w:rPr>
          <w:rFonts w:cs="Arial"/>
        </w:rPr>
      </w:pPr>
      <w:r w:rsidRPr="00BB2758">
        <w:rPr>
          <w:rFonts w:cs="Arial"/>
        </w:rPr>
        <w:lastRenderedPageBreak/>
        <w:t xml:space="preserve">Services Industry Scheme employer and </w:t>
      </w:r>
      <w:r w:rsidR="008610DB">
        <w:rPr>
          <w:rFonts w:cs="Arial"/>
        </w:rPr>
        <w:t>worker</w:t>
      </w:r>
      <w:r w:rsidRPr="00BB2758">
        <w:rPr>
          <w:rFonts w:cs="Arial"/>
        </w:rPr>
        <w:t xml:space="preserve"> statistics </w:t>
      </w:r>
    </w:p>
    <w:p w14:paraId="31A404F7" w14:textId="375F77D5" w:rsidR="0040203A" w:rsidRDefault="00D14630" w:rsidP="003506AA">
      <w:r>
        <w:t>E</w:t>
      </w:r>
      <w:r w:rsidR="0040203A" w:rsidRPr="0040203A">
        <w:t xml:space="preserve">mployers in the Contract Cleaning </w:t>
      </w:r>
      <w:r w:rsidR="009A081E">
        <w:t>I</w:t>
      </w:r>
      <w:r w:rsidR="0040203A" w:rsidRPr="0040203A">
        <w:t xml:space="preserve">ndustry </w:t>
      </w:r>
      <w:r w:rsidR="001220BB">
        <w:t xml:space="preserve">Scheme </w:t>
      </w:r>
      <w:r w:rsidR="0040203A" w:rsidRPr="0040203A">
        <w:t xml:space="preserve">transitioned into the new </w:t>
      </w:r>
      <w:r w:rsidR="00AD175A">
        <w:t xml:space="preserve">Services Industry </w:t>
      </w:r>
      <w:r w:rsidR="0019123B">
        <w:t>S</w:t>
      </w:r>
      <w:r w:rsidR="0040203A" w:rsidRPr="0040203A">
        <w:t>cheme</w:t>
      </w:r>
      <w:r w:rsidR="0019123B">
        <w:t xml:space="preserve"> </w:t>
      </w:r>
      <w:r w:rsidR="0019123B" w:rsidRPr="0040203A">
        <w:t>on 1 April 2025</w:t>
      </w:r>
      <w:r w:rsidR="0040203A" w:rsidRPr="0040203A">
        <w:t xml:space="preserve">. </w:t>
      </w:r>
      <w:r w:rsidR="000E4ACB">
        <w:t xml:space="preserve">The new </w:t>
      </w:r>
      <w:r w:rsidR="0040203A" w:rsidRPr="0040203A">
        <w:t xml:space="preserve">industries covered by the Services Industry Scheme will not </w:t>
      </w:r>
      <w:r w:rsidR="00403820">
        <w:t>commence in th</w:t>
      </w:r>
      <w:r w:rsidR="00D16C4B">
        <w:t>e scheme</w:t>
      </w:r>
      <w:r w:rsidR="0040203A" w:rsidRPr="0040203A">
        <w:t xml:space="preserve"> until 1 January 2027. Accordingly, the 2025-26 financial year data remains comparable with previous years, as it includes only </w:t>
      </w:r>
      <w:r w:rsidR="00993997">
        <w:t>contract cleaning industry</w:t>
      </w:r>
      <w:r w:rsidR="001220BB">
        <w:t xml:space="preserve"> </w:t>
      </w:r>
      <w:r w:rsidR="0040203A" w:rsidRPr="0040203A">
        <w:t>employers and workers.</w:t>
      </w:r>
    </w:p>
    <w:p w14:paraId="18E79754" w14:textId="4660E7F3" w:rsidR="00AF6FDD" w:rsidRPr="00BB2758" w:rsidRDefault="00AF6FDD" w:rsidP="006E0242">
      <w:r w:rsidRPr="00BB2758">
        <w:t xml:space="preserve">The overall number of registered active workers in the Services Industry Scheme increased by </w:t>
      </w:r>
      <w:r w:rsidR="003506AA">
        <w:t>1.64</w:t>
      </w:r>
      <w:r w:rsidRPr="00BB2758">
        <w:t xml:space="preserve">% during the reporting period. </w:t>
      </w:r>
      <w:r w:rsidR="00686551" w:rsidRPr="00BB2758">
        <w:t xml:space="preserve">There was </w:t>
      </w:r>
      <w:r w:rsidR="00686551">
        <w:t>a decrease of 2.38</w:t>
      </w:r>
      <w:r w:rsidR="00686551" w:rsidRPr="00BB2758">
        <w:t xml:space="preserve">% in the number of employers registered in the scheme </w:t>
      </w:r>
      <w:r w:rsidR="00686551">
        <w:t xml:space="preserve">compared to the </w:t>
      </w:r>
      <w:r w:rsidR="00686551" w:rsidRPr="00BB2758">
        <w:t>previous financial year.</w:t>
      </w:r>
      <w:r w:rsidR="000F332D">
        <w:t xml:space="preserve"> </w:t>
      </w:r>
      <w:r w:rsidR="00BC3504">
        <w:t xml:space="preserve">Registration </w:t>
      </w:r>
      <w:r w:rsidR="001C5080">
        <w:t xml:space="preserve">figures do not include employers </w:t>
      </w:r>
      <w:r w:rsidR="00E14795">
        <w:t xml:space="preserve">from the new industries </w:t>
      </w:r>
      <w:r w:rsidR="00BC10B0">
        <w:t>that have pre-registered, as t</w:t>
      </w:r>
      <w:r w:rsidR="008A008F">
        <w:t xml:space="preserve">hey </w:t>
      </w:r>
      <w:r w:rsidR="008B1235">
        <w:t>are</w:t>
      </w:r>
      <w:r w:rsidR="008A008F">
        <w:t xml:space="preserve"> </w:t>
      </w:r>
      <w:r w:rsidR="009A6430">
        <w:t xml:space="preserve">not covered by the </w:t>
      </w:r>
      <w:r w:rsidR="008A008F">
        <w:t xml:space="preserve">scheme </w:t>
      </w:r>
      <w:r w:rsidR="001C5080">
        <w:t xml:space="preserve">until </w:t>
      </w:r>
      <w:r w:rsidR="006708BD">
        <w:t xml:space="preserve">the new industries enter the Services Industry Scheme on </w:t>
      </w:r>
      <w:r w:rsidR="001C5080">
        <w:t>1 January 2027</w:t>
      </w:r>
      <w:r w:rsidR="00C26205">
        <w:t>.</w:t>
      </w:r>
      <w:r w:rsidR="003506AA">
        <w:t xml:space="preserve"> </w:t>
      </w:r>
      <w:r w:rsidR="00A30D8B">
        <w:t xml:space="preserve">The total number of deregistered workers in the </w:t>
      </w:r>
      <w:r w:rsidR="005D3989">
        <w:t>Contract Cleaning/</w:t>
      </w:r>
      <w:r w:rsidR="00A30D8B">
        <w:t>Services Industry since the scheme commenced in 20</w:t>
      </w:r>
      <w:r w:rsidR="009F3BD3">
        <w:t>0</w:t>
      </w:r>
      <w:r w:rsidR="00A30D8B">
        <w:t xml:space="preserve">0 is </w:t>
      </w:r>
      <w:r w:rsidR="009F3BD3">
        <w:t>23,809</w:t>
      </w:r>
      <w:r w:rsidR="00A30D8B">
        <w:t>.</w:t>
      </w:r>
    </w:p>
    <w:p w14:paraId="67AC8D4E" w14:textId="7F45D9A8" w:rsidR="00AF6FDD" w:rsidRPr="00BB2758" w:rsidRDefault="00AF6FDD" w:rsidP="006E0242">
      <w:r w:rsidRPr="00BB2758">
        <w:t xml:space="preserve">Figure 3. Services Industry </w:t>
      </w:r>
      <w:r w:rsidR="001220BB">
        <w:t>Scheme</w:t>
      </w:r>
      <w:r w:rsidRPr="00BB2758">
        <w:t xml:space="preserve"> employer and </w:t>
      </w:r>
      <w:r w:rsidR="008610DB">
        <w:t>worker</w:t>
      </w:r>
      <w:r w:rsidRPr="00BB2758">
        <w:t xml:space="preserve"> registration statistics</w:t>
      </w:r>
    </w:p>
    <w:p w14:paraId="61B5EA79" w14:textId="3D74D0EA" w:rsidR="00AF6FDD" w:rsidRDefault="00AF6FDD" w:rsidP="006E0242">
      <w:pPr>
        <w:rPr>
          <w:b/>
          <w:bCs/>
        </w:rPr>
      </w:pPr>
      <w:r w:rsidRPr="00BB2758">
        <w:t xml:space="preserve"> </w:t>
      </w:r>
      <w:r w:rsidR="00945181">
        <w:rPr>
          <w:noProof/>
        </w:rPr>
        <w:drawing>
          <wp:inline distT="0" distB="0" distL="0" distR="0" wp14:anchorId="796A132A" wp14:editId="6EBD57D6">
            <wp:extent cx="6334125" cy="3733165"/>
            <wp:effectExtent l="0" t="0" r="0" b="635"/>
            <wp:docPr id="1292416606" name="Chart 1" descr="Bar graph showing participation in the Services Industry Scheme from 2024 to 2026. The number of registered employers increased from 153 in 2024 to 168 in 2025, before decreasing slightly to 164 in 2026. Active workers increased each year, from 7,214 in 2024 to 7,703 in 2025 and 7,829 in 2026. Inactive workers also increased gradually, from 1,095 in 2024 to 1,166 in 2026. Overall, the graph shows growth in active worker participation over the three-year period, with registered employer numbers remaining relatively stable and inactive workers increasing steadily.">
              <a:extLst xmlns:a="http://schemas.openxmlformats.org/drawingml/2006/main">
                <a:ext uri="{FF2B5EF4-FFF2-40B4-BE49-F238E27FC236}">
                  <a16:creationId xmlns:a16="http://schemas.microsoft.com/office/drawing/2014/main" id="{DCFF4A71-6C48-4611-ABBE-C04C30C627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AF11327" w14:textId="6DD67C95" w:rsidR="00AF6FDD" w:rsidRPr="00BB2758" w:rsidRDefault="00AF6FDD" w:rsidP="006E0242">
      <w:r w:rsidRPr="00BB2758">
        <w:t xml:space="preserve">Image description: Figure 3 is a bar graph that measures the number of registered employers, active </w:t>
      </w:r>
      <w:r w:rsidR="007C1D4B">
        <w:t>workers</w:t>
      </w:r>
      <w:r w:rsidRPr="00BB2758">
        <w:t xml:space="preserve">, </w:t>
      </w:r>
      <w:r w:rsidR="00D80A6F" w:rsidRPr="00BB2758">
        <w:t xml:space="preserve">and </w:t>
      </w:r>
      <w:r w:rsidRPr="00BB2758">
        <w:t xml:space="preserve">inactive </w:t>
      </w:r>
      <w:r w:rsidR="007C1D4B">
        <w:t>workers</w:t>
      </w:r>
      <w:r w:rsidRPr="00BB2758">
        <w:t xml:space="preserve"> each year from </w:t>
      </w:r>
      <w:r w:rsidR="00AD175A">
        <w:t>2024</w:t>
      </w:r>
      <w:r w:rsidRPr="00BB2758">
        <w:t xml:space="preserve"> to </w:t>
      </w:r>
      <w:r w:rsidR="00AD175A">
        <w:t>2026</w:t>
      </w:r>
      <w:r w:rsidRPr="00BB2758">
        <w:t xml:space="preserve"> in the Services Industry </w:t>
      </w:r>
      <w:r w:rsidR="00254C26">
        <w:t>S</w:t>
      </w:r>
      <w:r w:rsidRPr="00BB2758">
        <w:t>cheme</w:t>
      </w:r>
      <w:r w:rsidR="009F3BD3">
        <w:t xml:space="preserve">. </w:t>
      </w:r>
      <w:r w:rsidRPr="00BB2758">
        <w:t>The data is summarised in the following table: </w:t>
      </w:r>
    </w:p>
    <w:tbl>
      <w:tblPr>
        <w:tblStyle w:val="ACTLeavetable"/>
        <w:tblW w:w="10050" w:type="dxa"/>
        <w:tblLook w:val="04A0" w:firstRow="1" w:lastRow="0" w:firstColumn="1" w:lastColumn="0" w:noHBand="0" w:noVBand="1"/>
      </w:tblPr>
      <w:tblGrid>
        <w:gridCol w:w="4560"/>
        <w:gridCol w:w="1830"/>
        <w:gridCol w:w="1830"/>
        <w:gridCol w:w="1830"/>
      </w:tblGrid>
      <w:tr w:rsidR="00AF6FDD" w:rsidRPr="0018305A" w14:paraId="2F593733" w14:textId="77777777" w:rsidTr="00CF0B5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60" w:type="dxa"/>
            <w:hideMark/>
          </w:tcPr>
          <w:p w14:paraId="2D7887ED" w14:textId="77777777" w:rsidR="00AF6FDD" w:rsidRPr="00BB2758" w:rsidRDefault="00AF6FDD" w:rsidP="00CF0B57">
            <w:pPr>
              <w:spacing w:before="30" w:after="30"/>
            </w:pPr>
            <w:r w:rsidRPr="00BB2758">
              <w:t> </w:t>
            </w:r>
          </w:p>
        </w:tc>
        <w:tc>
          <w:tcPr>
            <w:tcW w:w="1830" w:type="dxa"/>
            <w:hideMark/>
          </w:tcPr>
          <w:p w14:paraId="040350E4" w14:textId="5DE86506" w:rsidR="00AF6FDD" w:rsidRPr="00BB2758" w:rsidRDefault="00CF0B57" w:rsidP="00CF0B57">
            <w:pPr>
              <w:spacing w:before="30" w:after="30"/>
              <w:cnfStyle w:val="100000000000" w:firstRow="1" w:lastRow="0" w:firstColumn="0" w:lastColumn="0" w:oddVBand="0" w:evenVBand="0" w:oddHBand="0" w:evenHBand="0" w:firstRowFirstColumn="0" w:firstRowLastColumn="0" w:lastRowFirstColumn="0" w:lastRowLastColumn="0"/>
            </w:pPr>
            <w:r w:rsidRPr="00D42326">
              <w:t xml:space="preserve">2024 </w:t>
            </w:r>
          </w:p>
        </w:tc>
        <w:tc>
          <w:tcPr>
            <w:tcW w:w="1830" w:type="dxa"/>
            <w:hideMark/>
          </w:tcPr>
          <w:p w14:paraId="0E42DA60" w14:textId="239FF277" w:rsidR="00AF6FDD" w:rsidRPr="00BB2758" w:rsidRDefault="00CF0B57" w:rsidP="00CF0B57">
            <w:pPr>
              <w:spacing w:before="30" w:after="30"/>
              <w:cnfStyle w:val="100000000000" w:firstRow="1" w:lastRow="0" w:firstColumn="0" w:lastColumn="0" w:oddVBand="0" w:evenVBand="0" w:oddHBand="0" w:evenHBand="0" w:firstRowFirstColumn="0" w:firstRowLastColumn="0" w:lastRowFirstColumn="0" w:lastRowLastColumn="0"/>
            </w:pPr>
            <w:r w:rsidRPr="00D42326">
              <w:t xml:space="preserve">2025 </w:t>
            </w:r>
          </w:p>
        </w:tc>
        <w:tc>
          <w:tcPr>
            <w:tcW w:w="1830" w:type="dxa"/>
            <w:hideMark/>
          </w:tcPr>
          <w:p w14:paraId="35C05A69" w14:textId="19AB7B8F" w:rsidR="00AF6FDD" w:rsidRPr="00BB2758" w:rsidRDefault="00CF0B57" w:rsidP="00CF0B57">
            <w:pPr>
              <w:spacing w:before="30" w:after="30"/>
              <w:cnfStyle w:val="100000000000" w:firstRow="1" w:lastRow="0" w:firstColumn="0" w:lastColumn="0" w:oddVBand="0" w:evenVBand="0" w:oddHBand="0" w:evenHBand="0" w:firstRowFirstColumn="0" w:firstRowLastColumn="0" w:lastRowFirstColumn="0" w:lastRowLastColumn="0"/>
            </w:pPr>
            <w:r w:rsidRPr="00D42326">
              <w:t xml:space="preserve">2026 </w:t>
            </w:r>
          </w:p>
        </w:tc>
      </w:tr>
      <w:tr w:rsidR="00AF6FDD" w:rsidRPr="0018305A" w14:paraId="53AE1E42" w14:textId="77777777" w:rsidTr="00CF0B57">
        <w:trPr>
          <w:trHeight w:val="300"/>
        </w:trPr>
        <w:tc>
          <w:tcPr>
            <w:cnfStyle w:val="001000000000" w:firstRow="0" w:lastRow="0" w:firstColumn="1" w:lastColumn="0" w:oddVBand="0" w:evenVBand="0" w:oddHBand="0" w:evenHBand="0" w:firstRowFirstColumn="0" w:firstRowLastColumn="0" w:lastRowFirstColumn="0" w:lastRowLastColumn="0"/>
            <w:tcW w:w="4560" w:type="dxa"/>
            <w:hideMark/>
          </w:tcPr>
          <w:p w14:paraId="0CA77D31" w14:textId="073E83B0" w:rsidR="00AF6FDD" w:rsidRPr="00BB2758" w:rsidRDefault="00AF6FDD" w:rsidP="00CF0B57">
            <w:pPr>
              <w:spacing w:before="30" w:after="30"/>
            </w:pPr>
            <w:r w:rsidRPr="00BB2758">
              <w:t xml:space="preserve">Registered </w:t>
            </w:r>
            <w:r w:rsidR="001220BB">
              <w:t>e</w:t>
            </w:r>
            <w:r w:rsidRPr="00BB2758">
              <w:t>mployers </w:t>
            </w:r>
          </w:p>
        </w:tc>
        <w:tc>
          <w:tcPr>
            <w:tcW w:w="1830" w:type="dxa"/>
            <w:hideMark/>
          </w:tcPr>
          <w:p w14:paraId="107A763A" w14:textId="0E6890F0" w:rsidR="00AF6FDD" w:rsidRPr="00BB2758" w:rsidRDefault="00CF0B57" w:rsidP="00CF0B57">
            <w:pPr>
              <w:spacing w:before="30" w:after="30"/>
              <w:cnfStyle w:val="000000000000" w:firstRow="0" w:lastRow="0" w:firstColumn="0" w:lastColumn="0" w:oddVBand="0" w:evenVBand="0" w:oddHBand="0" w:evenHBand="0" w:firstRowFirstColumn="0" w:firstRowLastColumn="0" w:lastRowFirstColumn="0" w:lastRowLastColumn="0"/>
            </w:pPr>
            <w:r w:rsidRPr="00D42326">
              <w:t>153</w:t>
            </w:r>
            <w:r w:rsidRPr="00D42326">
              <w:rPr>
                <w:rFonts w:cs="Arial"/>
              </w:rPr>
              <w:t> </w:t>
            </w:r>
            <w:r w:rsidRPr="00D42326">
              <w:t xml:space="preserve"> </w:t>
            </w:r>
          </w:p>
        </w:tc>
        <w:tc>
          <w:tcPr>
            <w:tcW w:w="1830" w:type="dxa"/>
            <w:hideMark/>
          </w:tcPr>
          <w:p w14:paraId="4516561A" w14:textId="25E3CFAB" w:rsidR="00AF6FDD" w:rsidRPr="00BB2758" w:rsidRDefault="00CF0B57" w:rsidP="00CF0B57">
            <w:pPr>
              <w:spacing w:before="30" w:after="30"/>
              <w:cnfStyle w:val="000000000000" w:firstRow="0" w:lastRow="0" w:firstColumn="0" w:lastColumn="0" w:oddVBand="0" w:evenVBand="0" w:oddHBand="0" w:evenHBand="0" w:firstRowFirstColumn="0" w:firstRowLastColumn="0" w:lastRowFirstColumn="0" w:lastRowLastColumn="0"/>
            </w:pPr>
            <w:r w:rsidRPr="00D42326">
              <w:t>168</w:t>
            </w:r>
          </w:p>
        </w:tc>
        <w:tc>
          <w:tcPr>
            <w:tcW w:w="1830" w:type="dxa"/>
            <w:hideMark/>
          </w:tcPr>
          <w:p w14:paraId="04F204C8" w14:textId="09D8C456" w:rsidR="00AF6FDD" w:rsidRPr="00BB2758" w:rsidRDefault="00CF0B57" w:rsidP="00CF0B57">
            <w:pPr>
              <w:spacing w:before="30" w:after="30"/>
              <w:cnfStyle w:val="000000000000" w:firstRow="0" w:lastRow="0" w:firstColumn="0" w:lastColumn="0" w:oddVBand="0" w:evenVBand="0" w:oddHBand="0" w:evenHBand="0" w:firstRowFirstColumn="0" w:firstRowLastColumn="0" w:lastRowFirstColumn="0" w:lastRowLastColumn="0"/>
            </w:pPr>
            <w:r w:rsidRPr="00D42326">
              <w:t>164</w:t>
            </w:r>
          </w:p>
        </w:tc>
      </w:tr>
      <w:tr w:rsidR="00AF6FDD" w:rsidRPr="0018305A" w14:paraId="1C4B03B1" w14:textId="77777777" w:rsidTr="00CF0B5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60" w:type="dxa"/>
            <w:hideMark/>
          </w:tcPr>
          <w:p w14:paraId="59CBAD41" w14:textId="5BE633E8" w:rsidR="00AF6FDD" w:rsidRPr="00BB2758" w:rsidRDefault="00AF6FDD" w:rsidP="00CF0B57">
            <w:pPr>
              <w:spacing w:before="30" w:after="30"/>
            </w:pPr>
            <w:r w:rsidRPr="00BB2758">
              <w:t xml:space="preserve">Active </w:t>
            </w:r>
            <w:r w:rsidR="001220BB">
              <w:t>w</w:t>
            </w:r>
            <w:r w:rsidR="00540972">
              <w:t>orkers</w:t>
            </w:r>
            <w:r w:rsidRPr="00BB2758">
              <w:t> </w:t>
            </w:r>
          </w:p>
        </w:tc>
        <w:tc>
          <w:tcPr>
            <w:tcW w:w="1830" w:type="dxa"/>
            <w:hideMark/>
          </w:tcPr>
          <w:p w14:paraId="75C28A4D" w14:textId="3D2E0294" w:rsidR="00AF6FDD" w:rsidRPr="00BB2758" w:rsidRDefault="00CF0B57" w:rsidP="00CF0B57">
            <w:pPr>
              <w:spacing w:before="30" w:after="30"/>
              <w:cnfStyle w:val="000000010000" w:firstRow="0" w:lastRow="0" w:firstColumn="0" w:lastColumn="0" w:oddVBand="0" w:evenVBand="0" w:oddHBand="0" w:evenHBand="1" w:firstRowFirstColumn="0" w:firstRowLastColumn="0" w:lastRowFirstColumn="0" w:lastRowLastColumn="0"/>
            </w:pPr>
            <w:r w:rsidRPr="00D42326">
              <w:t>7,214</w:t>
            </w:r>
          </w:p>
        </w:tc>
        <w:tc>
          <w:tcPr>
            <w:tcW w:w="1830" w:type="dxa"/>
            <w:hideMark/>
          </w:tcPr>
          <w:p w14:paraId="43409732" w14:textId="2A38F532" w:rsidR="00AF6FDD" w:rsidRPr="00BB2758" w:rsidRDefault="00AF6FDD" w:rsidP="00CF0B57">
            <w:pPr>
              <w:spacing w:before="30" w:after="30"/>
              <w:cnfStyle w:val="000000010000" w:firstRow="0" w:lastRow="0" w:firstColumn="0" w:lastColumn="0" w:oddVBand="0" w:evenVBand="0" w:oddHBand="0" w:evenHBand="1" w:firstRowFirstColumn="0" w:firstRowLastColumn="0" w:lastRowFirstColumn="0" w:lastRowLastColumn="0"/>
            </w:pPr>
            <w:r w:rsidRPr="00BB2758">
              <w:t>7,</w:t>
            </w:r>
            <w:r w:rsidR="00CF0B57" w:rsidRPr="00D42326">
              <w:t>703</w:t>
            </w:r>
          </w:p>
        </w:tc>
        <w:tc>
          <w:tcPr>
            <w:tcW w:w="1830" w:type="dxa"/>
            <w:hideMark/>
          </w:tcPr>
          <w:p w14:paraId="1FF5304F" w14:textId="72880AA6" w:rsidR="00AF6FDD" w:rsidRPr="00BB2758" w:rsidRDefault="00AF6FDD" w:rsidP="00CF0B57">
            <w:pPr>
              <w:spacing w:before="30" w:after="30"/>
              <w:cnfStyle w:val="000000010000" w:firstRow="0" w:lastRow="0" w:firstColumn="0" w:lastColumn="0" w:oddVBand="0" w:evenVBand="0" w:oddHBand="0" w:evenHBand="1" w:firstRowFirstColumn="0" w:firstRowLastColumn="0" w:lastRowFirstColumn="0" w:lastRowLastColumn="0"/>
            </w:pPr>
            <w:r w:rsidRPr="00BB2758">
              <w:t>7,</w:t>
            </w:r>
            <w:r w:rsidR="00CF0B57" w:rsidRPr="00D42326">
              <w:t>829</w:t>
            </w:r>
          </w:p>
        </w:tc>
      </w:tr>
      <w:tr w:rsidR="00AF6FDD" w:rsidRPr="0018305A" w14:paraId="00CFCDC9" w14:textId="77777777" w:rsidTr="00CF0B57">
        <w:trPr>
          <w:trHeight w:val="300"/>
        </w:trPr>
        <w:tc>
          <w:tcPr>
            <w:cnfStyle w:val="001000000000" w:firstRow="0" w:lastRow="0" w:firstColumn="1" w:lastColumn="0" w:oddVBand="0" w:evenVBand="0" w:oddHBand="0" w:evenHBand="0" w:firstRowFirstColumn="0" w:firstRowLastColumn="0" w:lastRowFirstColumn="0" w:lastRowLastColumn="0"/>
            <w:tcW w:w="4560" w:type="dxa"/>
            <w:hideMark/>
          </w:tcPr>
          <w:p w14:paraId="04D97199" w14:textId="38366568" w:rsidR="00AF6FDD" w:rsidRPr="00BB2758" w:rsidRDefault="00AF6FDD" w:rsidP="00CF0B57">
            <w:pPr>
              <w:spacing w:before="30" w:after="30"/>
            </w:pPr>
            <w:r w:rsidRPr="00BB2758">
              <w:t xml:space="preserve">Inactive </w:t>
            </w:r>
            <w:r w:rsidR="001220BB">
              <w:t>w</w:t>
            </w:r>
            <w:r w:rsidR="00540972">
              <w:t>orkers</w:t>
            </w:r>
            <w:r w:rsidRPr="00BB2758">
              <w:t> </w:t>
            </w:r>
          </w:p>
        </w:tc>
        <w:tc>
          <w:tcPr>
            <w:tcW w:w="1830" w:type="dxa"/>
            <w:hideMark/>
          </w:tcPr>
          <w:p w14:paraId="24E7BB52" w14:textId="66F6022F" w:rsidR="00AF6FDD" w:rsidRPr="00BB2758" w:rsidRDefault="00AF6FDD" w:rsidP="00CF0B57">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CF0B57" w:rsidRPr="00D42326">
              <w:t>095</w:t>
            </w:r>
          </w:p>
        </w:tc>
        <w:tc>
          <w:tcPr>
            <w:tcW w:w="1830" w:type="dxa"/>
            <w:hideMark/>
          </w:tcPr>
          <w:p w14:paraId="690A103A" w14:textId="5DA63D5B" w:rsidR="00AF6FDD" w:rsidRPr="00BB2758" w:rsidRDefault="00AF6FDD" w:rsidP="00CF0B57">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CF0B57" w:rsidRPr="00D42326">
              <w:t>118</w:t>
            </w:r>
          </w:p>
        </w:tc>
        <w:tc>
          <w:tcPr>
            <w:tcW w:w="1830" w:type="dxa"/>
            <w:hideMark/>
          </w:tcPr>
          <w:p w14:paraId="421D804C" w14:textId="27C81A19" w:rsidR="00AF6FDD" w:rsidRPr="00BB2758" w:rsidRDefault="00AF6FDD" w:rsidP="00CF0B57">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CF0B57" w:rsidRPr="00D42326">
              <w:t xml:space="preserve">166 </w:t>
            </w:r>
          </w:p>
        </w:tc>
      </w:tr>
    </w:tbl>
    <w:p w14:paraId="631648E9" w14:textId="7032C065" w:rsidR="00AF6FDD" w:rsidRPr="00BB2758" w:rsidRDefault="00AF6FDD" w:rsidP="006E0242">
      <w:r w:rsidRPr="00BB2758">
        <w:t> </w:t>
      </w:r>
    </w:p>
    <w:p w14:paraId="602D81F4" w14:textId="77777777" w:rsidR="00454B13" w:rsidRPr="00BB2758" w:rsidRDefault="00454B13" w:rsidP="006E0242"/>
    <w:p w14:paraId="56F1ED13" w14:textId="77777777" w:rsidR="0089702C" w:rsidRDefault="0089702C">
      <w:pPr>
        <w:spacing w:before="120" w:after="120" w:line="240" w:lineRule="auto"/>
        <w:rPr>
          <w:rFonts w:ascii="Arial" w:eastAsiaTheme="majorEastAsia" w:hAnsi="Arial" w:cs="Arial"/>
          <w:b/>
          <w:iCs/>
          <w:lang w:val="en-AU" w:eastAsia="en-US"/>
        </w:rPr>
      </w:pPr>
      <w:r>
        <w:rPr>
          <w:rFonts w:cs="Arial"/>
        </w:rPr>
        <w:br w:type="page"/>
      </w:r>
    </w:p>
    <w:p w14:paraId="68F80150" w14:textId="08E1BBE5" w:rsidR="00AF6FDD" w:rsidRPr="00BB2758" w:rsidRDefault="00AF6FDD" w:rsidP="00D13891">
      <w:pPr>
        <w:pStyle w:val="Heading4"/>
        <w:rPr>
          <w:rFonts w:cs="Arial"/>
        </w:rPr>
      </w:pPr>
      <w:r w:rsidRPr="00BB2758">
        <w:rPr>
          <w:rFonts w:cs="Arial"/>
        </w:rPr>
        <w:lastRenderedPageBreak/>
        <w:t>Services Industry Scheme levy contributions </w:t>
      </w:r>
    </w:p>
    <w:p w14:paraId="2844F863" w14:textId="4C09DB3B" w:rsidR="0024062B" w:rsidRDefault="0024062B" w:rsidP="00CF17D1">
      <w:r w:rsidRPr="0024062B">
        <w:t xml:space="preserve">In 2025-26, Services Industry </w:t>
      </w:r>
      <w:r w:rsidR="00C97702">
        <w:t xml:space="preserve">Scheme </w:t>
      </w:r>
      <w:r w:rsidRPr="0024062B">
        <w:t>employers paid a total of $1.5</w:t>
      </w:r>
      <w:r w:rsidR="00D82672">
        <w:t>8</w:t>
      </w:r>
      <w:r w:rsidR="00D05624">
        <w:t xml:space="preserve"> million</w:t>
      </w:r>
      <w:r w:rsidRPr="0024062B">
        <w:t xml:space="preserve"> in levy contributions (increased from $1.56</w:t>
      </w:r>
      <w:r w:rsidR="00D05624">
        <w:t xml:space="preserve"> million</w:t>
      </w:r>
      <w:r w:rsidRPr="0024062B">
        <w:t xml:space="preserve"> in 2024-25) based on a levy rate of 1.07% of </w:t>
      </w:r>
      <w:r w:rsidR="00E46867">
        <w:t>gross</w:t>
      </w:r>
      <w:r w:rsidR="00E46867" w:rsidRPr="0024062B">
        <w:t xml:space="preserve"> </w:t>
      </w:r>
      <w:r w:rsidRPr="0024062B">
        <w:t xml:space="preserve">ordinary </w:t>
      </w:r>
      <w:r w:rsidR="00E46867">
        <w:t>wages</w:t>
      </w:r>
      <w:r w:rsidRPr="0024062B">
        <w:t xml:space="preserve">. The increase in levy contributions paid this year can be attributed to the marginal increase in the number of </w:t>
      </w:r>
      <w:r w:rsidR="00E819DA">
        <w:t>a</w:t>
      </w:r>
      <w:r w:rsidRPr="0024062B">
        <w:t xml:space="preserve">ctive </w:t>
      </w:r>
      <w:r w:rsidR="00E819DA">
        <w:t>e</w:t>
      </w:r>
      <w:r w:rsidRPr="0024062B">
        <w:t>mployees. ACT Leave had budgeted $1.68</w:t>
      </w:r>
      <w:r w:rsidR="00371E92">
        <w:t xml:space="preserve"> million</w:t>
      </w:r>
      <w:r w:rsidRPr="0024062B">
        <w:t xml:space="preserve"> in contributions for the 2025-26 financial year.  </w:t>
      </w:r>
    </w:p>
    <w:p w14:paraId="62D8D264" w14:textId="59FB991F" w:rsidR="00AF6FDD" w:rsidRPr="00BB2758" w:rsidRDefault="00AF6FDD" w:rsidP="006E0242">
      <w:r w:rsidRPr="00BB2758">
        <w:t xml:space="preserve">Figure 4. Services Industry </w:t>
      </w:r>
      <w:r w:rsidR="00E819DA">
        <w:t>Scheme</w:t>
      </w:r>
      <w:r w:rsidRPr="00BB2758">
        <w:t xml:space="preserve"> levy contribution payments by employers </w:t>
      </w:r>
    </w:p>
    <w:p w14:paraId="330C2484" w14:textId="728E8BE7" w:rsidR="00AF6FDD" w:rsidRPr="0018305A" w:rsidRDefault="00AF6FDD" w:rsidP="006E0242">
      <w:r w:rsidRPr="00BB2758">
        <w:t xml:space="preserve"> </w:t>
      </w:r>
      <w:r w:rsidR="00F02239">
        <w:rPr>
          <w:noProof/>
        </w:rPr>
        <w:drawing>
          <wp:inline distT="0" distB="0" distL="0" distR="0" wp14:anchorId="6F3BFB65" wp14:editId="60AB2417">
            <wp:extent cx="6410960" cy="2790000"/>
            <wp:effectExtent l="0" t="0" r="8890" b="0"/>
            <wp:docPr id="1565159622" name="Chart 1" descr="Bar graph showing levy contributions paid by employers in the Services Industry Scheme from 2020 to 2026. Employer levy contributions remained relatively stable over the seven-year period, increasing overall from $1.316 million in 2020 to $1.577 million in 2026. Contributions were $1.301 million in 2021 and $1.273 million in 2022, before increasing to $1.427 million in 2023. Contributions then decreased slightly to $1.386 million in 2024 before rising to $1.560 million in 2025 and $1.577 million in 2026, the highest level recorded during the period. Overall, the graph shows modest growth in employer levy contributions, particularly since 2023.">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3E19BCA" w14:textId="41135623" w:rsidR="00AF6FDD" w:rsidRPr="00BB2758" w:rsidRDefault="00AF6FDD" w:rsidP="006E0242">
      <w:r w:rsidRPr="00BB2758">
        <w:t xml:space="preserve">Image description: Figure 4 is a bar graph that measures the levy contributions made by employers in the Services Industry Scheme over the last </w:t>
      </w:r>
      <w:r w:rsidR="00F14CC6">
        <w:t>7</w:t>
      </w:r>
      <w:r w:rsidRPr="00BB2758">
        <w:t xml:space="preserve"> years from </w:t>
      </w:r>
      <w:r w:rsidR="00220F8D">
        <w:t>2020</w:t>
      </w:r>
      <w:r w:rsidRPr="00BB2758">
        <w:t xml:space="preserve"> to </w:t>
      </w:r>
      <w:r w:rsidR="00220F8D">
        <w:t>2026</w:t>
      </w:r>
      <w:r w:rsidRPr="00BB2758">
        <w:t>. The data, measured in dollars, is summarised in the table below:</w:t>
      </w:r>
      <w:r w:rsidR="005B5AC9" w:rsidRPr="00BB2758">
        <w:t xml:space="preserve"> </w:t>
      </w:r>
    </w:p>
    <w:tbl>
      <w:tblPr>
        <w:tblStyle w:val="ACTLeavetable"/>
        <w:tblW w:w="10005" w:type="dxa"/>
        <w:tblLook w:val="04A0" w:firstRow="1" w:lastRow="0" w:firstColumn="1" w:lastColumn="0" w:noHBand="0" w:noVBand="1"/>
      </w:tblPr>
      <w:tblGrid>
        <w:gridCol w:w="1920"/>
        <w:gridCol w:w="1155"/>
        <w:gridCol w:w="1155"/>
        <w:gridCol w:w="1155"/>
        <w:gridCol w:w="1155"/>
        <w:gridCol w:w="1155"/>
        <w:gridCol w:w="1155"/>
        <w:gridCol w:w="1155"/>
      </w:tblGrid>
      <w:tr w:rsidR="00AF6FDD" w:rsidRPr="0018305A" w14:paraId="525F24D4" w14:textId="77777777" w:rsidTr="004A1F8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0" w:type="dxa"/>
            <w:hideMark/>
          </w:tcPr>
          <w:p w14:paraId="31228B4C" w14:textId="77777777" w:rsidR="00AF6FDD" w:rsidRPr="00BB2758" w:rsidRDefault="00AF6FDD" w:rsidP="004A1F84">
            <w:pPr>
              <w:spacing w:before="30" w:after="30"/>
            </w:pPr>
            <w:r w:rsidRPr="00BB2758">
              <w:t> </w:t>
            </w:r>
          </w:p>
        </w:tc>
        <w:tc>
          <w:tcPr>
            <w:tcW w:w="1155" w:type="dxa"/>
            <w:hideMark/>
          </w:tcPr>
          <w:p w14:paraId="1546A047" w14:textId="6429E167" w:rsidR="00AF6FDD" w:rsidRPr="00BB2758" w:rsidRDefault="004A1F84" w:rsidP="004A1F84">
            <w:pPr>
              <w:spacing w:before="30" w:after="30"/>
              <w:cnfStyle w:val="100000000000" w:firstRow="1" w:lastRow="0" w:firstColumn="0" w:lastColumn="0" w:oddVBand="0" w:evenVBand="0" w:oddHBand="0" w:evenHBand="0" w:firstRowFirstColumn="0" w:firstRowLastColumn="0" w:lastRowFirstColumn="0" w:lastRowLastColumn="0"/>
            </w:pPr>
            <w:r w:rsidRPr="00AD3043">
              <w:t>2020</w:t>
            </w:r>
            <w:r w:rsidRPr="00AD3043">
              <w:rPr>
                <w:rFonts w:ascii="Arial" w:hAnsi="Arial" w:cs="Arial"/>
              </w:rPr>
              <w:t> </w:t>
            </w:r>
            <w:r w:rsidRPr="00AD3043">
              <w:t xml:space="preserve"> </w:t>
            </w:r>
          </w:p>
        </w:tc>
        <w:tc>
          <w:tcPr>
            <w:tcW w:w="1155" w:type="dxa"/>
            <w:hideMark/>
          </w:tcPr>
          <w:p w14:paraId="517F8A13" w14:textId="167F8029" w:rsidR="00AF6FDD" w:rsidRPr="00BB2758" w:rsidRDefault="004A1F84" w:rsidP="004A1F84">
            <w:pPr>
              <w:spacing w:before="30" w:after="30"/>
              <w:cnfStyle w:val="100000000000" w:firstRow="1" w:lastRow="0" w:firstColumn="0" w:lastColumn="0" w:oddVBand="0" w:evenVBand="0" w:oddHBand="0" w:evenHBand="0" w:firstRowFirstColumn="0" w:firstRowLastColumn="0" w:lastRowFirstColumn="0" w:lastRowLastColumn="0"/>
            </w:pPr>
            <w:r w:rsidRPr="00AD3043">
              <w:t>2021</w:t>
            </w:r>
          </w:p>
        </w:tc>
        <w:tc>
          <w:tcPr>
            <w:tcW w:w="1155" w:type="dxa"/>
            <w:hideMark/>
          </w:tcPr>
          <w:p w14:paraId="24E0E348" w14:textId="0920605E" w:rsidR="00AF6FDD" w:rsidRPr="00BB2758" w:rsidRDefault="004A1F84" w:rsidP="004A1F84">
            <w:pPr>
              <w:spacing w:before="30" w:after="30"/>
              <w:cnfStyle w:val="100000000000" w:firstRow="1" w:lastRow="0" w:firstColumn="0" w:lastColumn="0" w:oddVBand="0" w:evenVBand="0" w:oddHBand="0" w:evenHBand="0" w:firstRowFirstColumn="0" w:firstRowLastColumn="0" w:lastRowFirstColumn="0" w:lastRowLastColumn="0"/>
            </w:pPr>
            <w:r w:rsidRPr="00AD3043">
              <w:t>2022</w:t>
            </w:r>
          </w:p>
        </w:tc>
        <w:tc>
          <w:tcPr>
            <w:tcW w:w="1155" w:type="dxa"/>
            <w:hideMark/>
          </w:tcPr>
          <w:p w14:paraId="627BF59B" w14:textId="1FE44695" w:rsidR="00AF6FDD" w:rsidRPr="00BB2758" w:rsidRDefault="004A1F84" w:rsidP="004A1F84">
            <w:pPr>
              <w:spacing w:before="30" w:after="30"/>
              <w:cnfStyle w:val="100000000000" w:firstRow="1" w:lastRow="0" w:firstColumn="0" w:lastColumn="0" w:oddVBand="0" w:evenVBand="0" w:oddHBand="0" w:evenHBand="0" w:firstRowFirstColumn="0" w:firstRowLastColumn="0" w:lastRowFirstColumn="0" w:lastRowLastColumn="0"/>
            </w:pPr>
            <w:r w:rsidRPr="00AD3043">
              <w:t>2023</w:t>
            </w:r>
          </w:p>
        </w:tc>
        <w:tc>
          <w:tcPr>
            <w:tcW w:w="1155" w:type="dxa"/>
            <w:hideMark/>
          </w:tcPr>
          <w:p w14:paraId="488A1AD8" w14:textId="78B34BBE" w:rsidR="00AF6FDD" w:rsidRPr="00BB2758" w:rsidRDefault="004A1F84" w:rsidP="004A1F84">
            <w:pPr>
              <w:spacing w:before="30" w:after="30"/>
              <w:cnfStyle w:val="100000000000" w:firstRow="1" w:lastRow="0" w:firstColumn="0" w:lastColumn="0" w:oddVBand="0" w:evenVBand="0" w:oddHBand="0" w:evenHBand="0" w:firstRowFirstColumn="0" w:firstRowLastColumn="0" w:lastRowFirstColumn="0" w:lastRowLastColumn="0"/>
            </w:pPr>
            <w:r w:rsidRPr="00AD3043">
              <w:t>2024</w:t>
            </w:r>
          </w:p>
        </w:tc>
        <w:tc>
          <w:tcPr>
            <w:tcW w:w="1155" w:type="dxa"/>
            <w:hideMark/>
          </w:tcPr>
          <w:p w14:paraId="75349AA5" w14:textId="35B223E4" w:rsidR="00AF6FDD" w:rsidRPr="00BB2758" w:rsidRDefault="004A1F84" w:rsidP="004A1F84">
            <w:pPr>
              <w:spacing w:before="30" w:after="30"/>
              <w:cnfStyle w:val="100000000000" w:firstRow="1" w:lastRow="0" w:firstColumn="0" w:lastColumn="0" w:oddVBand="0" w:evenVBand="0" w:oddHBand="0" w:evenHBand="0" w:firstRowFirstColumn="0" w:firstRowLastColumn="0" w:lastRowFirstColumn="0" w:lastRowLastColumn="0"/>
            </w:pPr>
            <w:r w:rsidRPr="00AD3043">
              <w:t>2025</w:t>
            </w:r>
          </w:p>
        </w:tc>
        <w:tc>
          <w:tcPr>
            <w:tcW w:w="1155" w:type="dxa"/>
            <w:hideMark/>
          </w:tcPr>
          <w:p w14:paraId="7E1DA566" w14:textId="3C1AA83D" w:rsidR="00AF6FDD" w:rsidRPr="00BB2758" w:rsidRDefault="004A1F84" w:rsidP="004A1F84">
            <w:pPr>
              <w:spacing w:before="30" w:after="30"/>
              <w:cnfStyle w:val="100000000000" w:firstRow="1" w:lastRow="0" w:firstColumn="0" w:lastColumn="0" w:oddVBand="0" w:evenVBand="0" w:oddHBand="0" w:evenHBand="0" w:firstRowFirstColumn="0" w:firstRowLastColumn="0" w:lastRowFirstColumn="0" w:lastRowLastColumn="0"/>
            </w:pPr>
            <w:r w:rsidRPr="00AD3043">
              <w:t>2026</w:t>
            </w:r>
          </w:p>
        </w:tc>
      </w:tr>
      <w:tr w:rsidR="00AF6FDD" w:rsidRPr="0018305A" w14:paraId="5E596CBB" w14:textId="77777777" w:rsidTr="004A1F84">
        <w:trPr>
          <w:trHeight w:val="300"/>
        </w:trPr>
        <w:tc>
          <w:tcPr>
            <w:cnfStyle w:val="001000000000" w:firstRow="0" w:lastRow="0" w:firstColumn="1" w:lastColumn="0" w:oddVBand="0" w:evenVBand="0" w:oddHBand="0" w:evenHBand="0" w:firstRowFirstColumn="0" w:firstRowLastColumn="0" w:lastRowFirstColumn="0" w:lastRowLastColumn="0"/>
            <w:tcW w:w="1920" w:type="dxa"/>
            <w:hideMark/>
          </w:tcPr>
          <w:p w14:paraId="2714ACB6" w14:textId="77777777" w:rsidR="00AF6FDD" w:rsidRPr="00BB2758" w:rsidRDefault="00AF6FDD" w:rsidP="004A1F84">
            <w:pPr>
              <w:spacing w:before="30" w:after="30"/>
            </w:pPr>
            <w:r w:rsidRPr="00BB2758">
              <w:t>Amount ($) </w:t>
            </w:r>
          </w:p>
        </w:tc>
        <w:tc>
          <w:tcPr>
            <w:tcW w:w="1155" w:type="dxa"/>
            <w:hideMark/>
          </w:tcPr>
          <w:p w14:paraId="5F3297D5" w14:textId="4E2E67FD" w:rsidR="00AF6FDD" w:rsidRPr="00BB2758" w:rsidRDefault="004A1F84" w:rsidP="004A1F84">
            <w:pPr>
              <w:spacing w:before="30" w:after="30"/>
              <w:cnfStyle w:val="000000000000" w:firstRow="0" w:lastRow="0" w:firstColumn="0" w:lastColumn="0" w:oddVBand="0" w:evenVBand="0" w:oddHBand="0" w:evenHBand="0" w:firstRowFirstColumn="0" w:firstRowLastColumn="0" w:lastRowFirstColumn="0" w:lastRowLastColumn="0"/>
            </w:pPr>
            <w:r w:rsidRPr="00AD3043">
              <w:t>1.3</w:t>
            </w:r>
            <w:r w:rsidR="00D82672">
              <w:t>2</w:t>
            </w:r>
            <w:r w:rsidR="00371E92">
              <w:t>m</w:t>
            </w:r>
            <w:r w:rsidRPr="00AD3043">
              <w:t xml:space="preserve"> </w:t>
            </w:r>
          </w:p>
        </w:tc>
        <w:tc>
          <w:tcPr>
            <w:tcW w:w="1155" w:type="dxa"/>
            <w:hideMark/>
          </w:tcPr>
          <w:p w14:paraId="32F7BECA" w14:textId="655824EE" w:rsidR="00AF6FDD" w:rsidRPr="00BB2758" w:rsidRDefault="00AF6FDD" w:rsidP="004A1F84">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4A1F84" w:rsidRPr="00AD3043">
              <w:t>30</w:t>
            </w:r>
            <w:r w:rsidR="00371E92">
              <w:t>m</w:t>
            </w:r>
            <w:r w:rsidR="004A1F84" w:rsidRPr="00AD3043">
              <w:t xml:space="preserve"> </w:t>
            </w:r>
          </w:p>
        </w:tc>
        <w:tc>
          <w:tcPr>
            <w:tcW w:w="1155" w:type="dxa"/>
            <w:hideMark/>
          </w:tcPr>
          <w:p w14:paraId="655F2140" w14:textId="018DBE5E" w:rsidR="00AF6FDD" w:rsidRPr="00BB2758" w:rsidRDefault="00AF6FDD" w:rsidP="004A1F84">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4A1F84" w:rsidRPr="00AD3043">
              <w:t>27</w:t>
            </w:r>
            <w:r w:rsidR="00371E92">
              <w:t>m</w:t>
            </w:r>
            <w:r w:rsidR="004A1F84" w:rsidRPr="00AD3043">
              <w:t xml:space="preserve"> </w:t>
            </w:r>
          </w:p>
        </w:tc>
        <w:tc>
          <w:tcPr>
            <w:tcW w:w="1155" w:type="dxa"/>
            <w:hideMark/>
          </w:tcPr>
          <w:p w14:paraId="0D8B743D" w14:textId="2BD38F93" w:rsidR="00AF6FDD" w:rsidRPr="00BB2758" w:rsidRDefault="00AF6FDD" w:rsidP="004A1F84">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4A1F84" w:rsidRPr="00AD3043">
              <w:t>4</w:t>
            </w:r>
            <w:r w:rsidR="00D82672">
              <w:t>3</w:t>
            </w:r>
            <w:r w:rsidR="00371E92">
              <w:t>m</w:t>
            </w:r>
            <w:r w:rsidR="004A1F84" w:rsidRPr="00AD3043">
              <w:t xml:space="preserve"> </w:t>
            </w:r>
          </w:p>
        </w:tc>
        <w:tc>
          <w:tcPr>
            <w:tcW w:w="1155" w:type="dxa"/>
            <w:hideMark/>
          </w:tcPr>
          <w:p w14:paraId="39F6EF6C" w14:textId="102FB555" w:rsidR="00AF6FDD" w:rsidRPr="00BB2758" w:rsidRDefault="00AF6FDD" w:rsidP="004A1F84">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4A1F84" w:rsidRPr="00AD3043">
              <w:t>3</w:t>
            </w:r>
            <w:r w:rsidR="00D82672">
              <w:t>9</w:t>
            </w:r>
            <w:r w:rsidR="00371E92">
              <w:t>m</w:t>
            </w:r>
            <w:r w:rsidR="004A1F84" w:rsidRPr="00AD3043">
              <w:t xml:space="preserve"> </w:t>
            </w:r>
          </w:p>
        </w:tc>
        <w:tc>
          <w:tcPr>
            <w:tcW w:w="1155" w:type="dxa"/>
            <w:hideMark/>
          </w:tcPr>
          <w:p w14:paraId="514BE2F7" w14:textId="114C2B10" w:rsidR="00AF6FDD" w:rsidRPr="00BB2758" w:rsidRDefault="00AF6FDD" w:rsidP="004A1F84">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4A1F84" w:rsidRPr="00AD3043">
              <w:t>56</w:t>
            </w:r>
            <w:r w:rsidR="00371E92">
              <w:t>m</w:t>
            </w:r>
            <w:r w:rsidR="004A1F84" w:rsidRPr="00AD3043">
              <w:t xml:space="preserve"> </w:t>
            </w:r>
          </w:p>
        </w:tc>
        <w:tc>
          <w:tcPr>
            <w:tcW w:w="1155" w:type="dxa"/>
            <w:hideMark/>
          </w:tcPr>
          <w:p w14:paraId="674F0AAD" w14:textId="102FF959" w:rsidR="00AF6FDD" w:rsidRPr="00BB2758" w:rsidRDefault="00AF6FDD" w:rsidP="004A1F84">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4A1F84" w:rsidRPr="00AD3043">
              <w:t>5</w:t>
            </w:r>
            <w:r w:rsidR="00D82672">
              <w:t>8</w:t>
            </w:r>
            <w:r w:rsidR="00371E92">
              <w:t>m</w:t>
            </w:r>
            <w:r w:rsidR="004A1F84" w:rsidRPr="00AD3043">
              <w:t xml:space="preserve"> </w:t>
            </w:r>
          </w:p>
        </w:tc>
      </w:tr>
    </w:tbl>
    <w:p w14:paraId="0E291EC4" w14:textId="77777777" w:rsidR="00673C99" w:rsidRPr="00BB2758" w:rsidRDefault="00673C99" w:rsidP="006E0242"/>
    <w:p w14:paraId="13DA7944" w14:textId="77777777" w:rsidR="00673C99" w:rsidRPr="00BB2758" w:rsidRDefault="00673C99" w:rsidP="006E0242">
      <w:r w:rsidRPr="00BB2758">
        <w:br w:type="page"/>
      </w:r>
    </w:p>
    <w:p w14:paraId="3A7C0528" w14:textId="5A8DFAC7" w:rsidR="00AF6FDD" w:rsidRPr="00BB2758" w:rsidRDefault="00AF6FDD" w:rsidP="00084344">
      <w:pPr>
        <w:pStyle w:val="Heading4"/>
        <w:rPr>
          <w:rFonts w:cs="Arial"/>
          <w:lang w:val="en-US"/>
        </w:rPr>
      </w:pPr>
      <w:r w:rsidRPr="3EE19C2C">
        <w:rPr>
          <w:rFonts w:cs="Arial"/>
          <w:lang w:val="en-US"/>
        </w:rPr>
        <w:lastRenderedPageBreak/>
        <w:t>Services Industry Scheme benefit payments </w:t>
      </w:r>
    </w:p>
    <w:p w14:paraId="1B0D535D" w14:textId="3A70861C" w:rsidR="00E1377C" w:rsidRDefault="00E1377C" w:rsidP="00E1377C">
      <w:r>
        <w:t>There were 329 long service leave benefit payments made during the financial year (281 in 2024-25), representing a payment value of $2.03</w:t>
      </w:r>
      <w:r w:rsidR="00AD6F59">
        <w:t xml:space="preserve"> million</w:t>
      </w:r>
      <w:r>
        <w:t xml:space="preserve"> ($1.57</w:t>
      </w:r>
      <w:r w:rsidR="00AD6F59">
        <w:t xml:space="preserve"> million</w:t>
      </w:r>
      <w:r>
        <w:t xml:space="preserve"> in 2024-25).  </w:t>
      </w:r>
    </w:p>
    <w:p w14:paraId="745F044F" w14:textId="2E972679" w:rsidR="00AF6FDD" w:rsidRPr="00BB2758" w:rsidRDefault="00AF6FDD" w:rsidP="006E0242">
      <w:r w:rsidRPr="00BB2758">
        <w:t xml:space="preserve">Overall, within the Services Industry </w:t>
      </w:r>
      <w:r w:rsidR="00CF5FC2">
        <w:t xml:space="preserve">Scheme </w:t>
      </w:r>
      <w:r w:rsidRPr="00BB2758">
        <w:t xml:space="preserve">the total number of payments increased by </w:t>
      </w:r>
      <w:r w:rsidR="00E1377C">
        <w:t xml:space="preserve">17.08% (increase of </w:t>
      </w:r>
      <w:r w:rsidRPr="00BB2758">
        <w:t xml:space="preserve">33.17% </w:t>
      </w:r>
      <w:r w:rsidR="00E1377C">
        <w:t>in 2024-25</w:t>
      </w:r>
      <w:r w:rsidRPr="00BB2758">
        <w:t xml:space="preserve">), with </w:t>
      </w:r>
      <w:r w:rsidR="00E1377C">
        <w:t>an</w:t>
      </w:r>
      <w:r w:rsidRPr="00BB2758">
        <w:t xml:space="preserve"> increase of </w:t>
      </w:r>
      <w:r w:rsidR="00E1377C">
        <w:t>15.53</w:t>
      </w:r>
      <w:r w:rsidRPr="00BB2758">
        <w:t>% in workers accessing a period of long service leave upon reaching a full entitlement after 7 years</w:t>
      </w:r>
      <w:r w:rsidR="00CD72C1">
        <w:t xml:space="preserve"> of</w:t>
      </w:r>
      <w:r w:rsidRPr="00BB2758">
        <w:t xml:space="preserve"> service (</w:t>
      </w:r>
      <w:r w:rsidR="00E1377C">
        <w:t>increased by 36.02</w:t>
      </w:r>
      <w:r w:rsidRPr="00BB2758">
        <w:t xml:space="preserve">% in </w:t>
      </w:r>
      <w:r w:rsidR="00E1377C">
        <w:t xml:space="preserve">2024-25). </w:t>
      </w:r>
      <w:r w:rsidR="005B5AC9" w:rsidRPr="00BB2758">
        <w:t xml:space="preserve"> </w:t>
      </w:r>
    </w:p>
    <w:tbl>
      <w:tblPr>
        <w:tblStyle w:val="ACTLeavetable"/>
        <w:tblW w:w="10035" w:type="dxa"/>
        <w:tblLook w:val="04A0" w:firstRow="1" w:lastRow="0" w:firstColumn="1" w:lastColumn="0" w:noHBand="0" w:noVBand="1"/>
      </w:tblPr>
      <w:tblGrid>
        <w:gridCol w:w="7245"/>
        <w:gridCol w:w="930"/>
        <w:gridCol w:w="930"/>
        <w:gridCol w:w="930"/>
      </w:tblGrid>
      <w:tr w:rsidR="00AF6FDD" w:rsidRPr="0018305A" w14:paraId="08227E2E" w14:textId="77777777" w:rsidTr="00427B5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45" w:type="dxa"/>
            <w:vAlign w:val="center"/>
            <w:hideMark/>
          </w:tcPr>
          <w:p w14:paraId="7C353CE3" w14:textId="254EE491" w:rsidR="00AF6FDD" w:rsidRPr="00BB2758" w:rsidRDefault="00AF6FDD" w:rsidP="00427B5D">
            <w:pPr>
              <w:spacing w:before="30" w:after="30"/>
            </w:pPr>
            <w:r w:rsidRPr="00BB2758">
              <w:t>Claims lodged</w:t>
            </w:r>
            <w:r w:rsidR="005B5AC9" w:rsidRPr="00BB2758">
              <w:t xml:space="preserve"> </w:t>
            </w:r>
          </w:p>
        </w:tc>
        <w:tc>
          <w:tcPr>
            <w:tcW w:w="930" w:type="dxa"/>
            <w:hideMark/>
          </w:tcPr>
          <w:p w14:paraId="216DC9C7" w14:textId="7F5C88C1" w:rsidR="00AF6FDD" w:rsidRPr="00BB2758" w:rsidRDefault="00427B5D" w:rsidP="00427B5D">
            <w:pPr>
              <w:spacing w:before="30" w:after="30"/>
              <w:cnfStyle w:val="100000000000" w:firstRow="1" w:lastRow="0" w:firstColumn="0" w:lastColumn="0" w:oddVBand="0" w:evenVBand="0" w:oddHBand="0" w:evenHBand="0" w:firstRowFirstColumn="0" w:firstRowLastColumn="0" w:lastRowFirstColumn="0" w:lastRowLastColumn="0"/>
            </w:pPr>
            <w:r w:rsidRPr="00C46833">
              <w:t>2024</w:t>
            </w:r>
            <w:r w:rsidRPr="00C46833">
              <w:rPr>
                <w:rFonts w:ascii="Arial" w:hAnsi="Arial" w:cs="Arial"/>
              </w:rPr>
              <w:t> </w:t>
            </w:r>
            <w:r w:rsidRPr="00C46833">
              <w:t xml:space="preserve"> </w:t>
            </w:r>
          </w:p>
        </w:tc>
        <w:tc>
          <w:tcPr>
            <w:tcW w:w="930" w:type="dxa"/>
            <w:hideMark/>
          </w:tcPr>
          <w:p w14:paraId="0BE28DC5" w14:textId="7BDA689E" w:rsidR="00AF6FDD" w:rsidRPr="00BB2758" w:rsidRDefault="00427B5D" w:rsidP="00427B5D">
            <w:pPr>
              <w:spacing w:before="30" w:after="30"/>
              <w:cnfStyle w:val="100000000000" w:firstRow="1" w:lastRow="0" w:firstColumn="0" w:lastColumn="0" w:oddVBand="0" w:evenVBand="0" w:oddHBand="0" w:evenHBand="0" w:firstRowFirstColumn="0" w:firstRowLastColumn="0" w:lastRowFirstColumn="0" w:lastRowLastColumn="0"/>
            </w:pPr>
            <w:r w:rsidRPr="00C46833">
              <w:t>2025</w:t>
            </w:r>
          </w:p>
        </w:tc>
        <w:tc>
          <w:tcPr>
            <w:tcW w:w="930" w:type="dxa"/>
            <w:hideMark/>
          </w:tcPr>
          <w:p w14:paraId="0D657412" w14:textId="7B12AD2C" w:rsidR="00AF6FDD" w:rsidRPr="00BB2758" w:rsidRDefault="00427B5D" w:rsidP="00427B5D">
            <w:pPr>
              <w:spacing w:before="30" w:after="30"/>
              <w:cnfStyle w:val="100000000000" w:firstRow="1" w:lastRow="0" w:firstColumn="0" w:lastColumn="0" w:oddVBand="0" w:evenVBand="0" w:oddHBand="0" w:evenHBand="0" w:firstRowFirstColumn="0" w:firstRowLastColumn="0" w:lastRowFirstColumn="0" w:lastRowLastColumn="0"/>
            </w:pPr>
            <w:r w:rsidRPr="00C46833">
              <w:t>2026</w:t>
            </w:r>
          </w:p>
        </w:tc>
      </w:tr>
      <w:tr w:rsidR="00AF6FDD" w:rsidRPr="0018305A" w14:paraId="664B5F7D" w14:textId="77777777" w:rsidTr="00427B5D">
        <w:trPr>
          <w:trHeight w:val="300"/>
        </w:trPr>
        <w:tc>
          <w:tcPr>
            <w:cnfStyle w:val="001000000000" w:firstRow="0" w:lastRow="0" w:firstColumn="1" w:lastColumn="0" w:oddVBand="0" w:evenVBand="0" w:oddHBand="0" w:evenHBand="0" w:firstRowFirstColumn="0" w:firstRowLastColumn="0" w:lastRowFirstColumn="0" w:lastRowLastColumn="0"/>
            <w:tcW w:w="7245" w:type="dxa"/>
            <w:vAlign w:val="center"/>
            <w:hideMark/>
          </w:tcPr>
          <w:p w14:paraId="2E4F618F" w14:textId="77777777" w:rsidR="00AF6FDD" w:rsidRPr="00BB2758" w:rsidRDefault="00AF6FDD" w:rsidP="00427B5D">
            <w:pPr>
              <w:spacing w:before="30" w:after="30"/>
            </w:pPr>
            <w:r w:rsidRPr="00BB2758">
              <w:t>Total claims lodged </w:t>
            </w:r>
          </w:p>
        </w:tc>
        <w:tc>
          <w:tcPr>
            <w:tcW w:w="930" w:type="dxa"/>
            <w:hideMark/>
          </w:tcPr>
          <w:p w14:paraId="365E834A" w14:textId="599D9F51"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234</w:t>
            </w:r>
          </w:p>
        </w:tc>
        <w:tc>
          <w:tcPr>
            <w:tcW w:w="930" w:type="dxa"/>
            <w:hideMark/>
          </w:tcPr>
          <w:p w14:paraId="62DF8DA4" w14:textId="0678CFE3"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289</w:t>
            </w:r>
          </w:p>
        </w:tc>
        <w:tc>
          <w:tcPr>
            <w:tcW w:w="930" w:type="dxa"/>
            <w:hideMark/>
          </w:tcPr>
          <w:p w14:paraId="3549ABAA" w14:textId="1EDBE9ED"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 xml:space="preserve">346 </w:t>
            </w:r>
          </w:p>
        </w:tc>
      </w:tr>
      <w:tr w:rsidR="00AF6FDD" w:rsidRPr="0018305A" w14:paraId="750E7728" w14:textId="77777777" w:rsidTr="00427B5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45" w:type="dxa"/>
            <w:vAlign w:val="center"/>
            <w:hideMark/>
          </w:tcPr>
          <w:p w14:paraId="749B2A3B" w14:textId="77777777" w:rsidR="00AF6FDD" w:rsidRPr="00BB2758" w:rsidRDefault="00AF6FDD" w:rsidP="00427B5D">
            <w:pPr>
              <w:spacing w:before="30" w:after="30"/>
            </w:pPr>
            <w:r w:rsidRPr="00BB2758">
              <w:t>Withdrawn, declined or duplicate </w:t>
            </w:r>
          </w:p>
        </w:tc>
        <w:tc>
          <w:tcPr>
            <w:tcW w:w="930" w:type="dxa"/>
            <w:hideMark/>
          </w:tcPr>
          <w:p w14:paraId="7FB001E1" w14:textId="13684395" w:rsidR="00AF6FDD" w:rsidRPr="00BB2758" w:rsidRDefault="00427B5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t>23</w:t>
            </w:r>
          </w:p>
        </w:tc>
        <w:tc>
          <w:tcPr>
            <w:tcW w:w="930" w:type="dxa"/>
            <w:hideMark/>
          </w:tcPr>
          <w:p w14:paraId="1E451D09" w14:textId="5E3266DB" w:rsidR="00AF6FDD" w:rsidRPr="00BB2758" w:rsidRDefault="00427B5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t>8</w:t>
            </w:r>
          </w:p>
        </w:tc>
        <w:tc>
          <w:tcPr>
            <w:tcW w:w="930" w:type="dxa"/>
            <w:hideMark/>
          </w:tcPr>
          <w:p w14:paraId="5C77A554" w14:textId="0B451E12" w:rsidR="00AF6FDD" w:rsidRPr="00BB2758" w:rsidRDefault="00427B5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t xml:space="preserve">17 </w:t>
            </w:r>
          </w:p>
        </w:tc>
      </w:tr>
      <w:tr w:rsidR="00AF6FDD" w:rsidRPr="0018305A" w14:paraId="618F483A" w14:textId="77777777" w:rsidTr="00427B5D">
        <w:trPr>
          <w:trHeight w:val="300"/>
        </w:trPr>
        <w:tc>
          <w:tcPr>
            <w:cnfStyle w:val="001000000000" w:firstRow="0" w:lastRow="0" w:firstColumn="1" w:lastColumn="0" w:oddVBand="0" w:evenVBand="0" w:oddHBand="0" w:evenHBand="0" w:firstRowFirstColumn="0" w:firstRowLastColumn="0" w:lastRowFirstColumn="0" w:lastRowLastColumn="0"/>
            <w:tcW w:w="7245" w:type="dxa"/>
            <w:vAlign w:val="center"/>
            <w:hideMark/>
          </w:tcPr>
          <w:p w14:paraId="46FE2C19" w14:textId="77777777" w:rsidR="00AF6FDD" w:rsidRPr="00BB2758" w:rsidRDefault="00AF6FDD" w:rsidP="00427B5D">
            <w:pPr>
              <w:spacing w:before="30" w:after="30"/>
            </w:pPr>
            <w:r w:rsidRPr="00BB2758">
              <w:t>Number of payments made </w:t>
            </w:r>
          </w:p>
        </w:tc>
        <w:tc>
          <w:tcPr>
            <w:tcW w:w="930" w:type="dxa"/>
            <w:hideMark/>
          </w:tcPr>
          <w:p w14:paraId="1FEE8A95" w14:textId="79B2D874"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211</w:t>
            </w:r>
          </w:p>
        </w:tc>
        <w:tc>
          <w:tcPr>
            <w:tcW w:w="930" w:type="dxa"/>
            <w:hideMark/>
          </w:tcPr>
          <w:p w14:paraId="1D474541" w14:textId="3306DC95"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281</w:t>
            </w:r>
          </w:p>
        </w:tc>
        <w:tc>
          <w:tcPr>
            <w:tcW w:w="930" w:type="dxa"/>
            <w:hideMark/>
          </w:tcPr>
          <w:p w14:paraId="5238A142" w14:textId="751FA922"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 xml:space="preserve">329 </w:t>
            </w:r>
          </w:p>
        </w:tc>
      </w:tr>
      <w:tr w:rsidR="00AF6FDD" w:rsidRPr="0018305A" w14:paraId="08B5ACC0" w14:textId="77777777" w:rsidTr="00427B5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45" w:type="dxa"/>
            <w:shd w:val="clear" w:color="auto" w:fill="081DA4" w:themeFill="accent1"/>
            <w:vAlign w:val="center"/>
            <w:hideMark/>
          </w:tcPr>
          <w:p w14:paraId="50D2BE73" w14:textId="77777777" w:rsidR="00AF6FDD" w:rsidRPr="00503E3C" w:rsidRDefault="00AF6FDD" w:rsidP="00427B5D">
            <w:pPr>
              <w:spacing w:before="30" w:after="30"/>
              <w:rPr>
                <w:b/>
                <w:bCs/>
              </w:rPr>
            </w:pPr>
            <w:r w:rsidRPr="00503E3C">
              <w:rPr>
                <w:b/>
                <w:bCs/>
                <w:color w:val="FFFFFF" w:themeColor="background1"/>
              </w:rPr>
              <w:t>Criteria under which claims were lodged </w:t>
            </w:r>
          </w:p>
        </w:tc>
        <w:tc>
          <w:tcPr>
            <w:tcW w:w="930" w:type="dxa"/>
            <w:shd w:val="clear" w:color="auto" w:fill="081DA4" w:themeFill="accent1"/>
            <w:hideMark/>
          </w:tcPr>
          <w:p w14:paraId="3FE11267" w14:textId="0AE2F969" w:rsidR="00AF6FDD" w:rsidRPr="00BB2758" w:rsidRDefault="00427B5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rPr>
                <w:rFonts w:cs="Arial"/>
              </w:rPr>
              <w:t> </w:t>
            </w:r>
            <w:r w:rsidRPr="00C46833">
              <w:t xml:space="preserve"> </w:t>
            </w:r>
          </w:p>
        </w:tc>
        <w:tc>
          <w:tcPr>
            <w:tcW w:w="930" w:type="dxa"/>
            <w:shd w:val="clear" w:color="auto" w:fill="081DA4" w:themeFill="accent1"/>
            <w:hideMark/>
          </w:tcPr>
          <w:p w14:paraId="388BBDFA" w14:textId="133C8B15" w:rsidR="00AF6FDD" w:rsidRPr="00BB2758" w:rsidRDefault="00427B5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rPr>
                <w:rFonts w:cs="Arial"/>
              </w:rPr>
              <w:t> </w:t>
            </w:r>
            <w:r w:rsidRPr="00C46833">
              <w:t xml:space="preserve"> </w:t>
            </w:r>
          </w:p>
        </w:tc>
        <w:tc>
          <w:tcPr>
            <w:tcW w:w="930" w:type="dxa"/>
            <w:shd w:val="clear" w:color="auto" w:fill="081DA4" w:themeFill="accent1"/>
            <w:hideMark/>
          </w:tcPr>
          <w:p w14:paraId="64040160" w14:textId="4C8FB136" w:rsidR="00AF6FDD" w:rsidRPr="00BB2758" w:rsidRDefault="00427B5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rPr>
                <w:rFonts w:cs="Arial"/>
              </w:rPr>
              <w:t> </w:t>
            </w:r>
            <w:r w:rsidRPr="00C46833">
              <w:t xml:space="preserve"> </w:t>
            </w:r>
          </w:p>
        </w:tc>
      </w:tr>
      <w:tr w:rsidR="00AF6FDD" w:rsidRPr="0018305A" w14:paraId="113BC97A" w14:textId="77777777" w:rsidTr="00427B5D">
        <w:trPr>
          <w:trHeight w:val="300"/>
        </w:trPr>
        <w:tc>
          <w:tcPr>
            <w:cnfStyle w:val="001000000000" w:firstRow="0" w:lastRow="0" w:firstColumn="1" w:lastColumn="0" w:oddVBand="0" w:evenVBand="0" w:oddHBand="0" w:evenHBand="0" w:firstRowFirstColumn="0" w:firstRowLastColumn="0" w:lastRowFirstColumn="0" w:lastRowLastColumn="0"/>
            <w:tcW w:w="7245" w:type="dxa"/>
            <w:vAlign w:val="center"/>
            <w:hideMark/>
          </w:tcPr>
          <w:p w14:paraId="3CB0F24E" w14:textId="5038054C" w:rsidR="00AF6FDD" w:rsidRPr="00BB2758" w:rsidRDefault="00AF6FDD" w:rsidP="00427B5D">
            <w:pPr>
              <w:spacing w:before="30" w:after="30"/>
            </w:pPr>
            <w:r w:rsidRPr="00BB2758">
              <w:t>More than 7 years</w:t>
            </w:r>
            <w:r w:rsidR="00055019">
              <w:t xml:space="preserve"> of</w:t>
            </w:r>
            <w:r w:rsidRPr="00BB2758">
              <w:t xml:space="preserve"> service </w:t>
            </w:r>
          </w:p>
        </w:tc>
        <w:tc>
          <w:tcPr>
            <w:tcW w:w="930" w:type="dxa"/>
            <w:hideMark/>
          </w:tcPr>
          <w:p w14:paraId="6B4C68C9" w14:textId="518B62D1"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161</w:t>
            </w:r>
          </w:p>
        </w:tc>
        <w:tc>
          <w:tcPr>
            <w:tcW w:w="930" w:type="dxa"/>
            <w:hideMark/>
          </w:tcPr>
          <w:p w14:paraId="6D5CC7AD" w14:textId="17D9F9EB"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219</w:t>
            </w:r>
          </w:p>
        </w:tc>
        <w:tc>
          <w:tcPr>
            <w:tcW w:w="930" w:type="dxa"/>
            <w:hideMark/>
          </w:tcPr>
          <w:p w14:paraId="1B651DFA" w14:textId="051FE6F5"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253</w:t>
            </w:r>
          </w:p>
        </w:tc>
      </w:tr>
      <w:tr w:rsidR="00AF6FDD" w:rsidRPr="0018305A" w14:paraId="09321EC0" w14:textId="77777777" w:rsidTr="00427B5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45" w:type="dxa"/>
            <w:vAlign w:val="center"/>
            <w:hideMark/>
          </w:tcPr>
          <w:p w14:paraId="3DAD1600" w14:textId="094A93C9" w:rsidR="00AF6FDD" w:rsidRPr="00BB2758" w:rsidRDefault="00AF6FDD" w:rsidP="00427B5D">
            <w:pPr>
              <w:spacing w:before="30" w:after="30"/>
            </w:pPr>
            <w:r w:rsidRPr="00BB2758">
              <w:t xml:space="preserve">Pro-rata (5 years but less than 7 years of </w:t>
            </w:r>
            <w:r w:rsidR="00D745F3">
              <w:t>s</w:t>
            </w:r>
            <w:r w:rsidRPr="00BB2758">
              <w:t>ervice) </w:t>
            </w:r>
          </w:p>
        </w:tc>
        <w:tc>
          <w:tcPr>
            <w:tcW w:w="930" w:type="dxa"/>
            <w:hideMark/>
          </w:tcPr>
          <w:p w14:paraId="3431DF2F" w14:textId="7F940DBF" w:rsidR="00AF6FDD" w:rsidRPr="00BB2758" w:rsidRDefault="00427B5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t>33</w:t>
            </w:r>
          </w:p>
        </w:tc>
        <w:tc>
          <w:tcPr>
            <w:tcW w:w="930" w:type="dxa"/>
            <w:hideMark/>
          </w:tcPr>
          <w:p w14:paraId="784BD81A" w14:textId="53BBDEB4" w:rsidR="00AF6FDD" w:rsidRPr="00BB2758" w:rsidRDefault="00427B5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t>39</w:t>
            </w:r>
          </w:p>
        </w:tc>
        <w:tc>
          <w:tcPr>
            <w:tcW w:w="930" w:type="dxa"/>
            <w:hideMark/>
          </w:tcPr>
          <w:p w14:paraId="10AE48F8" w14:textId="76F00AF6" w:rsidR="00AF6FDD" w:rsidRPr="00BB2758" w:rsidRDefault="00AF6FDD" w:rsidP="00427B5D">
            <w:pPr>
              <w:spacing w:before="30" w:after="30"/>
              <w:cnfStyle w:val="000000010000" w:firstRow="0" w:lastRow="0" w:firstColumn="0" w:lastColumn="0" w:oddVBand="0" w:evenVBand="0" w:oddHBand="0" w:evenHBand="1" w:firstRowFirstColumn="0" w:firstRowLastColumn="0" w:lastRowFirstColumn="0" w:lastRowLastColumn="0"/>
            </w:pPr>
            <w:r w:rsidRPr="00BB2758">
              <w:t>39</w:t>
            </w:r>
            <w:r w:rsidR="00427B5D" w:rsidRPr="00C46833">
              <w:t xml:space="preserve"> </w:t>
            </w:r>
          </w:p>
        </w:tc>
      </w:tr>
      <w:tr w:rsidR="00AF6FDD" w:rsidRPr="0018305A" w14:paraId="7E3625BB" w14:textId="77777777" w:rsidTr="00427B5D">
        <w:trPr>
          <w:trHeight w:val="300"/>
        </w:trPr>
        <w:tc>
          <w:tcPr>
            <w:cnfStyle w:val="001000000000" w:firstRow="0" w:lastRow="0" w:firstColumn="1" w:lastColumn="0" w:oddVBand="0" w:evenVBand="0" w:oddHBand="0" w:evenHBand="0" w:firstRowFirstColumn="0" w:firstRowLastColumn="0" w:lastRowFirstColumn="0" w:lastRowLastColumn="0"/>
            <w:tcW w:w="7245" w:type="dxa"/>
            <w:vAlign w:val="center"/>
            <w:hideMark/>
          </w:tcPr>
          <w:p w14:paraId="62D25841" w14:textId="5EA35542" w:rsidR="00AF6FDD" w:rsidRPr="00BB2758" w:rsidRDefault="00AF6FDD" w:rsidP="00427B5D">
            <w:pPr>
              <w:spacing w:before="30" w:after="30"/>
            </w:pPr>
            <w:r w:rsidRPr="00BB2758">
              <w:t>Ill health, age retirement or death (55+ days service)</w:t>
            </w:r>
            <w:r w:rsidR="005B5AC9" w:rsidRPr="00BB2758">
              <w:t xml:space="preserve"> </w:t>
            </w:r>
          </w:p>
        </w:tc>
        <w:tc>
          <w:tcPr>
            <w:tcW w:w="930" w:type="dxa"/>
            <w:hideMark/>
          </w:tcPr>
          <w:p w14:paraId="3A90B1C5" w14:textId="736C0FD6"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8</w:t>
            </w:r>
          </w:p>
        </w:tc>
        <w:tc>
          <w:tcPr>
            <w:tcW w:w="930" w:type="dxa"/>
            <w:hideMark/>
          </w:tcPr>
          <w:p w14:paraId="5C00AB94" w14:textId="3E947C9E"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10</w:t>
            </w:r>
          </w:p>
        </w:tc>
        <w:tc>
          <w:tcPr>
            <w:tcW w:w="930" w:type="dxa"/>
            <w:hideMark/>
          </w:tcPr>
          <w:p w14:paraId="20C344E1" w14:textId="269DDE54"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 xml:space="preserve">11 </w:t>
            </w:r>
          </w:p>
        </w:tc>
      </w:tr>
      <w:tr w:rsidR="00AF6FDD" w:rsidRPr="0018305A" w14:paraId="2F18B5E1" w14:textId="77777777" w:rsidTr="00427B5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45" w:type="dxa"/>
            <w:vAlign w:val="center"/>
            <w:hideMark/>
          </w:tcPr>
          <w:p w14:paraId="7E526766" w14:textId="77777777" w:rsidR="00AF6FDD" w:rsidRPr="00BB2758" w:rsidRDefault="00AF6FDD" w:rsidP="00427B5D">
            <w:pPr>
              <w:spacing w:before="30" w:after="30"/>
            </w:pPr>
            <w:r w:rsidRPr="00BB2758">
              <w:t>Early release entitlement </w:t>
            </w:r>
          </w:p>
        </w:tc>
        <w:tc>
          <w:tcPr>
            <w:tcW w:w="930" w:type="dxa"/>
            <w:hideMark/>
          </w:tcPr>
          <w:p w14:paraId="3A55A69F" w14:textId="39BA9F47" w:rsidR="00AF6FDD" w:rsidRPr="00BB2758" w:rsidRDefault="00AF6FDD" w:rsidP="00427B5D">
            <w:pPr>
              <w:spacing w:before="30" w:after="30"/>
              <w:cnfStyle w:val="000000010000" w:firstRow="0" w:lastRow="0" w:firstColumn="0" w:lastColumn="0" w:oddVBand="0" w:evenVBand="0" w:oddHBand="0" w:evenHBand="1" w:firstRowFirstColumn="0" w:firstRowLastColumn="0" w:lastRowFirstColumn="0" w:lastRowLastColumn="0"/>
            </w:pPr>
            <w:r w:rsidRPr="00BB2758">
              <w:t>0</w:t>
            </w:r>
            <w:r w:rsidR="00427B5D" w:rsidRPr="00C46833">
              <w:t xml:space="preserve"> </w:t>
            </w:r>
          </w:p>
        </w:tc>
        <w:tc>
          <w:tcPr>
            <w:tcW w:w="930" w:type="dxa"/>
            <w:hideMark/>
          </w:tcPr>
          <w:p w14:paraId="02E5F144" w14:textId="27BE5FB6" w:rsidR="00AF6FDD" w:rsidRPr="00BB2758" w:rsidRDefault="00AF6FDD" w:rsidP="00427B5D">
            <w:pPr>
              <w:spacing w:before="30" w:after="30"/>
              <w:cnfStyle w:val="000000010000" w:firstRow="0" w:lastRow="0" w:firstColumn="0" w:lastColumn="0" w:oddVBand="0" w:evenVBand="0" w:oddHBand="0" w:evenHBand="1" w:firstRowFirstColumn="0" w:firstRowLastColumn="0" w:lastRowFirstColumn="0" w:lastRowLastColumn="0"/>
            </w:pPr>
            <w:r w:rsidRPr="00BB2758">
              <w:t>0</w:t>
            </w:r>
            <w:r w:rsidR="00427B5D" w:rsidRPr="00C46833">
              <w:t xml:space="preserve"> </w:t>
            </w:r>
          </w:p>
        </w:tc>
        <w:tc>
          <w:tcPr>
            <w:tcW w:w="930" w:type="dxa"/>
            <w:hideMark/>
          </w:tcPr>
          <w:p w14:paraId="4A656677" w14:textId="0C512154" w:rsidR="00AF6FDD" w:rsidRPr="00BB2758" w:rsidRDefault="00AF6FDD" w:rsidP="00427B5D">
            <w:pPr>
              <w:spacing w:before="30" w:after="30"/>
              <w:cnfStyle w:val="000000010000" w:firstRow="0" w:lastRow="0" w:firstColumn="0" w:lastColumn="0" w:oddVBand="0" w:evenVBand="0" w:oddHBand="0" w:evenHBand="1" w:firstRowFirstColumn="0" w:firstRowLastColumn="0" w:lastRowFirstColumn="0" w:lastRowLastColumn="0"/>
            </w:pPr>
            <w:r w:rsidRPr="00BB2758">
              <w:t>0</w:t>
            </w:r>
            <w:r w:rsidR="00427B5D" w:rsidRPr="00C46833">
              <w:t xml:space="preserve"> </w:t>
            </w:r>
          </w:p>
        </w:tc>
      </w:tr>
      <w:tr w:rsidR="00AF6FDD" w:rsidRPr="0018305A" w14:paraId="1C104C75" w14:textId="77777777" w:rsidTr="00427B5D">
        <w:trPr>
          <w:trHeight w:val="300"/>
        </w:trPr>
        <w:tc>
          <w:tcPr>
            <w:cnfStyle w:val="001000000000" w:firstRow="0" w:lastRow="0" w:firstColumn="1" w:lastColumn="0" w:oddVBand="0" w:evenVBand="0" w:oddHBand="0" w:evenHBand="0" w:firstRowFirstColumn="0" w:firstRowLastColumn="0" w:lastRowFirstColumn="0" w:lastRowLastColumn="0"/>
            <w:tcW w:w="7245" w:type="dxa"/>
            <w:vAlign w:val="center"/>
            <w:hideMark/>
          </w:tcPr>
          <w:p w14:paraId="27500CCD" w14:textId="0EB7466E" w:rsidR="00AF6FDD" w:rsidRPr="00BB2758" w:rsidRDefault="00BA2272" w:rsidP="00427B5D">
            <w:pPr>
              <w:spacing w:before="30" w:after="30"/>
            </w:pPr>
            <w:r>
              <w:rPr>
                <w:lang w:val="en-GB"/>
              </w:rPr>
              <w:t>Reimbursements</w:t>
            </w:r>
            <w:r w:rsidR="00AF6FDD" w:rsidRPr="00BB2758">
              <w:rPr>
                <w:lang w:val="en-GB"/>
              </w:rPr>
              <w:t xml:space="preserve"> to employers who paid their workers under the </w:t>
            </w:r>
            <w:r w:rsidR="00AF6FDD" w:rsidRPr="00BB2758">
              <w:rPr>
                <w:i/>
                <w:lang w:val="en-GB"/>
              </w:rPr>
              <w:t>L</w:t>
            </w:r>
            <w:r w:rsidR="00895360" w:rsidRPr="00BB2758">
              <w:rPr>
                <w:i/>
                <w:lang w:val="en-GB"/>
              </w:rPr>
              <w:t xml:space="preserve">ong </w:t>
            </w:r>
            <w:r w:rsidR="00AF6FDD" w:rsidRPr="00BB2758">
              <w:rPr>
                <w:i/>
                <w:lang w:val="en-GB"/>
              </w:rPr>
              <w:t>S</w:t>
            </w:r>
            <w:r w:rsidR="00895360" w:rsidRPr="00BB2758">
              <w:rPr>
                <w:i/>
                <w:lang w:val="en-GB"/>
              </w:rPr>
              <w:t xml:space="preserve">ervice </w:t>
            </w:r>
            <w:r w:rsidR="00AF6FDD" w:rsidRPr="00BB2758">
              <w:rPr>
                <w:i/>
                <w:lang w:val="en-GB"/>
              </w:rPr>
              <w:t>L</w:t>
            </w:r>
            <w:r w:rsidR="00895360" w:rsidRPr="00BB2758">
              <w:rPr>
                <w:i/>
                <w:lang w:val="en-GB"/>
              </w:rPr>
              <w:t>eave</w:t>
            </w:r>
            <w:r w:rsidR="00AF6FDD" w:rsidRPr="00BB2758">
              <w:rPr>
                <w:i/>
                <w:lang w:val="en-GB"/>
              </w:rPr>
              <w:t xml:space="preserve"> Act 1976</w:t>
            </w:r>
            <w:r w:rsidR="00F979B6" w:rsidRPr="00BB2758">
              <w:rPr>
                <w:i/>
                <w:lang w:val="en-GB"/>
              </w:rPr>
              <w:t xml:space="preserve"> </w:t>
            </w:r>
            <w:r w:rsidR="00A35EF5" w:rsidRPr="00BB2758">
              <w:rPr>
                <w:lang w:val="en-GB"/>
              </w:rPr>
              <w:t xml:space="preserve">or </w:t>
            </w:r>
            <w:r w:rsidR="00A35EF5">
              <w:rPr>
                <w:lang w:val="en-GB"/>
              </w:rPr>
              <w:t>a law prescribed by regulation</w:t>
            </w:r>
          </w:p>
        </w:tc>
        <w:tc>
          <w:tcPr>
            <w:tcW w:w="930" w:type="dxa"/>
            <w:hideMark/>
          </w:tcPr>
          <w:p w14:paraId="4507E5EB" w14:textId="66DA9254"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5</w:t>
            </w:r>
          </w:p>
        </w:tc>
        <w:tc>
          <w:tcPr>
            <w:tcW w:w="930" w:type="dxa"/>
            <w:hideMark/>
          </w:tcPr>
          <w:p w14:paraId="5B0C5338" w14:textId="499ACCFF"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10</w:t>
            </w:r>
          </w:p>
        </w:tc>
        <w:tc>
          <w:tcPr>
            <w:tcW w:w="930" w:type="dxa"/>
            <w:hideMark/>
          </w:tcPr>
          <w:p w14:paraId="02E165F0" w14:textId="55F60FBA" w:rsidR="00AF6FDD" w:rsidRPr="00BB2758" w:rsidRDefault="00427B5D" w:rsidP="00427B5D">
            <w:pPr>
              <w:spacing w:before="30" w:after="30"/>
              <w:cnfStyle w:val="000000000000" w:firstRow="0" w:lastRow="0" w:firstColumn="0" w:lastColumn="0" w:oddVBand="0" w:evenVBand="0" w:oddHBand="0" w:evenHBand="0" w:firstRowFirstColumn="0" w:firstRowLastColumn="0" w:lastRowFirstColumn="0" w:lastRowLastColumn="0"/>
            </w:pPr>
            <w:r w:rsidRPr="00C46833">
              <w:t>23</w:t>
            </w:r>
          </w:p>
        </w:tc>
      </w:tr>
      <w:tr w:rsidR="00AF6FDD" w:rsidRPr="0018305A" w14:paraId="5ECAC9A1" w14:textId="77777777" w:rsidTr="00427B5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45" w:type="dxa"/>
            <w:vAlign w:val="center"/>
            <w:hideMark/>
          </w:tcPr>
          <w:p w14:paraId="3851D4B0" w14:textId="77777777" w:rsidR="00AF6FDD" w:rsidRPr="00BB2758" w:rsidRDefault="00AF6FDD" w:rsidP="00427B5D">
            <w:pPr>
              <w:spacing w:before="30" w:after="30"/>
            </w:pPr>
            <w:r w:rsidRPr="00BB2758">
              <w:rPr>
                <w:lang w:val="en-GB"/>
              </w:rPr>
              <w:t>Payments to reciprocal state schemes</w:t>
            </w:r>
            <w:r w:rsidRPr="00BB2758">
              <w:t> </w:t>
            </w:r>
          </w:p>
        </w:tc>
        <w:tc>
          <w:tcPr>
            <w:tcW w:w="930" w:type="dxa"/>
            <w:hideMark/>
          </w:tcPr>
          <w:p w14:paraId="3659268D" w14:textId="5EBC11A2" w:rsidR="00AF6FDD" w:rsidRPr="00BB2758" w:rsidRDefault="00427B5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t>4</w:t>
            </w:r>
          </w:p>
        </w:tc>
        <w:tc>
          <w:tcPr>
            <w:tcW w:w="930" w:type="dxa"/>
            <w:hideMark/>
          </w:tcPr>
          <w:p w14:paraId="1528B50F" w14:textId="6307B791" w:rsidR="00AF6FDD" w:rsidRPr="00BB2758" w:rsidRDefault="00427B5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t>3</w:t>
            </w:r>
          </w:p>
        </w:tc>
        <w:tc>
          <w:tcPr>
            <w:tcW w:w="930" w:type="dxa"/>
            <w:hideMark/>
          </w:tcPr>
          <w:p w14:paraId="55B6BF03" w14:textId="1783ED97" w:rsidR="00AF6FDD" w:rsidRPr="00BB2758" w:rsidRDefault="00AF6FDD" w:rsidP="00427B5D">
            <w:pPr>
              <w:spacing w:before="30" w:after="30"/>
              <w:cnfStyle w:val="000000010000" w:firstRow="0" w:lastRow="0" w:firstColumn="0" w:lastColumn="0" w:oddVBand="0" w:evenVBand="0" w:oddHBand="0" w:evenHBand="1" w:firstRowFirstColumn="0" w:firstRowLastColumn="0" w:lastRowFirstColumn="0" w:lastRowLastColumn="0"/>
            </w:pPr>
            <w:r w:rsidRPr="00C46833">
              <w:t>3</w:t>
            </w:r>
            <w:r w:rsidR="00427B5D" w:rsidRPr="00C46833">
              <w:t xml:space="preserve"> </w:t>
            </w:r>
          </w:p>
        </w:tc>
      </w:tr>
    </w:tbl>
    <w:p w14:paraId="44F719AD" w14:textId="77777777" w:rsidR="00AB4894" w:rsidRDefault="00AB4894" w:rsidP="00783C67">
      <w:pPr>
        <w:spacing w:after="240"/>
      </w:pPr>
    </w:p>
    <w:p w14:paraId="6935B219" w14:textId="38CDC663" w:rsidR="006C3CD9" w:rsidRPr="00BB2758" w:rsidRDefault="00B66B2E" w:rsidP="006E0242">
      <w:r>
        <w:rPr>
          <w:noProof/>
        </w:rPr>
        <w:drawing>
          <wp:inline distT="0" distB="0" distL="0" distR="0" wp14:anchorId="53A21EC1" wp14:editId="4A3FDA91">
            <wp:extent cx="6410960" cy="2403475"/>
            <wp:effectExtent l="0" t="0" r="8890" b="0"/>
            <wp:docPr id="1777985372" name="Picture 10" descr="Decorative testimonial graphic featuring a quote from a worker in the Services Industry Scheme. The graphic includes the testimonial text, a small profile image and the name Somphone, identified as a Cleaner, and a larger photograph of a worker cleaning a desk in an office environment. The photograph is overlaid with ACT Leave's green dynamic track swirl design.&#10;&#10;The testimonial reads: “Portable long service leave has allowed me to do many things, like go home, see my family, rest, and come back ready to work hard again.”&#10;&#10;The graphic is included to provide a worker perspective on the benefits of portable long service leave and to support the report's visual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985372" name="Picture 10" descr="Decorative testimonial graphic featuring a quote from a worker in the Services Industry Scheme. The graphic includes the testimonial text, a small profile image and the name Somphone, identified as a Cleaner, and a larger photograph of a worker cleaning a desk in an office environment. The photograph is overlaid with ACT Leave's green dynamic track swirl design.&#10;&#10;The testimonial reads: “Portable long service leave has allowed me to do many things, like go home, see my family, rest, and come back ready to work hard again.”&#10;&#10;The graphic is included to provide a worker perspective on the benefits of portable long service leave and to support the report's visual presentation."/>
                    <pic:cNvPicPr/>
                  </pic:nvPicPr>
                  <pic:blipFill>
                    <a:blip r:embed="rId44"/>
                    <a:stretch>
                      <a:fillRect/>
                    </a:stretch>
                  </pic:blipFill>
                  <pic:spPr>
                    <a:xfrm>
                      <a:off x="0" y="0"/>
                      <a:ext cx="6410960" cy="2403475"/>
                    </a:xfrm>
                    <a:prstGeom prst="rect">
                      <a:avLst/>
                    </a:prstGeom>
                  </pic:spPr>
                </pic:pic>
              </a:graphicData>
            </a:graphic>
          </wp:inline>
        </w:drawing>
      </w:r>
    </w:p>
    <w:p w14:paraId="0E744176" w14:textId="77777777" w:rsidR="006C3CD9" w:rsidRPr="00BB2758" w:rsidRDefault="006C3CD9" w:rsidP="006E0242">
      <w:r w:rsidRPr="00BB2758">
        <w:br w:type="page"/>
      </w:r>
    </w:p>
    <w:p w14:paraId="4D3E9437" w14:textId="0835A133" w:rsidR="00231526" w:rsidRPr="008B3AD6" w:rsidRDefault="00231526" w:rsidP="00084344">
      <w:pPr>
        <w:pStyle w:val="Heading4"/>
        <w:rPr>
          <w:rFonts w:cs="Arial"/>
          <w:b w:val="0"/>
          <w:sz w:val="22"/>
          <w:szCs w:val="22"/>
        </w:rPr>
      </w:pPr>
      <w:r w:rsidRPr="00BB2758">
        <w:rPr>
          <w:rFonts w:cs="Arial"/>
        </w:rPr>
        <w:lastRenderedPageBreak/>
        <w:t xml:space="preserve">Community Sector Industry </w:t>
      </w:r>
      <w:r w:rsidR="008818B6" w:rsidRPr="00BB2758">
        <w:rPr>
          <w:rFonts w:cs="Arial"/>
        </w:rPr>
        <w:t xml:space="preserve">Scheme </w:t>
      </w:r>
      <w:r w:rsidRPr="00BB2758">
        <w:rPr>
          <w:rFonts w:cs="Arial"/>
        </w:rPr>
        <w:t xml:space="preserve">employer and </w:t>
      </w:r>
      <w:r w:rsidR="00EB77FD">
        <w:rPr>
          <w:rFonts w:cs="Arial"/>
        </w:rPr>
        <w:t>worker</w:t>
      </w:r>
      <w:r w:rsidRPr="00BB2758">
        <w:rPr>
          <w:rFonts w:cs="Arial"/>
        </w:rPr>
        <w:t xml:space="preserve"> registrations</w:t>
      </w:r>
      <w:r w:rsidR="00C617EE" w:rsidRPr="00BB2758">
        <w:rPr>
          <w:rFonts w:cs="Arial"/>
          <w:sz w:val="22"/>
          <w:szCs w:val="22"/>
        </w:rPr>
        <w:t> </w:t>
      </w:r>
    </w:p>
    <w:p w14:paraId="11125FF6" w14:textId="3A03B91A" w:rsidR="004C404E" w:rsidRDefault="003C5CBE" w:rsidP="00CF17D1">
      <w:r>
        <w:t>The</w:t>
      </w:r>
      <w:r w:rsidR="004C404E" w:rsidRPr="004C404E">
        <w:t xml:space="preserve"> Community Sector </w:t>
      </w:r>
      <w:r w:rsidR="00CF5FC2">
        <w:t xml:space="preserve">Industry </w:t>
      </w:r>
      <w:r w:rsidR="004C404E" w:rsidRPr="004C404E">
        <w:t xml:space="preserve">Scheme </w:t>
      </w:r>
      <w:r>
        <w:t>continues to experience growth</w:t>
      </w:r>
      <w:r w:rsidR="002214AA">
        <w:t xml:space="preserve"> with a recorded </w:t>
      </w:r>
      <w:r w:rsidR="004C404E" w:rsidRPr="004C404E">
        <w:t>increase</w:t>
      </w:r>
      <w:r w:rsidR="002214AA">
        <w:t xml:space="preserve"> in the number of </w:t>
      </w:r>
      <w:r w:rsidR="00237009">
        <w:t>registered active workers</w:t>
      </w:r>
      <w:r w:rsidR="004C404E" w:rsidRPr="004C404E">
        <w:t xml:space="preserve"> </w:t>
      </w:r>
      <w:r w:rsidR="00EB77FD" w:rsidRPr="004C404E">
        <w:t>of</w:t>
      </w:r>
      <w:r w:rsidR="004C404E" w:rsidRPr="004C404E">
        <w:t xml:space="preserve"> 1.70% during the reporting period. There was also an increase of 9.13% in the number of registered </w:t>
      </w:r>
      <w:r w:rsidR="000017B7">
        <w:t xml:space="preserve">employers </w:t>
      </w:r>
      <w:r w:rsidR="004C404E" w:rsidRPr="004C404E">
        <w:t>in the scheme from the previous financial year.</w:t>
      </w:r>
      <w:r w:rsidR="005846DE" w:rsidRPr="005846DE">
        <w:t xml:space="preserve"> </w:t>
      </w:r>
      <w:r w:rsidR="005846DE">
        <w:t xml:space="preserve">The total number of deregistered workers in the </w:t>
      </w:r>
      <w:r w:rsidR="00636CDF">
        <w:t xml:space="preserve">Community Sector </w:t>
      </w:r>
      <w:r w:rsidR="005846DE">
        <w:t>since the scheme commenced in 20</w:t>
      </w:r>
      <w:r w:rsidR="00FB418A">
        <w:t>10</w:t>
      </w:r>
      <w:r w:rsidR="005846DE">
        <w:t xml:space="preserve"> is </w:t>
      </w:r>
      <w:r w:rsidR="00FB418A">
        <w:t>56,633.</w:t>
      </w:r>
    </w:p>
    <w:p w14:paraId="611EEDAB" w14:textId="340323AA" w:rsidR="00C617EE" w:rsidRPr="00BB2758" w:rsidRDefault="00C617EE" w:rsidP="006E0242">
      <w:r w:rsidRPr="00BB2758">
        <w:t xml:space="preserve">Figure 5. Community Sector Industry </w:t>
      </w:r>
      <w:r w:rsidR="00CF5FC2">
        <w:t xml:space="preserve">Scheme </w:t>
      </w:r>
      <w:r w:rsidRPr="00BB2758">
        <w:t xml:space="preserve">employer and </w:t>
      </w:r>
      <w:r w:rsidR="00EB77FD">
        <w:t>worker</w:t>
      </w:r>
      <w:r w:rsidRPr="00BB2758">
        <w:t xml:space="preserve"> registration statistics </w:t>
      </w:r>
    </w:p>
    <w:p w14:paraId="7A909415" w14:textId="2BE38AA7" w:rsidR="00C617EE" w:rsidRDefault="00C617EE" w:rsidP="006E0242">
      <w:r w:rsidRPr="00BB2758">
        <w:t xml:space="preserve"> </w:t>
      </w:r>
      <w:r w:rsidR="006C3578">
        <w:rPr>
          <w:noProof/>
        </w:rPr>
        <w:drawing>
          <wp:inline distT="0" distB="0" distL="0" distR="0" wp14:anchorId="40AED0B6" wp14:editId="36D7EA26">
            <wp:extent cx="6276975" cy="3733165"/>
            <wp:effectExtent l="0" t="0" r="0" b="635"/>
            <wp:docPr id="1990398384" name="Chart 1" descr="Bar graph showing participation in the Community Sector Scheme from 2024 to 2026. The number of registered employers increased from 481 in 2024 to 504 in 2025 and 550 in 2026. Active workers also increased each year, from 36,904 in 2024 to 38,794 in 2025 and 39,453 in 2026. Inactive workers rose from 1,704 in 2024 to 1,958 in 2025 and 2,304 in 2026. Overall, the graph shows continued growth in employer participation and active workers in the Community Sector Scheme, together with a steady increase in inactive workers over the three-year period.">
              <a:extLst xmlns:a="http://schemas.openxmlformats.org/drawingml/2006/main">
                <a:ext uri="{FF2B5EF4-FFF2-40B4-BE49-F238E27FC236}">
                  <a16:creationId xmlns:a16="http://schemas.microsoft.com/office/drawing/2014/main" id="{0E49CFDD-243B-41DE-9ABF-2F51D09990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78DD71A" w14:textId="410E60F5" w:rsidR="00C617EE" w:rsidRPr="00BB2758" w:rsidRDefault="00C617EE" w:rsidP="006E0242">
      <w:r w:rsidRPr="00BB2758">
        <w:t xml:space="preserve">Image description: Figure 5 is a bar graph that measures the number of registered employers, active </w:t>
      </w:r>
      <w:r w:rsidR="00BA2272">
        <w:t>workers</w:t>
      </w:r>
      <w:r w:rsidRPr="00BB2758">
        <w:t xml:space="preserve">, </w:t>
      </w:r>
      <w:r w:rsidR="003750FF" w:rsidRPr="00BB2758">
        <w:t>and</w:t>
      </w:r>
      <w:r w:rsidRPr="00BB2758">
        <w:t xml:space="preserve"> inactive </w:t>
      </w:r>
      <w:r w:rsidR="00BA2272">
        <w:t>workers</w:t>
      </w:r>
      <w:r w:rsidRPr="00BB2758">
        <w:t xml:space="preserve"> each year from </w:t>
      </w:r>
      <w:r w:rsidR="00584EA0">
        <w:t>2024</w:t>
      </w:r>
      <w:r w:rsidRPr="00BB2758">
        <w:t xml:space="preserve"> to </w:t>
      </w:r>
      <w:r w:rsidR="00584EA0">
        <w:t>2026</w:t>
      </w:r>
      <w:r w:rsidRPr="00BB2758">
        <w:t xml:space="preserve"> in Community Sector </w:t>
      </w:r>
      <w:r w:rsidR="00CF5FC2">
        <w:t xml:space="preserve">Industry </w:t>
      </w:r>
      <w:r w:rsidRPr="00BB2758">
        <w:t>Scheme</w:t>
      </w:r>
      <w:r w:rsidR="005846DE">
        <w:t>.</w:t>
      </w:r>
      <w:r w:rsidRPr="00BB2758">
        <w:t xml:space="preserve"> The data is summarised in the following table: </w:t>
      </w:r>
    </w:p>
    <w:tbl>
      <w:tblPr>
        <w:tblStyle w:val="ACTLeavetable"/>
        <w:tblW w:w="10035" w:type="dxa"/>
        <w:tblLook w:val="04A0" w:firstRow="1" w:lastRow="0" w:firstColumn="1" w:lastColumn="0" w:noHBand="0" w:noVBand="1"/>
      </w:tblPr>
      <w:tblGrid>
        <w:gridCol w:w="4455"/>
        <w:gridCol w:w="1860"/>
        <w:gridCol w:w="1860"/>
        <w:gridCol w:w="1860"/>
      </w:tblGrid>
      <w:tr w:rsidR="00C617EE" w:rsidRPr="0018305A" w14:paraId="39FF5BF5" w14:textId="77777777" w:rsidTr="00CE013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55" w:type="dxa"/>
            <w:vAlign w:val="center"/>
            <w:hideMark/>
          </w:tcPr>
          <w:p w14:paraId="3781C275" w14:textId="77777777" w:rsidR="00C617EE" w:rsidRPr="00BB2758" w:rsidRDefault="00C617EE" w:rsidP="00CE0135">
            <w:pPr>
              <w:spacing w:before="30" w:after="30"/>
            </w:pPr>
            <w:r w:rsidRPr="00BB2758">
              <w:t> </w:t>
            </w:r>
          </w:p>
        </w:tc>
        <w:tc>
          <w:tcPr>
            <w:tcW w:w="1860" w:type="dxa"/>
            <w:hideMark/>
          </w:tcPr>
          <w:p w14:paraId="080DDD52" w14:textId="1C2278AD" w:rsidR="00C617EE" w:rsidRPr="00BB2758" w:rsidRDefault="00CE0135" w:rsidP="00CE0135">
            <w:pPr>
              <w:spacing w:before="30" w:after="30"/>
              <w:cnfStyle w:val="100000000000" w:firstRow="1" w:lastRow="0" w:firstColumn="0" w:lastColumn="0" w:oddVBand="0" w:evenVBand="0" w:oddHBand="0" w:evenHBand="0" w:firstRowFirstColumn="0" w:firstRowLastColumn="0" w:lastRowFirstColumn="0" w:lastRowLastColumn="0"/>
            </w:pPr>
            <w:r w:rsidRPr="007F6143">
              <w:t>2024</w:t>
            </w:r>
            <w:r w:rsidRPr="007F6143">
              <w:rPr>
                <w:rFonts w:ascii="Arial" w:hAnsi="Arial" w:cs="Arial"/>
              </w:rPr>
              <w:t> </w:t>
            </w:r>
            <w:r w:rsidRPr="007F6143">
              <w:t xml:space="preserve"> </w:t>
            </w:r>
          </w:p>
        </w:tc>
        <w:tc>
          <w:tcPr>
            <w:tcW w:w="1860" w:type="dxa"/>
            <w:hideMark/>
          </w:tcPr>
          <w:p w14:paraId="16F04BF6" w14:textId="472D46F1" w:rsidR="00C617EE" w:rsidRPr="00BB2758" w:rsidRDefault="00CE0135" w:rsidP="00CE0135">
            <w:pPr>
              <w:spacing w:before="30" w:after="30"/>
              <w:cnfStyle w:val="100000000000" w:firstRow="1" w:lastRow="0" w:firstColumn="0" w:lastColumn="0" w:oddVBand="0" w:evenVBand="0" w:oddHBand="0" w:evenHBand="0" w:firstRowFirstColumn="0" w:firstRowLastColumn="0" w:lastRowFirstColumn="0" w:lastRowLastColumn="0"/>
            </w:pPr>
            <w:r w:rsidRPr="007F6143">
              <w:t>2025</w:t>
            </w:r>
          </w:p>
        </w:tc>
        <w:tc>
          <w:tcPr>
            <w:tcW w:w="1860" w:type="dxa"/>
            <w:hideMark/>
          </w:tcPr>
          <w:p w14:paraId="1B9EE68C" w14:textId="4B89EAD3" w:rsidR="00C617EE" w:rsidRPr="00BB2758" w:rsidRDefault="00CE0135" w:rsidP="00CE0135">
            <w:pPr>
              <w:spacing w:before="30" w:after="30"/>
              <w:cnfStyle w:val="100000000000" w:firstRow="1" w:lastRow="0" w:firstColumn="0" w:lastColumn="0" w:oddVBand="0" w:evenVBand="0" w:oddHBand="0" w:evenHBand="0" w:firstRowFirstColumn="0" w:firstRowLastColumn="0" w:lastRowFirstColumn="0" w:lastRowLastColumn="0"/>
            </w:pPr>
            <w:r w:rsidRPr="007F6143">
              <w:t>2026</w:t>
            </w:r>
          </w:p>
        </w:tc>
      </w:tr>
      <w:tr w:rsidR="00C617EE" w:rsidRPr="0018305A" w14:paraId="2FFC4324" w14:textId="77777777" w:rsidTr="00CE0135">
        <w:trPr>
          <w:trHeight w:val="300"/>
        </w:trPr>
        <w:tc>
          <w:tcPr>
            <w:cnfStyle w:val="001000000000" w:firstRow="0" w:lastRow="0" w:firstColumn="1" w:lastColumn="0" w:oddVBand="0" w:evenVBand="0" w:oddHBand="0" w:evenHBand="0" w:firstRowFirstColumn="0" w:firstRowLastColumn="0" w:lastRowFirstColumn="0" w:lastRowLastColumn="0"/>
            <w:tcW w:w="4455" w:type="dxa"/>
            <w:vAlign w:val="center"/>
            <w:hideMark/>
          </w:tcPr>
          <w:p w14:paraId="14778A57" w14:textId="03BFD820" w:rsidR="00C617EE" w:rsidRPr="00BB2758" w:rsidRDefault="00C617EE" w:rsidP="00CE0135">
            <w:pPr>
              <w:spacing w:before="30" w:after="30"/>
            </w:pPr>
            <w:r w:rsidRPr="00BB2758">
              <w:t xml:space="preserve">Registered </w:t>
            </w:r>
            <w:r w:rsidR="00CF5FC2">
              <w:t>e</w:t>
            </w:r>
            <w:r w:rsidRPr="00BB2758">
              <w:t>mployers </w:t>
            </w:r>
          </w:p>
        </w:tc>
        <w:tc>
          <w:tcPr>
            <w:tcW w:w="1860" w:type="dxa"/>
            <w:hideMark/>
          </w:tcPr>
          <w:p w14:paraId="4902F842" w14:textId="4C75362F" w:rsidR="00C617EE" w:rsidRPr="00BB2758" w:rsidRDefault="00CE0135" w:rsidP="00CE0135">
            <w:pPr>
              <w:spacing w:before="30" w:after="30"/>
              <w:cnfStyle w:val="000000000000" w:firstRow="0" w:lastRow="0" w:firstColumn="0" w:lastColumn="0" w:oddVBand="0" w:evenVBand="0" w:oddHBand="0" w:evenHBand="0" w:firstRowFirstColumn="0" w:firstRowLastColumn="0" w:lastRowFirstColumn="0" w:lastRowLastColumn="0"/>
            </w:pPr>
            <w:r w:rsidRPr="007F6143">
              <w:t>481</w:t>
            </w:r>
          </w:p>
        </w:tc>
        <w:tc>
          <w:tcPr>
            <w:tcW w:w="1860" w:type="dxa"/>
            <w:hideMark/>
          </w:tcPr>
          <w:p w14:paraId="11FACEDA" w14:textId="41F307FD" w:rsidR="00C617EE" w:rsidRPr="00BB2758" w:rsidRDefault="00CE0135" w:rsidP="00CE0135">
            <w:pPr>
              <w:spacing w:before="30" w:after="30"/>
              <w:cnfStyle w:val="000000000000" w:firstRow="0" w:lastRow="0" w:firstColumn="0" w:lastColumn="0" w:oddVBand="0" w:evenVBand="0" w:oddHBand="0" w:evenHBand="0" w:firstRowFirstColumn="0" w:firstRowLastColumn="0" w:lastRowFirstColumn="0" w:lastRowLastColumn="0"/>
            </w:pPr>
            <w:r w:rsidRPr="007F6143">
              <w:t>504</w:t>
            </w:r>
          </w:p>
        </w:tc>
        <w:tc>
          <w:tcPr>
            <w:tcW w:w="1860" w:type="dxa"/>
            <w:hideMark/>
          </w:tcPr>
          <w:p w14:paraId="5DDE30A0" w14:textId="7162BA9C" w:rsidR="00C617EE" w:rsidRPr="00BB2758" w:rsidRDefault="00CE0135" w:rsidP="00CE0135">
            <w:pPr>
              <w:spacing w:before="30" w:after="30"/>
              <w:cnfStyle w:val="000000000000" w:firstRow="0" w:lastRow="0" w:firstColumn="0" w:lastColumn="0" w:oddVBand="0" w:evenVBand="0" w:oddHBand="0" w:evenHBand="0" w:firstRowFirstColumn="0" w:firstRowLastColumn="0" w:lastRowFirstColumn="0" w:lastRowLastColumn="0"/>
            </w:pPr>
            <w:r w:rsidRPr="007F6143">
              <w:t>550</w:t>
            </w:r>
          </w:p>
        </w:tc>
      </w:tr>
      <w:tr w:rsidR="00C617EE" w:rsidRPr="0018305A" w14:paraId="34DA387C" w14:textId="77777777" w:rsidTr="00CE0135">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55" w:type="dxa"/>
            <w:vAlign w:val="center"/>
            <w:hideMark/>
          </w:tcPr>
          <w:p w14:paraId="7BA88DD2" w14:textId="476C7A73" w:rsidR="00C617EE" w:rsidRPr="00BB2758" w:rsidRDefault="00CE0135" w:rsidP="00CE0135">
            <w:pPr>
              <w:spacing w:before="30" w:after="30"/>
            </w:pPr>
            <w:r w:rsidRPr="00BB2758">
              <w:t xml:space="preserve">Active </w:t>
            </w:r>
            <w:r w:rsidR="00CF5FC2">
              <w:t>w</w:t>
            </w:r>
            <w:r w:rsidR="00621D47">
              <w:t>orkers</w:t>
            </w:r>
            <w:r w:rsidRPr="00BB2758">
              <w:t> </w:t>
            </w:r>
          </w:p>
        </w:tc>
        <w:tc>
          <w:tcPr>
            <w:tcW w:w="1860" w:type="dxa"/>
            <w:hideMark/>
          </w:tcPr>
          <w:p w14:paraId="0C55B803" w14:textId="0D2AD0BF" w:rsidR="00C617EE" w:rsidRPr="00BB2758" w:rsidRDefault="00CE0135" w:rsidP="00CE0135">
            <w:pPr>
              <w:spacing w:before="30" w:after="30"/>
              <w:cnfStyle w:val="000000010000" w:firstRow="0" w:lastRow="0" w:firstColumn="0" w:lastColumn="0" w:oddVBand="0" w:evenVBand="0" w:oddHBand="0" w:evenHBand="1" w:firstRowFirstColumn="0" w:firstRowLastColumn="0" w:lastRowFirstColumn="0" w:lastRowLastColumn="0"/>
            </w:pPr>
            <w:r w:rsidRPr="007F6143">
              <w:t xml:space="preserve">36,904 </w:t>
            </w:r>
          </w:p>
        </w:tc>
        <w:tc>
          <w:tcPr>
            <w:tcW w:w="1860" w:type="dxa"/>
            <w:hideMark/>
          </w:tcPr>
          <w:p w14:paraId="4F811558" w14:textId="3E927E0F" w:rsidR="00C617EE" w:rsidRPr="00BB2758" w:rsidRDefault="00CE0135" w:rsidP="00CE0135">
            <w:pPr>
              <w:spacing w:before="30" w:after="30"/>
              <w:cnfStyle w:val="000000010000" w:firstRow="0" w:lastRow="0" w:firstColumn="0" w:lastColumn="0" w:oddVBand="0" w:evenVBand="0" w:oddHBand="0" w:evenHBand="1" w:firstRowFirstColumn="0" w:firstRowLastColumn="0" w:lastRowFirstColumn="0" w:lastRowLastColumn="0"/>
            </w:pPr>
            <w:r w:rsidRPr="007F6143">
              <w:t>38,794</w:t>
            </w:r>
          </w:p>
        </w:tc>
        <w:tc>
          <w:tcPr>
            <w:tcW w:w="1860" w:type="dxa"/>
            <w:hideMark/>
          </w:tcPr>
          <w:p w14:paraId="261CAB09" w14:textId="77F02491" w:rsidR="00C617EE" w:rsidRPr="00BB2758" w:rsidRDefault="00CE0135" w:rsidP="00CE0135">
            <w:pPr>
              <w:spacing w:before="30" w:after="30"/>
              <w:cnfStyle w:val="000000010000" w:firstRow="0" w:lastRow="0" w:firstColumn="0" w:lastColumn="0" w:oddVBand="0" w:evenVBand="0" w:oddHBand="0" w:evenHBand="1" w:firstRowFirstColumn="0" w:firstRowLastColumn="0" w:lastRowFirstColumn="0" w:lastRowLastColumn="0"/>
            </w:pPr>
            <w:r w:rsidRPr="007F6143">
              <w:t>39,453</w:t>
            </w:r>
          </w:p>
        </w:tc>
      </w:tr>
      <w:tr w:rsidR="00C617EE" w:rsidRPr="0018305A" w14:paraId="5231326B" w14:textId="77777777" w:rsidTr="00CE0135">
        <w:trPr>
          <w:trHeight w:val="300"/>
        </w:trPr>
        <w:tc>
          <w:tcPr>
            <w:cnfStyle w:val="001000000000" w:firstRow="0" w:lastRow="0" w:firstColumn="1" w:lastColumn="0" w:oddVBand="0" w:evenVBand="0" w:oddHBand="0" w:evenHBand="0" w:firstRowFirstColumn="0" w:firstRowLastColumn="0" w:lastRowFirstColumn="0" w:lastRowLastColumn="0"/>
            <w:tcW w:w="4455" w:type="dxa"/>
            <w:vAlign w:val="center"/>
            <w:hideMark/>
          </w:tcPr>
          <w:p w14:paraId="32B5BA13" w14:textId="1E569416" w:rsidR="00C617EE" w:rsidRPr="00BB2758" w:rsidRDefault="00C617EE" w:rsidP="00CE0135">
            <w:pPr>
              <w:spacing w:before="30" w:after="30"/>
            </w:pPr>
            <w:r w:rsidRPr="00BB2758">
              <w:t xml:space="preserve">Inactive </w:t>
            </w:r>
            <w:r w:rsidR="00CF5FC2">
              <w:t>w</w:t>
            </w:r>
            <w:r w:rsidR="00621D47">
              <w:t>orkers</w:t>
            </w:r>
            <w:r w:rsidRPr="00BB2758">
              <w:t> </w:t>
            </w:r>
          </w:p>
        </w:tc>
        <w:tc>
          <w:tcPr>
            <w:tcW w:w="1860" w:type="dxa"/>
            <w:hideMark/>
          </w:tcPr>
          <w:p w14:paraId="00B03A41" w14:textId="719C5311" w:rsidR="00C617EE" w:rsidRPr="00BB2758" w:rsidRDefault="00C617EE" w:rsidP="00CE0135">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CE0135" w:rsidRPr="007F6143">
              <w:t xml:space="preserve">704 </w:t>
            </w:r>
          </w:p>
        </w:tc>
        <w:tc>
          <w:tcPr>
            <w:tcW w:w="1860" w:type="dxa"/>
            <w:hideMark/>
          </w:tcPr>
          <w:p w14:paraId="03B790CE" w14:textId="47BB8B80" w:rsidR="00C617EE" w:rsidRPr="00BB2758" w:rsidRDefault="00C617EE" w:rsidP="00CE0135">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CE0135" w:rsidRPr="007F6143">
              <w:t xml:space="preserve">958 </w:t>
            </w:r>
          </w:p>
        </w:tc>
        <w:tc>
          <w:tcPr>
            <w:tcW w:w="1860" w:type="dxa"/>
            <w:hideMark/>
          </w:tcPr>
          <w:p w14:paraId="343AE35D" w14:textId="34E8797A" w:rsidR="00C617EE" w:rsidRPr="00BB2758" w:rsidRDefault="00CE0135" w:rsidP="00CE0135">
            <w:pPr>
              <w:spacing w:before="30" w:after="30"/>
              <w:cnfStyle w:val="000000000000" w:firstRow="0" w:lastRow="0" w:firstColumn="0" w:lastColumn="0" w:oddVBand="0" w:evenVBand="0" w:oddHBand="0" w:evenHBand="0" w:firstRowFirstColumn="0" w:firstRowLastColumn="0" w:lastRowFirstColumn="0" w:lastRowLastColumn="0"/>
            </w:pPr>
            <w:r w:rsidRPr="007F6143">
              <w:t xml:space="preserve">2,304 </w:t>
            </w:r>
          </w:p>
        </w:tc>
      </w:tr>
    </w:tbl>
    <w:p w14:paraId="2571B56B" w14:textId="77777777" w:rsidR="008611B9" w:rsidRPr="00BB2758" w:rsidRDefault="008611B9" w:rsidP="006E0242"/>
    <w:p w14:paraId="5A8747BF" w14:textId="77777777" w:rsidR="008611B9" w:rsidRDefault="008611B9">
      <w:pPr>
        <w:spacing w:before="120" w:after="120" w:line="240" w:lineRule="auto"/>
        <w:rPr>
          <w:rFonts w:ascii="Arial" w:eastAsiaTheme="majorEastAsia" w:hAnsi="Arial" w:cs="Arial"/>
          <w:b/>
          <w:lang w:val="en-AU" w:eastAsia="en-US"/>
        </w:rPr>
      </w:pPr>
      <w:r>
        <w:rPr>
          <w:rFonts w:cs="Arial"/>
        </w:rPr>
        <w:br w:type="page"/>
      </w:r>
    </w:p>
    <w:p w14:paraId="1A7118CC" w14:textId="1B886494" w:rsidR="00231526" w:rsidRPr="008B3AD6" w:rsidRDefault="00231526" w:rsidP="00D65C81">
      <w:pPr>
        <w:pStyle w:val="Heading4"/>
        <w:rPr>
          <w:rFonts w:cs="Arial"/>
          <w:b w:val="0"/>
          <w:sz w:val="22"/>
          <w:szCs w:val="22"/>
        </w:rPr>
      </w:pPr>
      <w:r w:rsidRPr="00BB2758">
        <w:rPr>
          <w:rFonts w:cs="Arial"/>
        </w:rPr>
        <w:lastRenderedPageBreak/>
        <w:t>Community Sector Industry Scheme levy contributions</w:t>
      </w:r>
      <w:r w:rsidR="00C617EE" w:rsidRPr="00BB2758">
        <w:rPr>
          <w:rFonts w:cs="Arial"/>
          <w:sz w:val="22"/>
          <w:szCs w:val="22"/>
        </w:rPr>
        <w:t> </w:t>
      </w:r>
    </w:p>
    <w:p w14:paraId="1E1F8E72" w14:textId="352517E5" w:rsidR="007E1220" w:rsidRDefault="007E1220" w:rsidP="00CF17D1">
      <w:r w:rsidRPr="007E1220">
        <w:t xml:space="preserve">In 2025-26, Community Sector </w:t>
      </w:r>
      <w:r w:rsidR="00C90D2B">
        <w:t>Industry Scheme</w:t>
      </w:r>
      <w:r w:rsidRPr="007E1220">
        <w:t xml:space="preserve"> employers paid a total of $24.51</w:t>
      </w:r>
      <w:r w:rsidR="002E6A54">
        <w:t xml:space="preserve"> </w:t>
      </w:r>
      <w:r w:rsidRPr="007E1220">
        <w:t>m</w:t>
      </w:r>
      <w:r w:rsidR="002E6A54">
        <w:t>illion</w:t>
      </w:r>
      <w:r w:rsidRPr="007E1220">
        <w:t xml:space="preserve"> in levy contributions (up from $21.72</w:t>
      </w:r>
      <w:r w:rsidR="002E6A54">
        <w:t xml:space="preserve"> </w:t>
      </w:r>
      <w:r w:rsidR="002E6A54" w:rsidRPr="007E1220">
        <w:t>m</w:t>
      </w:r>
      <w:r w:rsidR="002E6A54">
        <w:t>illion</w:t>
      </w:r>
      <w:r w:rsidRPr="007E1220">
        <w:t xml:space="preserve"> in 2024-25) based on a levy rate of 1.85% of </w:t>
      </w:r>
      <w:r w:rsidR="00E46867">
        <w:t>gross</w:t>
      </w:r>
      <w:r w:rsidR="00E46867" w:rsidRPr="007E1220">
        <w:t xml:space="preserve"> </w:t>
      </w:r>
      <w:r w:rsidRPr="007E1220">
        <w:t xml:space="preserve">ordinary </w:t>
      </w:r>
      <w:r w:rsidR="00E46867">
        <w:t>wages</w:t>
      </w:r>
      <w:r w:rsidRPr="007E1220">
        <w:t xml:space="preserve">. The increase in levy contributions paid this year is attributed to the increase in the number of active workers and general wage increases for those registered </w:t>
      </w:r>
      <w:r w:rsidR="00AE479A">
        <w:t>workers</w:t>
      </w:r>
      <w:r w:rsidRPr="007E1220">
        <w:t>, along with an increase in the number of registered employers. ACT Leave budgeted for $21.91</w:t>
      </w:r>
      <w:r w:rsidR="002E6A54">
        <w:t xml:space="preserve"> </w:t>
      </w:r>
      <w:r w:rsidR="002E6A54" w:rsidRPr="007E1220">
        <w:t>m</w:t>
      </w:r>
      <w:r w:rsidR="002E6A54">
        <w:t>illion</w:t>
      </w:r>
      <w:r w:rsidRPr="007E1220">
        <w:t xml:space="preserve"> in contributions for the 2025-26 financial year.</w:t>
      </w:r>
    </w:p>
    <w:p w14:paraId="3E1D3960" w14:textId="1481923F" w:rsidR="00C617EE" w:rsidRPr="00BB2758" w:rsidRDefault="00C617EE" w:rsidP="006E0242">
      <w:r w:rsidRPr="00BB2758">
        <w:t xml:space="preserve">Figure 6. Community Sector Industry </w:t>
      </w:r>
      <w:r w:rsidR="00C90D2B">
        <w:t xml:space="preserve">Scheme </w:t>
      </w:r>
      <w:r w:rsidRPr="00BB2758">
        <w:t>levy contribution payments by employers </w:t>
      </w:r>
    </w:p>
    <w:p w14:paraId="022EEC8C" w14:textId="5549B32B" w:rsidR="00C617EE" w:rsidRDefault="00C617EE" w:rsidP="006E0242">
      <w:r w:rsidRPr="00BB2758">
        <w:t xml:space="preserve"> </w:t>
      </w:r>
      <w:r w:rsidR="00584EA0">
        <w:rPr>
          <w:noProof/>
        </w:rPr>
        <w:drawing>
          <wp:inline distT="0" distB="0" distL="0" distR="0" wp14:anchorId="41B57690" wp14:editId="332726F7">
            <wp:extent cx="6410960" cy="2790000"/>
            <wp:effectExtent l="0" t="0" r="8890" b="0"/>
            <wp:docPr id="1713721643" name="Chart 1" descr="Bar graph showing levy contributions paid by employers in the Community Sector Scheme from 2020 to 2026. Employer levy contributions increased consistently over the seven-year period, rising from $8.722 million in 2020 to $24.510 million in 2026. Contributions increased to $10.071 million in 2021, $13.485 million in 2022, $15.950 million in 2023, $17.314 million in 2024, and $21.723 million in 2025, before reaching $24.510 million in 2026, the highest level recorded. Overall, the graph shows strong and sustained growth in levy contributions, reflecting the continued expansion of the Community Sector Scheme.">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D357413" w14:textId="278447AF" w:rsidR="00C617EE" w:rsidRPr="00BB2758" w:rsidRDefault="00C617EE" w:rsidP="006E0242">
      <w:r w:rsidRPr="00BB2758">
        <w:t xml:space="preserve">Image description: Figure 6 is a bar graph that measures the levy contributions made by employers in the Community </w:t>
      </w:r>
      <w:r w:rsidR="00C90D2B">
        <w:t xml:space="preserve">Sector </w:t>
      </w:r>
      <w:r w:rsidRPr="00BB2758">
        <w:t xml:space="preserve">Industry Scheme over the last </w:t>
      </w:r>
      <w:r w:rsidR="00F14CC6">
        <w:t>7</w:t>
      </w:r>
      <w:r w:rsidRPr="00BB2758">
        <w:t xml:space="preserve"> years from 2019 to 2025. The data, measured in dollars, is summarised in the table below:</w:t>
      </w:r>
      <w:r w:rsidR="005B5AC9" w:rsidRPr="00BB2758">
        <w:t xml:space="preserve"> </w:t>
      </w:r>
    </w:p>
    <w:tbl>
      <w:tblPr>
        <w:tblStyle w:val="ACTLeavetable"/>
        <w:tblW w:w="9960" w:type="dxa"/>
        <w:tblLook w:val="04A0" w:firstRow="1" w:lastRow="0" w:firstColumn="1" w:lastColumn="0" w:noHBand="0" w:noVBand="1"/>
      </w:tblPr>
      <w:tblGrid>
        <w:gridCol w:w="1980"/>
        <w:gridCol w:w="1140"/>
        <w:gridCol w:w="1140"/>
        <w:gridCol w:w="1140"/>
        <w:gridCol w:w="1140"/>
        <w:gridCol w:w="1140"/>
        <w:gridCol w:w="1140"/>
        <w:gridCol w:w="1140"/>
      </w:tblGrid>
      <w:tr w:rsidR="00C617EE" w:rsidRPr="0018305A" w14:paraId="6258C8C5" w14:textId="77777777" w:rsidTr="00AA07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66B2E61A" w14:textId="77777777" w:rsidR="00C617EE" w:rsidRPr="00BB2758" w:rsidRDefault="00C617EE" w:rsidP="00AA0706">
            <w:pPr>
              <w:spacing w:before="30" w:after="30"/>
            </w:pPr>
            <w:r w:rsidRPr="00BB2758">
              <w:t> </w:t>
            </w:r>
          </w:p>
        </w:tc>
        <w:tc>
          <w:tcPr>
            <w:tcW w:w="1140" w:type="dxa"/>
            <w:hideMark/>
          </w:tcPr>
          <w:p w14:paraId="7832652F" w14:textId="1BD36078" w:rsidR="00C617EE" w:rsidRPr="00BB2758" w:rsidRDefault="00AA0706" w:rsidP="00AA0706">
            <w:pPr>
              <w:spacing w:before="30" w:after="30"/>
              <w:cnfStyle w:val="100000000000" w:firstRow="1" w:lastRow="0" w:firstColumn="0" w:lastColumn="0" w:oddVBand="0" w:evenVBand="0" w:oddHBand="0" w:evenHBand="0" w:firstRowFirstColumn="0" w:firstRowLastColumn="0" w:lastRowFirstColumn="0" w:lastRowLastColumn="0"/>
            </w:pPr>
            <w:r w:rsidRPr="00CC07BC">
              <w:t>2020</w:t>
            </w:r>
            <w:r w:rsidRPr="00CC07BC">
              <w:rPr>
                <w:rFonts w:ascii="Arial" w:hAnsi="Arial" w:cs="Arial"/>
              </w:rPr>
              <w:t> </w:t>
            </w:r>
            <w:r w:rsidRPr="00CC07BC">
              <w:t xml:space="preserve"> </w:t>
            </w:r>
          </w:p>
        </w:tc>
        <w:tc>
          <w:tcPr>
            <w:tcW w:w="1140" w:type="dxa"/>
            <w:hideMark/>
          </w:tcPr>
          <w:p w14:paraId="4060B1F0" w14:textId="0C4FDCD5" w:rsidR="00C617EE" w:rsidRPr="00BB2758" w:rsidRDefault="00AA0706" w:rsidP="00AA0706">
            <w:pPr>
              <w:spacing w:before="30" w:after="30"/>
              <w:cnfStyle w:val="100000000000" w:firstRow="1" w:lastRow="0" w:firstColumn="0" w:lastColumn="0" w:oddVBand="0" w:evenVBand="0" w:oddHBand="0" w:evenHBand="0" w:firstRowFirstColumn="0" w:firstRowLastColumn="0" w:lastRowFirstColumn="0" w:lastRowLastColumn="0"/>
            </w:pPr>
            <w:r w:rsidRPr="00CC07BC">
              <w:t>2021</w:t>
            </w:r>
          </w:p>
        </w:tc>
        <w:tc>
          <w:tcPr>
            <w:tcW w:w="1140" w:type="dxa"/>
            <w:hideMark/>
          </w:tcPr>
          <w:p w14:paraId="58971363" w14:textId="5E640051" w:rsidR="00C617EE" w:rsidRPr="00BB2758" w:rsidRDefault="00AA0706" w:rsidP="00AA0706">
            <w:pPr>
              <w:spacing w:before="30" w:after="30"/>
              <w:cnfStyle w:val="100000000000" w:firstRow="1" w:lastRow="0" w:firstColumn="0" w:lastColumn="0" w:oddVBand="0" w:evenVBand="0" w:oddHBand="0" w:evenHBand="0" w:firstRowFirstColumn="0" w:firstRowLastColumn="0" w:lastRowFirstColumn="0" w:lastRowLastColumn="0"/>
            </w:pPr>
            <w:r w:rsidRPr="00CC07BC">
              <w:t>2022</w:t>
            </w:r>
          </w:p>
        </w:tc>
        <w:tc>
          <w:tcPr>
            <w:tcW w:w="1140" w:type="dxa"/>
            <w:hideMark/>
          </w:tcPr>
          <w:p w14:paraId="36CF9694" w14:textId="18B2F196" w:rsidR="00C617EE" w:rsidRPr="00BB2758" w:rsidRDefault="00AA0706" w:rsidP="00AA0706">
            <w:pPr>
              <w:spacing w:before="30" w:after="30"/>
              <w:cnfStyle w:val="100000000000" w:firstRow="1" w:lastRow="0" w:firstColumn="0" w:lastColumn="0" w:oddVBand="0" w:evenVBand="0" w:oddHBand="0" w:evenHBand="0" w:firstRowFirstColumn="0" w:firstRowLastColumn="0" w:lastRowFirstColumn="0" w:lastRowLastColumn="0"/>
            </w:pPr>
            <w:r w:rsidRPr="00CC07BC">
              <w:t>2023</w:t>
            </w:r>
          </w:p>
        </w:tc>
        <w:tc>
          <w:tcPr>
            <w:tcW w:w="1140" w:type="dxa"/>
            <w:hideMark/>
          </w:tcPr>
          <w:p w14:paraId="54D08EE5" w14:textId="7FE84431" w:rsidR="00C617EE" w:rsidRPr="00BB2758" w:rsidRDefault="00AA0706" w:rsidP="00AA0706">
            <w:pPr>
              <w:spacing w:before="30" w:after="30"/>
              <w:cnfStyle w:val="100000000000" w:firstRow="1" w:lastRow="0" w:firstColumn="0" w:lastColumn="0" w:oddVBand="0" w:evenVBand="0" w:oddHBand="0" w:evenHBand="0" w:firstRowFirstColumn="0" w:firstRowLastColumn="0" w:lastRowFirstColumn="0" w:lastRowLastColumn="0"/>
            </w:pPr>
            <w:r w:rsidRPr="00CC07BC">
              <w:t>2024</w:t>
            </w:r>
          </w:p>
        </w:tc>
        <w:tc>
          <w:tcPr>
            <w:tcW w:w="1140" w:type="dxa"/>
            <w:hideMark/>
          </w:tcPr>
          <w:p w14:paraId="6006CCF1" w14:textId="1A4BD187" w:rsidR="00C617EE" w:rsidRPr="00BB2758" w:rsidRDefault="00AA0706" w:rsidP="00AA0706">
            <w:pPr>
              <w:spacing w:before="30" w:after="30"/>
              <w:cnfStyle w:val="100000000000" w:firstRow="1" w:lastRow="0" w:firstColumn="0" w:lastColumn="0" w:oddVBand="0" w:evenVBand="0" w:oddHBand="0" w:evenHBand="0" w:firstRowFirstColumn="0" w:firstRowLastColumn="0" w:lastRowFirstColumn="0" w:lastRowLastColumn="0"/>
            </w:pPr>
            <w:r w:rsidRPr="00CC07BC">
              <w:t>2025</w:t>
            </w:r>
          </w:p>
        </w:tc>
        <w:tc>
          <w:tcPr>
            <w:tcW w:w="1140" w:type="dxa"/>
            <w:hideMark/>
          </w:tcPr>
          <w:p w14:paraId="7FF12D03" w14:textId="675EED90" w:rsidR="00C617EE" w:rsidRPr="00BB2758" w:rsidRDefault="00AA0706" w:rsidP="00AA0706">
            <w:pPr>
              <w:spacing w:before="30" w:after="30"/>
              <w:cnfStyle w:val="100000000000" w:firstRow="1" w:lastRow="0" w:firstColumn="0" w:lastColumn="0" w:oddVBand="0" w:evenVBand="0" w:oddHBand="0" w:evenHBand="0" w:firstRowFirstColumn="0" w:firstRowLastColumn="0" w:lastRowFirstColumn="0" w:lastRowLastColumn="0"/>
            </w:pPr>
            <w:r w:rsidRPr="00CC07BC">
              <w:t>2026</w:t>
            </w:r>
          </w:p>
        </w:tc>
      </w:tr>
      <w:tr w:rsidR="00C617EE" w:rsidRPr="0018305A" w14:paraId="632B0678" w14:textId="77777777" w:rsidTr="00AA0706">
        <w:trPr>
          <w:trHeight w:val="300"/>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031B1100" w14:textId="77777777" w:rsidR="00C617EE" w:rsidRPr="00BB2758" w:rsidRDefault="00C617EE" w:rsidP="00AA0706">
            <w:pPr>
              <w:spacing w:before="30" w:after="30"/>
            </w:pPr>
            <w:r w:rsidRPr="00BB2758">
              <w:t>Amount ($) </w:t>
            </w:r>
          </w:p>
        </w:tc>
        <w:tc>
          <w:tcPr>
            <w:tcW w:w="1140" w:type="dxa"/>
            <w:hideMark/>
          </w:tcPr>
          <w:p w14:paraId="4067E1E6" w14:textId="18A6F60A" w:rsidR="00C617EE" w:rsidRPr="00BB2758" w:rsidRDefault="00AA0706" w:rsidP="00AA0706">
            <w:pPr>
              <w:spacing w:before="30" w:after="30"/>
              <w:cnfStyle w:val="000000000000" w:firstRow="0" w:lastRow="0" w:firstColumn="0" w:lastColumn="0" w:oddVBand="0" w:evenVBand="0" w:oddHBand="0" w:evenHBand="0" w:firstRowFirstColumn="0" w:firstRowLastColumn="0" w:lastRowFirstColumn="0" w:lastRowLastColumn="0"/>
            </w:pPr>
            <w:r w:rsidRPr="00CC07BC">
              <w:t>8.72</w:t>
            </w:r>
            <w:r w:rsidR="002E6A54">
              <w:t>m</w:t>
            </w:r>
            <w:r w:rsidRPr="00CC07BC">
              <w:t xml:space="preserve"> </w:t>
            </w:r>
          </w:p>
        </w:tc>
        <w:tc>
          <w:tcPr>
            <w:tcW w:w="1140" w:type="dxa"/>
            <w:hideMark/>
          </w:tcPr>
          <w:p w14:paraId="6C521789" w14:textId="58399C7F" w:rsidR="00C617EE" w:rsidRPr="00BB2758" w:rsidRDefault="00AA0706" w:rsidP="00AA0706">
            <w:pPr>
              <w:spacing w:before="30" w:after="30"/>
              <w:cnfStyle w:val="000000000000" w:firstRow="0" w:lastRow="0" w:firstColumn="0" w:lastColumn="0" w:oddVBand="0" w:evenVBand="0" w:oddHBand="0" w:evenHBand="0" w:firstRowFirstColumn="0" w:firstRowLastColumn="0" w:lastRowFirstColumn="0" w:lastRowLastColumn="0"/>
            </w:pPr>
            <w:r w:rsidRPr="00CC07BC">
              <w:t>10.07</w:t>
            </w:r>
            <w:r w:rsidR="002E6A54">
              <w:t>m</w:t>
            </w:r>
            <w:r w:rsidRPr="00CC07BC">
              <w:t xml:space="preserve"> </w:t>
            </w:r>
          </w:p>
        </w:tc>
        <w:tc>
          <w:tcPr>
            <w:tcW w:w="1140" w:type="dxa"/>
            <w:hideMark/>
          </w:tcPr>
          <w:p w14:paraId="245DD197" w14:textId="680E8FF7" w:rsidR="00C617EE" w:rsidRPr="00BB2758" w:rsidRDefault="00AA0706" w:rsidP="00AA0706">
            <w:pPr>
              <w:spacing w:before="30" w:after="30"/>
              <w:cnfStyle w:val="000000000000" w:firstRow="0" w:lastRow="0" w:firstColumn="0" w:lastColumn="0" w:oddVBand="0" w:evenVBand="0" w:oddHBand="0" w:evenHBand="0" w:firstRowFirstColumn="0" w:firstRowLastColumn="0" w:lastRowFirstColumn="0" w:lastRowLastColumn="0"/>
            </w:pPr>
            <w:r w:rsidRPr="00CC07BC">
              <w:t>13.4</w:t>
            </w:r>
            <w:r w:rsidR="0039735D">
              <w:t>9</w:t>
            </w:r>
            <w:r w:rsidR="002E6A54">
              <w:t>m</w:t>
            </w:r>
          </w:p>
        </w:tc>
        <w:tc>
          <w:tcPr>
            <w:tcW w:w="1140" w:type="dxa"/>
            <w:hideMark/>
          </w:tcPr>
          <w:p w14:paraId="3E3E5A35" w14:textId="11B5EAA6" w:rsidR="00C617EE" w:rsidRPr="00BB2758" w:rsidRDefault="00AA0706" w:rsidP="00AA0706">
            <w:pPr>
              <w:spacing w:before="30" w:after="30"/>
              <w:cnfStyle w:val="000000000000" w:firstRow="0" w:lastRow="0" w:firstColumn="0" w:lastColumn="0" w:oddVBand="0" w:evenVBand="0" w:oddHBand="0" w:evenHBand="0" w:firstRowFirstColumn="0" w:firstRowLastColumn="0" w:lastRowFirstColumn="0" w:lastRowLastColumn="0"/>
            </w:pPr>
            <w:r w:rsidRPr="00CC07BC">
              <w:t>15.95</w:t>
            </w:r>
            <w:r w:rsidR="002E6A54">
              <w:t>m</w:t>
            </w:r>
            <w:r w:rsidRPr="00CC07BC">
              <w:t xml:space="preserve"> </w:t>
            </w:r>
          </w:p>
        </w:tc>
        <w:tc>
          <w:tcPr>
            <w:tcW w:w="1140" w:type="dxa"/>
            <w:hideMark/>
          </w:tcPr>
          <w:p w14:paraId="7917809D" w14:textId="0AF795B6" w:rsidR="00C617EE" w:rsidRPr="00BB2758" w:rsidRDefault="00AA0706" w:rsidP="00AA0706">
            <w:pPr>
              <w:spacing w:before="30" w:after="30"/>
              <w:cnfStyle w:val="000000000000" w:firstRow="0" w:lastRow="0" w:firstColumn="0" w:lastColumn="0" w:oddVBand="0" w:evenVBand="0" w:oddHBand="0" w:evenHBand="0" w:firstRowFirstColumn="0" w:firstRowLastColumn="0" w:lastRowFirstColumn="0" w:lastRowLastColumn="0"/>
            </w:pPr>
            <w:r w:rsidRPr="00CC07BC">
              <w:t>17.31</w:t>
            </w:r>
            <w:r w:rsidR="002E6A54">
              <w:t>m</w:t>
            </w:r>
            <w:r w:rsidRPr="00CC07BC">
              <w:t xml:space="preserve"> </w:t>
            </w:r>
          </w:p>
        </w:tc>
        <w:tc>
          <w:tcPr>
            <w:tcW w:w="1140" w:type="dxa"/>
            <w:hideMark/>
          </w:tcPr>
          <w:p w14:paraId="15ADED51" w14:textId="57370B75" w:rsidR="00C617EE" w:rsidRPr="00BB2758" w:rsidRDefault="00AA0706" w:rsidP="00AA0706">
            <w:pPr>
              <w:spacing w:before="30" w:after="30"/>
              <w:cnfStyle w:val="000000000000" w:firstRow="0" w:lastRow="0" w:firstColumn="0" w:lastColumn="0" w:oddVBand="0" w:evenVBand="0" w:oddHBand="0" w:evenHBand="0" w:firstRowFirstColumn="0" w:firstRowLastColumn="0" w:lastRowFirstColumn="0" w:lastRowLastColumn="0"/>
            </w:pPr>
            <w:r w:rsidRPr="00CC07BC">
              <w:t>21.72</w:t>
            </w:r>
            <w:r w:rsidR="002E6A54">
              <w:t>m</w:t>
            </w:r>
            <w:r w:rsidRPr="00CC07BC">
              <w:t xml:space="preserve"> </w:t>
            </w:r>
          </w:p>
        </w:tc>
        <w:tc>
          <w:tcPr>
            <w:tcW w:w="1140" w:type="dxa"/>
            <w:hideMark/>
          </w:tcPr>
          <w:p w14:paraId="4C75EDA7" w14:textId="75BF6503" w:rsidR="00C617EE" w:rsidRPr="00BB2758" w:rsidRDefault="00AA0706" w:rsidP="00AA0706">
            <w:pPr>
              <w:spacing w:before="30" w:after="30"/>
              <w:cnfStyle w:val="000000000000" w:firstRow="0" w:lastRow="0" w:firstColumn="0" w:lastColumn="0" w:oddVBand="0" w:evenVBand="0" w:oddHBand="0" w:evenHBand="0" w:firstRowFirstColumn="0" w:firstRowLastColumn="0" w:lastRowFirstColumn="0" w:lastRowLastColumn="0"/>
            </w:pPr>
            <w:r w:rsidRPr="00CC07BC">
              <w:t>24.51</w:t>
            </w:r>
            <w:r w:rsidR="002E6A54">
              <w:t>m</w:t>
            </w:r>
            <w:r w:rsidRPr="00CC07BC">
              <w:t xml:space="preserve"> </w:t>
            </w:r>
          </w:p>
        </w:tc>
      </w:tr>
    </w:tbl>
    <w:p w14:paraId="46E8E988" w14:textId="77777777" w:rsidR="008611B9" w:rsidRPr="00BB2758" w:rsidRDefault="008611B9" w:rsidP="00783C67">
      <w:pPr>
        <w:spacing w:after="240"/>
      </w:pPr>
    </w:p>
    <w:p w14:paraId="5F69848E" w14:textId="05F41D13" w:rsidR="008611B9" w:rsidRPr="00BB2758" w:rsidRDefault="003A0AB8" w:rsidP="006E0242">
      <w:r>
        <w:rPr>
          <w:noProof/>
        </w:rPr>
        <w:drawing>
          <wp:inline distT="0" distB="0" distL="0" distR="0" wp14:anchorId="38DEC0CE" wp14:editId="45F06E98">
            <wp:extent cx="6410960" cy="2403475"/>
            <wp:effectExtent l="0" t="0" r="8890" b="0"/>
            <wp:docPr id="1122833382" name="Picture 11" descr="Decorative testimonial graphic featuring a quote from an employer in the Community Sector Scheme. The graphic includes the testimonial text, a small profile image and the name Jayne, identified as a Payroll Coordinator, and a larger photograph of a person in an office setting. The photograph is overlaid with ACT Leave's green dynamic track swirl design.&#10;&#10;The testimonial reads: “Portable long service leave recognises that people don’t have to stick to one employer. They can move, with stability, knowing their leave is there in the background whenever they need it.”&#10;&#10;The graphic is included to provide an employer perspective on the benefits of portable long service leave and to support the report's visual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33382" name="Picture 11" descr="Decorative testimonial graphic featuring a quote from an employer in the Community Sector Scheme. The graphic includes the testimonial text, a small profile image and the name Jayne, identified as a Payroll Coordinator, and a larger photograph of a person in an office setting. The photograph is overlaid with ACT Leave's green dynamic track swirl design.&#10;&#10;The testimonial reads: “Portable long service leave recognises that people don’t have to stick to one employer. They can move, with stability, knowing their leave is there in the background whenever they need it.”&#10;&#10;The graphic is included to provide an employer perspective on the benefits of portable long service leave and to support the report's visual presentation."/>
                    <pic:cNvPicPr/>
                  </pic:nvPicPr>
                  <pic:blipFill>
                    <a:blip r:embed="rId47"/>
                    <a:stretch>
                      <a:fillRect/>
                    </a:stretch>
                  </pic:blipFill>
                  <pic:spPr>
                    <a:xfrm>
                      <a:off x="0" y="0"/>
                      <a:ext cx="6410960" cy="2403475"/>
                    </a:xfrm>
                    <a:prstGeom prst="rect">
                      <a:avLst/>
                    </a:prstGeom>
                  </pic:spPr>
                </pic:pic>
              </a:graphicData>
            </a:graphic>
          </wp:inline>
        </w:drawing>
      </w:r>
      <w:r w:rsidR="008611B9" w:rsidRPr="00BB2758">
        <w:br w:type="page"/>
      </w:r>
    </w:p>
    <w:p w14:paraId="245AFD08" w14:textId="7053F1A0" w:rsidR="00231526" w:rsidRPr="008B3AD6" w:rsidRDefault="00231526" w:rsidP="00D65C81">
      <w:pPr>
        <w:pStyle w:val="Heading4"/>
        <w:rPr>
          <w:rFonts w:cs="Arial"/>
          <w:b w:val="0"/>
          <w:sz w:val="22"/>
          <w:szCs w:val="22"/>
          <w:lang w:val="en-US"/>
        </w:rPr>
      </w:pPr>
      <w:r w:rsidRPr="3EE19C2C">
        <w:rPr>
          <w:rFonts w:cs="Arial"/>
          <w:lang w:val="en-US"/>
        </w:rPr>
        <w:lastRenderedPageBreak/>
        <w:t>Community Sector Industry Scheme benefit payments</w:t>
      </w:r>
      <w:r w:rsidR="00C617EE" w:rsidRPr="3EE19C2C">
        <w:rPr>
          <w:rFonts w:cs="Arial"/>
          <w:sz w:val="22"/>
          <w:szCs w:val="22"/>
          <w:lang w:val="en-US"/>
        </w:rPr>
        <w:t> </w:t>
      </w:r>
    </w:p>
    <w:p w14:paraId="7B8BF523" w14:textId="0BCCD284" w:rsidR="00100D2E" w:rsidRDefault="00100D2E" w:rsidP="00100D2E">
      <w:r>
        <w:t>There were 1,876 long service leave benefit payments made during the financial year (1,567 in 2024-25), representing a payment value of $11.98</w:t>
      </w:r>
      <w:r w:rsidR="002E6A54">
        <w:t xml:space="preserve"> </w:t>
      </w:r>
      <w:r w:rsidR="002E6A54" w:rsidRPr="007E1220">
        <w:t>m</w:t>
      </w:r>
      <w:r w:rsidR="002E6A54">
        <w:t>illion</w:t>
      </w:r>
      <w:r>
        <w:t xml:space="preserve"> ($10.1</w:t>
      </w:r>
      <w:r w:rsidR="0039735D">
        <w:t>6</w:t>
      </w:r>
      <w:r w:rsidR="002E6A54">
        <w:t xml:space="preserve"> </w:t>
      </w:r>
      <w:r w:rsidR="002E6A54" w:rsidRPr="007E1220">
        <w:t>m</w:t>
      </w:r>
      <w:r w:rsidR="002E6A54">
        <w:t>illion</w:t>
      </w:r>
      <w:r>
        <w:t xml:space="preserve"> in 2024-25).  </w:t>
      </w:r>
    </w:p>
    <w:p w14:paraId="7CBEDAAA" w14:textId="4A089B0E" w:rsidR="00C617EE" w:rsidRPr="00BB2758" w:rsidRDefault="00C617EE" w:rsidP="006E0242">
      <w:r w:rsidRPr="00BB2758">
        <w:t xml:space="preserve">Overall, within the Community Sector Industry </w:t>
      </w:r>
      <w:r w:rsidR="00C90D2B">
        <w:t xml:space="preserve">Scheme </w:t>
      </w:r>
      <w:r w:rsidRPr="00BB2758">
        <w:t xml:space="preserve">the total number of payments made </w:t>
      </w:r>
      <w:r w:rsidR="00100D2E">
        <w:t>increased by 19.72% (</w:t>
      </w:r>
      <w:r w:rsidRPr="00BB2758">
        <w:t xml:space="preserve">decreased by 2.91% in </w:t>
      </w:r>
      <w:r w:rsidR="00100D2E">
        <w:t>2024-25)</w:t>
      </w:r>
      <w:r w:rsidR="00242B00">
        <w:t xml:space="preserve"> which was due to a</w:t>
      </w:r>
      <w:r w:rsidR="00326008">
        <w:t xml:space="preserve"> 46.73%</w:t>
      </w:r>
      <w:r w:rsidR="00745526">
        <w:t xml:space="preserve"> increase in the number of employers seeking reimbursement for</w:t>
      </w:r>
      <w:r w:rsidR="0033072C">
        <w:t xml:space="preserve"> long service leave payments </w:t>
      </w:r>
      <w:r w:rsidR="00806195">
        <w:t xml:space="preserve">they made </w:t>
      </w:r>
      <w:r w:rsidR="00DD2847">
        <w:t xml:space="preserve">under </w:t>
      </w:r>
      <w:r w:rsidR="00395356">
        <w:t>a relevant provision</w:t>
      </w:r>
      <w:r w:rsidR="00D03916">
        <w:t xml:space="preserve"> (</w:t>
      </w:r>
      <w:r w:rsidR="00155A4B">
        <w:t xml:space="preserve">the </w:t>
      </w:r>
      <w:r w:rsidR="00D03916" w:rsidRPr="00BB2758">
        <w:rPr>
          <w:i/>
          <w:lang w:val="en-GB"/>
        </w:rPr>
        <w:t>Long Service Leave Act 1976</w:t>
      </w:r>
      <w:r w:rsidR="00D03916" w:rsidRPr="00BB2758">
        <w:rPr>
          <w:lang w:val="en-GB"/>
        </w:rPr>
        <w:t xml:space="preserve"> or </w:t>
      </w:r>
      <w:r w:rsidR="00D03916">
        <w:rPr>
          <w:lang w:val="en-GB"/>
        </w:rPr>
        <w:t>a law prescribed by regulation</w:t>
      </w:r>
      <w:r w:rsidR="00155A4B">
        <w:t>)</w:t>
      </w:r>
      <w:r w:rsidR="000C1498">
        <w:t>. There was</w:t>
      </w:r>
      <w:r w:rsidRPr="00BB2758">
        <w:t xml:space="preserve"> an increase of </w:t>
      </w:r>
      <w:r w:rsidR="00100D2E">
        <w:t>15.45</w:t>
      </w:r>
      <w:r w:rsidRPr="00BB2758">
        <w:t>% in workers accessing a period of long service leave upon reaching a full entitlement after 5 years</w:t>
      </w:r>
      <w:r w:rsidR="001435E2">
        <w:t xml:space="preserve"> of</w:t>
      </w:r>
      <w:r w:rsidRPr="00BB2758">
        <w:t xml:space="preserve"> service (increased by </w:t>
      </w:r>
      <w:r w:rsidR="00100D2E">
        <w:t>1.34</w:t>
      </w:r>
      <w:r w:rsidRPr="00BB2758">
        <w:t xml:space="preserve">% in </w:t>
      </w:r>
      <w:r w:rsidR="00100D2E">
        <w:t xml:space="preserve">2024-25). </w:t>
      </w:r>
      <w:r w:rsidR="005B5AC9" w:rsidRPr="00BB2758">
        <w:t xml:space="preserve"> </w:t>
      </w:r>
    </w:p>
    <w:tbl>
      <w:tblPr>
        <w:tblStyle w:val="ACTLeavetable"/>
        <w:tblW w:w="10035" w:type="dxa"/>
        <w:tblLook w:val="04A0" w:firstRow="1" w:lastRow="0" w:firstColumn="1" w:lastColumn="0" w:noHBand="0" w:noVBand="1"/>
      </w:tblPr>
      <w:tblGrid>
        <w:gridCol w:w="6885"/>
        <w:gridCol w:w="1050"/>
        <w:gridCol w:w="1050"/>
        <w:gridCol w:w="1050"/>
      </w:tblGrid>
      <w:tr w:rsidR="00C617EE" w:rsidRPr="0018305A" w14:paraId="292AD79A" w14:textId="77777777" w:rsidTr="001E649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5" w:type="dxa"/>
            <w:hideMark/>
          </w:tcPr>
          <w:p w14:paraId="40D7A12C" w14:textId="3D267C81" w:rsidR="00C617EE" w:rsidRPr="00BB2758" w:rsidRDefault="00C617EE" w:rsidP="00CC3489">
            <w:pPr>
              <w:spacing w:before="30" w:after="30"/>
            </w:pPr>
            <w:r w:rsidRPr="00BB2758">
              <w:t>Claims lodged</w:t>
            </w:r>
            <w:r w:rsidR="005B5AC9" w:rsidRPr="00BB2758">
              <w:t xml:space="preserve"> </w:t>
            </w:r>
          </w:p>
        </w:tc>
        <w:tc>
          <w:tcPr>
            <w:tcW w:w="1050" w:type="dxa"/>
            <w:hideMark/>
          </w:tcPr>
          <w:p w14:paraId="2B4EE0BD" w14:textId="33BDAFE8" w:rsidR="00C617EE" w:rsidRPr="00BB2758" w:rsidRDefault="001E649A" w:rsidP="00CC3489">
            <w:pPr>
              <w:spacing w:before="30" w:after="30"/>
              <w:cnfStyle w:val="100000000000" w:firstRow="1" w:lastRow="0" w:firstColumn="0" w:lastColumn="0" w:oddVBand="0" w:evenVBand="0" w:oddHBand="0" w:evenHBand="0" w:firstRowFirstColumn="0" w:firstRowLastColumn="0" w:lastRowFirstColumn="0" w:lastRowLastColumn="0"/>
            </w:pPr>
            <w:r w:rsidRPr="002A7CC6">
              <w:t>2024</w:t>
            </w:r>
            <w:r w:rsidRPr="002A7CC6">
              <w:rPr>
                <w:rFonts w:ascii="Arial" w:hAnsi="Arial" w:cs="Arial"/>
              </w:rPr>
              <w:t> </w:t>
            </w:r>
            <w:r w:rsidRPr="002A7CC6">
              <w:t xml:space="preserve"> </w:t>
            </w:r>
          </w:p>
        </w:tc>
        <w:tc>
          <w:tcPr>
            <w:tcW w:w="1050" w:type="dxa"/>
            <w:hideMark/>
          </w:tcPr>
          <w:p w14:paraId="0C107EA4" w14:textId="45EDDB36" w:rsidR="00C617EE" w:rsidRPr="00BB2758" w:rsidRDefault="001E649A" w:rsidP="00CC3489">
            <w:pPr>
              <w:spacing w:before="30" w:after="30"/>
              <w:cnfStyle w:val="100000000000" w:firstRow="1" w:lastRow="0" w:firstColumn="0" w:lastColumn="0" w:oddVBand="0" w:evenVBand="0" w:oddHBand="0" w:evenHBand="0" w:firstRowFirstColumn="0" w:firstRowLastColumn="0" w:lastRowFirstColumn="0" w:lastRowLastColumn="0"/>
            </w:pPr>
            <w:r w:rsidRPr="002A7CC6">
              <w:t>2025</w:t>
            </w:r>
          </w:p>
        </w:tc>
        <w:tc>
          <w:tcPr>
            <w:tcW w:w="1050" w:type="dxa"/>
            <w:hideMark/>
          </w:tcPr>
          <w:p w14:paraId="6FD71418" w14:textId="76CD04B4" w:rsidR="00C617EE" w:rsidRPr="00BB2758" w:rsidRDefault="001E649A" w:rsidP="00CC3489">
            <w:pPr>
              <w:spacing w:before="30" w:after="30"/>
              <w:cnfStyle w:val="100000000000" w:firstRow="1" w:lastRow="0" w:firstColumn="0" w:lastColumn="0" w:oddVBand="0" w:evenVBand="0" w:oddHBand="0" w:evenHBand="0" w:firstRowFirstColumn="0" w:firstRowLastColumn="0" w:lastRowFirstColumn="0" w:lastRowLastColumn="0"/>
            </w:pPr>
            <w:r w:rsidRPr="002A7CC6">
              <w:t>2026</w:t>
            </w:r>
          </w:p>
        </w:tc>
      </w:tr>
      <w:tr w:rsidR="00C617EE" w:rsidRPr="0018305A" w14:paraId="50E010EA" w14:textId="77777777" w:rsidTr="001E649A">
        <w:trPr>
          <w:trHeight w:val="300"/>
        </w:trPr>
        <w:tc>
          <w:tcPr>
            <w:cnfStyle w:val="001000000000" w:firstRow="0" w:lastRow="0" w:firstColumn="1" w:lastColumn="0" w:oddVBand="0" w:evenVBand="0" w:oddHBand="0" w:evenHBand="0" w:firstRowFirstColumn="0" w:firstRowLastColumn="0" w:lastRowFirstColumn="0" w:lastRowLastColumn="0"/>
            <w:tcW w:w="6885" w:type="dxa"/>
            <w:hideMark/>
          </w:tcPr>
          <w:p w14:paraId="6B9E0496" w14:textId="77777777" w:rsidR="00C617EE" w:rsidRPr="00BB2758" w:rsidRDefault="00C617EE" w:rsidP="00CC3489">
            <w:pPr>
              <w:spacing w:before="30" w:after="30"/>
            </w:pPr>
            <w:r w:rsidRPr="00BB2758">
              <w:t>Total claims lodged </w:t>
            </w:r>
          </w:p>
        </w:tc>
        <w:tc>
          <w:tcPr>
            <w:tcW w:w="1050" w:type="dxa"/>
            <w:hideMark/>
          </w:tcPr>
          <w:p w14:paraId="2822DFEF" w14:textId="077127A0"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1E649A" w:rsidRPr="002A7CC6">
              <w:t xml:space="preserve">810 </w:t>
            </w:r>
          </w:p>
        </w:tc>
        <w:tc>
          <w:tcPr>
            <w:tcW w:w="1050" w:type="dxa"/>
            <w:hideMark/>
          </w:tcPr>
          <w:p w14:paraId="5CF5ADF6" w14:textId="615799AE"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1E649A" w:rsidRPr="002A7CC6">
              <w:t xml:space="preserve">665 </w:t>
            </w:r>
          </w:p>
        </w:tc>
        <w:tc>
          <w:tcPr>
            <w:tcW w:w="1050" w:type="dxa"/>
            <w:hideMark/>
          </w:tcPr>
          <w:p w14:paraId="581FA3E9" w14:textId="01D4CA9D"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1E649A" w:rsidRPr="002A7CC6">
              <w:t xml:space="preserve">967 </w:t>
            </w:r>
          </w:p>
        </w:tc>
      </w:tr>
      <w:tr w:rsidR="00C617EE" w:rsidRPr="0018305A" w14:paraId="05F355CA" w14:textId="77777777" w:rsidTr="001E649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5" w:type="dxa"/>
            <w:hideMark/>
          </w:tcPr>
          <w:p w14:paraId="3EF5B0BB" w14:textId="77777777" w:rsidR="00C617EE" w:rsidRPr="00BB2758" w:rsidRDefault="00C617EE" w:rsidP="00CC3489">
            <w:pPr>
              <w:spacing w:before="30" w:after="30"/>
            </w:pPr>
            <w:r w:rsidRPr="00BB2758">
              <w:t>Withdrawn, declined or duplicate </w:t>
            </w:r>
          </w:p>
        </w:tc>
        <w:tc>
          <w:tcPr>
            <w:tcW w:w="1050" w:type="dxa"/>
            <w:hideMark/>
          </w:tcPr>
          <w:p w14:paraId="7289D9F6" w14:textId="148ABCC1" w:rsidR="00C617EE" w:rsidRPr="00BB2758" w:rsidRDefault="001E649A" w:rsidP="00CC3489">
            <w:pPr>
              <w:spacing w:before="30" w:after="30"/>
              <w:cnfStyle w:val="000000010000" w:firstRow="0" w:lastRow="0" w:firstColumn="0" w:lastColumn="0" w:oddVBand="0" w:evenVBand="0" w:oddHBand="0" w:evenHBand="1" w:firstRowFirstColumn="0" w:firstRowLastColumn="0" w:lastRowFirstColumn="0" w:lastRowLastColumn="0"/>
            </w:pPr>
            <w:r w:rsidRPr="002A7CC6">
              <w:t>196</w:t>
            </w:r>
          </w:p>
        </w:tc>
        <w:tc>
          <w:tcPr>
            <w:tcW w:w="1050" w:type="dxa"/>
            <w:hideMark/>
          </w:tcPr>
          <w:p w14:paraId="2D7B9F04" w14:textId="790BAC39" w:rsidR="00C617EE" w:rsidRPr="00BB2758" w:rsidRDefault="001E649A" w:rsidP="00CC3489">
            <w:pPr>
              <w:spacing w:before="30" w:after="30"/>
              <w:cnfStyle w:val="000000010000" w:firstRow="0" w:lastRow="0" w:firstColumn="0" w:lastColumn="0" w:oddVBand="0" w:evenVBand="0" w:oddHBand="0" w:evenHBand="1" w:firstRowFirstColumn="0" w:firstRowLastColumn="0" w:lastRowFirstColumn="0" w:lastRowLastColumn="0"/>
            </w:pPr>
            <w:r w:rsidRPr="002A7CC6">
              <w:t>98</w:t>
            </w:r>
          </w:p>
        </w:tc>
        <w:tc>
          <w:tcPr>
            <w:tcW w:w="1050" w:type="dxa"/>
            <w:hideMark/>
          </w:tcPr>
          <w:p w14:paraId="7A901E9D" w14:textId="1E40A604" w:rsidR="00C617EE" w:rsidRPr="00BB2758" w:rsidRDefault="001E649A" w:rsidP="00CC3489">
            <w:pPr>
              <w:spacing w:before="30" w:after="30"/>
              <w:cnfStyle w:val="000000010000" w:firstRow="0" w:lastRow="0" w:firstColumn="0" w:lastColumn="0" w:oddVBand="0" w:evenVBand="0" w:oddHBand="0" w:evenHBand="1" w:firstRowFirstColumn="0" w:firstRowLastColumn="0" w:lastRowFirstColumn="0" w:lastRowLastColumn="0"/>
            </w:pPr>
            <w:r w:rsidRPr="002A7CC6">
              <w:t xml:space="preserve">91 </w:t>
            </w:r>
          </w:p>
        </w:tc>
      </w:tr>
      <w:tr w:rsidR="00C617EE" w:rsidRPr="0018305A" w14:paraId="68A0C37F" w14:textId="77777777" w:rsidTr="001E649A">
        <w:trPr>
          <w:trHeight w:val="300"/>
        </w:trPr>
        <w:tc>
          <w:tcPr>
            <w:cnfStyle w:val="001000000000" w:firstRow="0" w:lastRow="0" w:firstColumn="1" w:lastColumn="0" w:oddVBand="0" w:evenVBand="0" w:oddHBand="0" w:evenHBand="0" w:firstRowFirstColumn="0" w:firstRowLastColumn="0" w:lastRowFirstColumn="0" w:lastRowLastColumn="0"/>
            <w:tcW w:w="6885" w:type="dxa"/>
            <w:hideMark/>
          </w:tcPr>
          <w:p w14:paraId="632ED776" w14:textId="77777777" w:rsidR="00C617EE" w:rsidRPr="00BB2758" w:rsidRDefault="00C617EE" w:rsidP="00CC3489">
            <w:pPr>
              <w:spacing w:before="30" w:after="30"/>
            </w:pPr>
            <w:r w:rsidRPr="00BB2758">
              <w:t>Number of payments made </w:t>
            </w:r>
          </w:p>
        </w:tc>
        <w:tc>
          <w:tcPr>
            <w:tcW w:w="1050" w:type="dxa"/>
            <w:hideMark/>
          </w:tcPr>
          <w:p w14:paraId="170CA2BC" w14:textId="3EF37EBE"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1E649A" w:rsidRPr="002A7CC6">
              <w:t xml:space="preserve">614 </w:t>
            </w:r>
          </w:p>
        </w:tc>
        <w:tc>
          <w:tcPr>
            <w:tcW w:w="1050" w:type="dxa"/>
            <w:hideMark/>
          </w:tcPr>
          <w:p w14:paraId="5ACBCA1B" w14:textId="4FBE7A61"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1E649A" w:rsidRPr="002A7CC6">
              <w:t xml:space="preserve">567 </w:t>
            </w:r>
          </w:p>
        </w:tc>
        <w:tc>
          <w:tcPr>
            <w:tcW w:w="1050" w:type="dxa"/>
            <w:hideMark/>
          </w:tcPr>
          <w:p w14:paraId="57155668" w14:textId="45A84535"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1E649A" w:rsidRPr="002A7CC6">
              <w:t xml:space="preserve">876 </w:t>
            </w:r>
          </w:p>
        </w:tc>
      </w:tr>
      <w:tr w:rsidR="00C617EE" w:rsidRPr="0018305A" w14:paraId="1D9A2FC7" w14:textId="77777777" w:rsidTr="001E649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5" w:type="dxa"/>
            <w:shd w:val="clear" w:color="auto" w:fill="081DA4" w:themeFill="accent1"/>
            <w:hideMark/>
          </w:tcPr>
          <w:p w14:paraId="7A78D8AB" w14:textId="77777777" w:rsidR="00C617EE" w:rsidRPr="00164DC5" w:rsidRDefault="00C617EE" w:rsidP="00CC3489">
            <w:pPr>
              <w:spacing w:before="30" w:after="30"/>
              <w:rPr>
                <w:b/>
                <w:bCs/>
                <w:color w:val="FFFFFF" w:themeColor="background1"/>
              </w:rPr>
            </w:pPr>
            <w:r w:rsidRPr="00164DC5">
              <w:rPr>
                <w:b/>
                <w:bCs/>
                <w:color w:val="FFFFFF" w:themeColor="background1"/>
              </w:rPr>
              <w:t>Criteria under which claims were lodged </w:t>
            </w:r>
          </w:p>
        </w:tc>
        <w:tc>
          <w:tcPr>
            <w:tcW w:w="1050" w:type="dxa"/>
            <w:shd w:val="clear" w:color="auto" w:fill="081DA4" w:themeFill="accent1"/>
            <w:hideMark/>
          </w:tcPr>
          <w:p w14:paraId="091D09CA" w14:textId="6EC6B6C7" w:rsidR="00C617EE" w:rsidRPr="00164DC5" w:rsidRDefault="001E649A" w:rsidP="00CC3489">
            <w:pPr>
              <w:spacing w:before="30" w:after="30"/>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2A7CC6">
              <w:rPr>
                <w:rFonts w:cs="Arial"/>
              </w:rPr>
              <w:t> </w:t>
            </w:r>
            <w:r w:rsidRPr="002A7CC6">
              <w:t xml:space="preserve"> </w:t>
            </w:r>
          </w:p>
        </w:tc>
        <w:tc>
          <w:tcPr>
            <w:tcW w:w="1050" w:type="dxa"/>
            <w:shd w:val="clear" w:color="auto" w:fill="081DA4" w:themeFill="accent1"/>
            <w:hideMark/>
          </w:tcPr>
          <w:p w14:paraId="3A0D52FD" w14:textId="4946579C" w:rsidR="00C617EE" w:rsidRPr="00164DC5" w:rsidRDefault="001E649A" w:rsidP="00CC3489">
            <w:pPr>
              <w:spacing w:before="30" w:after="30"/>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2A7CC6">
              <w:rPr>
                <w:rFonts w:cs="Arial"/>
              </w:rPr>
              <w:t> </w:t>
            </w:r>
            <w:r w:rsidRPr="002A7CC6">
              <w:t xml:space="preserve"> </w:t>
            </w:r>
          </w:p>
        </w:tc>
        <w:tc>
          <w:tcPr>
            <w:tcW w:w="1050" w:type="dxa"/>
            <w:shd w:val="clear" w:color="auto" w:fill="081DA4" w:themeFill="accent1"/>
            <w:hideMark/>
          </w:tcPr>
          <w:p w14:paraId="2C358E20" w14:textId="38EA6249" w:rsidR="00C617EE" w:rsidRPr="00164DC5" w:rsidRDefault="001E649A" w:rsidP="00CC3489">
            <w:pPr>
              <w:spacing w:before="30" w:after="30"/>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2A7CC6">
              <w:rPr>
                <w:rFonts w:cs="Arial"/>
              </w:rPr>
              <w:t> </w:t>
            </w:r>
            <w:r w:rsidRPr="002A7CC6">
              <w:t xml:space="preserve"> </w:t>
            </w:r>
          </w:p>
        </w:tc>
      </w:tr>
      <w:tr w:rsidR="00C617EE" w:rsidRPr="0018305A" w14:paraId="0C61A0D9" w14:textId="77777777" w:rsidTr="001E649A">
        <w:trPr>
          <w:trHeight w:val="300"/>
        </w:trPr>
        <w:tc>
          <w:tcPr>
            <w:cnfStyle w:val="001000000000" w:firstRow="0" w:lastRow="0" w:firstColumn="1" w:lastColumn="0" w:oddVBand="0" w:evenVBand="0" w:oddHBand="0" w:evenHBand="0" w:firstRowFirstColumn="0" w:firstRowLastColumn="0" w:lastRowFirstColumn="0" w:lastRowLastColumn="0"/>
            <w:tcW w:w="6885" w:type="dxa"/>
            <w:hideMark/>
          </w:tcPr>
          <w:p w14:paraId="3F27AA14" w14:textId="2A33F19D" w:rsidR="00C617EE" w:rsidRPr="00BB2758" w:rsidRDefault="00C617EE" w:rsidP="00CC3489">
            <w:pPr>
              <w:spacing w:before="30" w:after="30"/>
            </w:pPr>
            <w:r w:rsidRPr="00BB2758">
              <w:t>More than 5 years</w:t>
            </w:r>
            <w:r w:rsidR="00167F4E">
              <w:t xml:space="preserve"> of</w:t>
            </w:r>
            <w:r w:rsidRPr="00BB2758">
              <w:t xml:space="preserve"> service </w:t>
            </w:r>
          </w:p>
        </w:tc>
        <w:tc>
          <w:tcPr>
            <w:tcW w:w="1050" w:type="dxa"/>
            <w:hideMark/>
          </w:tcPr>
          <w:p w14:paraId="6FB4915D" w14:textId="536F4B58"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1E649A" w:rsidRPr="002A7CC6">
              <w:t xml:space="preserve">341 </w:t>
            </w:r>
          </w:p>
        </w:tc>
        <w:tc>
          <w:tcPr>
            <w:tcW w:w="1050" w:type="dxa"/>
            <w:hideMark/>
          </w:tcPr>
          <w:p w14:paraId="7D397D4A" w14:textId="71FD2746"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1E649A" w:rsidRPr="002A7CC6">
              <w:t xml:space="preserve">359 </w:t>
            </w:r>
          </w:p>
        </w:tc>
        <w:tc>
          <w:tcPr>
            <w:tcW w:w="1050" w:type="dxa"/>
            <w:hideMark/>
          </w:tcPr>
          <w:p w14:paraId="21887E4A" w14:textId="6DA1E268"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1E649A" w:rsidRPr="002A7CC6">
              <w:t xml:space="preserve">569 </w:t>
            </w:r>
          </w:p>
        </w:tc>
      </w:tr>
      <w:tr w:rsidR="00C617EE" w:rsidRPr="0018305A" w14:paraId="2C1BA9AC" w14:textId="77777777" w:rsidTr="001E649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5" w:type="dxa"/>
            <w:hideMark/>
          </w:tcPr>
          <w:p w14:paraId="18644EA5" w14:textId="08833F0D" w:rsidR="00C617EE" w:rsidRPr="00BB2758" w:rsidRDefault="00C617EE" w:rsidP="00CC3489">
            <w:pPr>
              <w:spacing w:before="30" w:after="30"/>
            </w:pPr>
            <w:r w:rsidRPr="00BB2758">
              <w:t>Ill health, age retirement or death (55+ days service)</w:t>
            </w:r>
            <w:r w:rsidR="005B5AC9" w:rsidRPr="00BB2758">
              <w:t xml:space="preserve"> </w:t>
            </w:r>
          </w:p>
        </w:tc>
        <w:tc>
          <w:tcPr>
            <w:tcW w:w="1050" w:type="dxa"/>
            <w:hideMark/>
          </w:tcPr>
          <w:p w14:paraId="5B29D10E" w14:textId="66C71DD0" w:rsidR="00C617EE" w:rsidRPr="00BB2758" w:rsidRDefault="001E649A" w:rsidP="00CC3489">
            <w:pPr>
              <w:spacing w:before="30" w:after="30"/>
              <w:cnfStyle w:val="000000010000" w:firstRow="0" w:lastRow="0" w:firstColumn="0" w:lastColumn="0" w:oddVBand="0" w:evenVBand="0" w:oddHBand="0" w:evenHBand="1" w:firstRowFirstColumn="0" w:firstRowLastColumn="0" w:lastRowFirstColumn="0" w:lastRowLastColumn="0"/>
            </w:pPr>
            <w:r w:rsidRPr="002A7CC6">
              <w:t>23</w:t>
            </w:r>
          </w:p>
        </w:tc>
        <w:tc>
          <w:tcPr>
            <w:tcW w:w="1050" w:type="dxa"/>
            <w:hideMark/>
          </w:tcPr>
          <w:p w14:paraId="6E45DA01" w14:textId="5DEF1987" w:rsidR="00C617EE" w:rsidRPr="00BB2758" w:rsidRDefault="001E649A" w:rsidP="00CC3489">
            <w:pPr>
              <w:spacing w:before="30" w:after="30"/>
              <w:cnfStyle w:val="000000010000" w:firstRow="0" w:lastRow="0" w:firstColumn="0" w:lastColumn="0" w:oddVBand="0" w:evenVBand="0" w:oddHBand="0" w:evenHBand="1" w:firstRowFirstColumn="0" w:firstRowLastColumn="0" w:lastRowFirstColumn="0" w:lastRowLastColumn="0"/>
            </w:pPr>
            <w:r w:rsidRPr="002A7CC6">
              <w:t>9</w:t>
            </w:r>
          </w:p>
        </w:tc>
        <w:tc>
          <w:tcPr>
            <w:tcW w:w="1050" w:type="dxa"/>
            <w:hideMark/>
          </w:tcPr>
          <w:p w14:paraId="08C942FD" w14:textId="514B5BDF" w:rsidR="00C617EE" w:rsidRPr="00BB2758" w:rsidRDefault="001E649A" w:rsidP="00CC3489">
            <w:pPr>
              <w:spacing w:before="30" w:after="30"/>
              <w:cnfStyle w:val="000000010000" w:firstRow="0" w:lastRow="0" w:firstColumn="0" w:lastColumn="0" w:oddVBand="0" w:evenVBand="0" w:oddHBand="0" w:evenHBand="1" w:firstRowFirstColumn="0" w:firstRowLastColumn="0" w:lastRowFirstColumn="0" w:lastRowLastColumn="0"/>
            </w:pPr>
            <w:r w:rsidRPr="002A7CC6">
              <w:t xml:space="preserve">15 </w:t>
            </w:r>
          </w:p>
        </w:tc>
      </w:tr>
      <w:tr w:rsidR="00C617EE" w:rsidRPr="0018305A" w14:paraId="7FD594D3" w14:textId="77777777" w:rsidTr="001E649A">
        <w:trPr>
          <w:trHeight w:val="300"/>
        </w:trPr>
        <w:tc>
          <w:tcPr>
            <w:cnfStyle w:val="001000000000" w:firstRow="0" w:lastRow="0" w:firstColumn="1" w:lastColumn="0" w:oddVBand="0" w:evenVBand="0" w:oddHBand="0" w:evenHBand="0" w:firstRowFirstColumn="0" w:firstRowLastColumn="0" w:lastRowFirstColumn="0" w:lastRowLastColumn="0"/>
            <w:tcW w:w="6885" w:type="dxa"/>
            <w:hideMark/>
          </w:tcPr>
          <w:p w14:paraId="3C48E315" w14:textId="77777777" w:rsidR="00C617EE" w:rsidRPr="00BB2758" w:rsidRDefault="00C617EE" w:rsidP="00CC3489">
            <w:pPr>
              <w:spacing w:before="30" w:after="30"/>
            </w:pPr>
            <w:r w:rsidRPr="00BB2758">
              <w:t>Early release entitlement </w:t>
            </w:r>
          </w:p>
        </w:tc>
        <w:tc>
          <w:tcPr>
            <w:tcW w:w="1050" w:type="dxa"/>
            <w:hideMark/>
          </w:tcPr>
          <w:p w14:paraId="533C6DED" w14:textId="32D5763C" w:rsidR="00C617EE" w:rsidRPr="00BB2758" w:rsidRDefault="001E649A" w:rsidP="00CC3489">
            <w:pPr>
              <w:spacing w:before="30" w:after="30"/>
              <w:cnfStyle w:val="000000000000" w:firstRow="0" w:lastRow="0" w:firstColumn="0" w:lastColumn="0" w:oddVBand="0" w:evenVBand="0" w:oddHBand="0" w:evenHBand="0" w:firstRowFirstColumn="0" w:firstRowLastColumn="0" w:lastRowFirstColumn="0" w:lastRowLastColumn="0"/>
            </w:pPr>
            <w:r w:rsidRPr="002A7CC6">
              <w:t>0</w:t>
            </w:r>
          </w:p>
        </w:tc>
        <w:tc>
          <w:tcPr>
            <w:tcW w:w="1050" w:type="dxa"/>
            <w:hideMark/>
          </w:tcPr>
          <w:p w14:paraId="5051FA02" w14:textId="375AB211"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0</w:t>
            </w:r>
          </w:p>
        </w:tc>
        <w:tc>
          <w:tcPr>
            <w:tcW w:w="1050" w:type="dxa"/>
            <w:hideMark/>
          </w:tcPr>
          <w:p w14:paraId="73F1018E" w14:textId="7080911C" w:rsidR="00C617EE" w:rsidRPr="00BB2758" w:rsidRDefault="00C617EE" w:rsidP="00CC3489">
            <w:pPr>
              <w:spacing w:before="30" w:after="30"/>
              <w:cnfStyle w:val="000000000000" w:firstRow="0" w:lastRow="0" w:firstColumn="0" w:lastColumn="0" w:oddVBand="0" w:evenVBand="0" w:oddHBand="0" w:evenHBand="0" w:firstRowFirstColumn="0" w:firstRowLastColumn="0" w:lastRowFirstColumn="0" w:lastRowLastColumn="0"/>
            </w:pPr>
            <w:r w:rsidRPr="00BB2758">
              <w:t>0</w:t>
            </w:r>
          </w:p>
        </w:tc>
      </w:tr>
      <w:tr w:rsidR="00C617EE" w:rsidRPr="0018305A" w14:paraId="39EE2FE2" w14:textId="77777777" w:rsidTr="001E649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5" w:type="dxa"/>
            <w:hideMark/>
          </w:tcPr>
          <w:p w14:paraId="3FBB66C0" w14:textId="125AA24C" w:rsidR="00C617EE" w:rsidRPr="00BB2758" w:rsidRDefault="007C0FB2" w:rsidP="00CC3489">
            <w:pPr>
              <w:spacing w:before="30" w:after="30"/>
            </w:pPr>
            <w:r>
              <w:rPr>
                <w:lang w:val="en-GB"/>
              </w:rPr>
              <w:t>Reimbursements</w:t>
            </w:r>
            <w:r w:rsidR="00C617EE" w:rsidRPr="00BB2758">
              <w:rPr>
                <w:lang w:val="en-GB"/>
              </w:rPr>
              <w:t xml:space="preserve"> to employers who paid their workers under the </w:t>
            </w:r>
            <w:r w:rsidR="00C617EE" w:rsidRPr="00BB2758">
              <w:rPr>
                <w:i/>
                <w:lang w:val="en-GB"/>
              </w:rPr>
              <w:t>L</w:t>
            </w:r>
            <w:r w:rsidR="00895360" w:rsidRPr="00BB2758">
              <w:rPr>
                <w:i/>
                <w:lang w:val="en-GB"/>
              </w:rPr>
              <w:t xml:space="preserve">ong </w:t>
            </w:r>
            <w:r w:rsidR="00C617EE" w:rsidRPr="00BB2758">
              <w:rPr>
                <w:i/>
                <w:lang w:val="en-GB"/>
              </w:rPr>
              <w:t>S</w:t>
            </w:r>
            <w:r w:rsidR="00895360" w:rsidRPr="00BB2758">
              <w:rPr>
                <w:i/>
                <w:lang w:val="en-GB"/>
              </w:rPr>
              <w:t xml:space="preserve">ervice </w:t>
            </w:r>
            <w:r w:rsidR="00C617EE" w:rsidRPr="00BB2758">
              <w:rPr>
                <w:i/>
                <w:lang w:val="en-GB"/>
              </w:rPr>
              <w:t>L</w:t>
            </w:r>
            <w:r w:rsidR="00895360" w:rsidRPr="00BB2758">
              <w:rPr>
                <w:i/>
                <w:lang w:val="en-GB"/>
              </w:rPr>
              <w:t>eave</w:t>
            </w:r>
            <w:r w:rsidR="00C617EE" w:rsidRPr="00BB2758">
              <w:rPr>
                <w:i/>
                <w:lang w:val="en-GB"/>
              </w:rPr>
              <w:t xml:space="preserve"> Act 1976</w:t>
            </w:r>
            <w:r w:rsidR="00C617EE" w:rsidRPr="00BB2758">
              <w:rPr>
                <w:lang w:val="en-GB"/>
              </w:rPr>
              <w:t xml:space="preserve"> </w:t>
            </w:r>
            <w:r w:rsidR="003B2AAB" w:rsidRPr="00BB2758">
              <w:rPr>
                <w:lang w:val="en-GB"/>
              </w:rPr>
              <w:t xml:space="preserve">or </w:t>
            </w:r>
            <w:r w:rsidR="003B2AAB">
              <w:rPr>
                <w:lang w:val="en-GB"/>
              </w:rPr>
              <w:t>a law prescribed by regulation</w:t>
            </w:r>
            <w:r w:rsidR="00C617EE" w:rsidRPr="00BB2758">
              <w:t> </w:t>
            </w:r>
          </w:p>
        </w:tc>
        <w:tc>
          <w:tcPr>
            <w:tcW w:w="1050" w:type="dxa"/>
            <w:hideMark/>
          </w:tcPr>
          <w:p w14:paraId="1361B695" w14:textId="68756948" w:rsidR="00C617EE" w:rsidRPr="00BB2758" w:rsidRDefault="001E649A" w:rsidP="00CC3489">
            <w:pPr>
              <w:spacing w:before="30" w:after="30"/>
              <w:cnfStyle w:val="000000010000" w:firstRow="0" w:lastRow="0" w:firstColumn="0" w:lastColumn="0" w:oddVBand="0" w:evenVBand="0" w:oddHBand="0" w:evenHBand="1" w:firstRowFirstColumn="0" w:firstRowLastColumn="0" w:lastRowFirstColumn="0" w:lastRowLastColumn="0"/>
            </w:pPr>
            <w:r w:rsidRPr="002A7CC6">
              <w:t>250</w:t>
            </w:r>
          </w:p>
        </w:tc>
        <w:tc>
          <w:tcPr>
            <w:tcW w:w="1050" w:type="dxa"/>
            <w:hideMark/>
          </w:tcPr>
          <w:p w14:paraId="26A63C03" w14:textId="0119B482" w:rsidR="00C617EE" w:rsidRPr="00BB2758" w:rsidRDefault="001E649A" w:rsidP="00CC3489">
            <w:pPr>
              <w:spacing w:before="30" w:after="30"/>
              <w:cnfStyle w:val="000000010000" w:firstRow="0" w:lastRow="0" w:firstColumn="0" w:lastColumn="0" w:oddVBand="0" w:evenVBand="0" w:oddHBand="0" w:evenHBand="1" w:firstRowFirstColumn="0" w:firstRowLastColumn="0" w:lastRowFirstColumn="0" w:lastRowLastColumn="0"/>
            </w:pPr>
            <w:r w:rsidRPr="002A7CC6">
              <w:t>199</w:t>
            </w:r>
          </w:p>
        </w:tc>
        <w:tc>
          <w:tcPr>
            <w:tcW w:w="1050" w:type="dxa"/>
            <w:hideMark/>
          </w:tcPr>
          <w:p w14:paraId="5258F650" w14:textId="5F239C0C" w:rsidR="00C617EE" w:rsidRPr="00BB2758" w:rsidRDefault="001E649A" w:rsidP="00CC3489">
            <w:pPr>
              <w:spacing w:before="30" w:after="30"/>
              <w:cnfStyle w:val="000000010000" w:firstRow="0" w:lastRow="0" w:firstColumn="0" w:lastColumn="0" w:oddVBand="0" w:evenVBand="0" w:oddHBand="0" w:evenHBand="1" w:firstRowFirstColumn="0" w:firstRowLastColumn="0" w:lastRowFirstColumn="0" w:lastRowLastColumn="0"/>
            </w:pPr>
            <w:r w:rsidRPr="002A7CC6">
              <w:t xml:space="preserve">292 </w:t>
            </w:r>
          </w:p>
        </w:tc>
      </w:tr>
    </w:tbl>
    <w:p w14:paraId="4DD5EA92" w14:textId="77777777" w:rsidR="00C617EE" w:rsidRPr="00BB2758" w:rsidRDefault="00C617EE" w:rsidP="00783C67">
      <w:pPr>
        <w:spacing w:after="240"/>
        <w:rPr>
          <w:rFonts w:eastAsiaTheme="majorEastAsia"/>
        </w:rPr>
      </w:pPr>
      <w:r w:rsidRPr="00BB2758">
        <w:t> </w:t>
      </w:r>
    </w:p>
    <w:p w14:paraId="6C02D6E1" w14:textId="49D06290" w:rsidR="00164DC5" w:rsidRPr="00BB2758" w:rsidRDefault="003A0AB8" w:rsidP="00CF17D1">
      <w:pPr>
        <w:rPr>
          <w:rFonts w:eastAsiaTheme="majorEastAsia"/>
        </w:rPr>
      </w:pPr>
      <w:r>
        <w:rPr>
          <w:rFonts w:eastAsiaTheme="majorEastAsia"/>
          <w:noProof/>
        </w:rPr>
        <w:drawing>
          <wp:inline distT="0" distB="0" distL="0" distR="0" wp14:anchorId="59C24096" wp14:editId="49D372AE">
            <wp:extent cx="6410960" cy="2403475"/>
            <wp:effectExtent l="0" t="0" r="8890" b="0"/>
            <wp:docPr id="645295238" name="Picture 12" descr="Decorative testimonial graphic featuring a quote from an employer in the Community Sector Scheme. The graphic includes the testimonial text, a small profile image and the name Caitlin, identified as Chief of Staff, and a larger photograph showing two people in a professional office setting. The photograph is overlaid with ACT Leave's green dynamic track swirl design.&#10;&#10;The testimonial reads: “Portable long service leave helps us keep people in the sector – it adds to the bigger picture of making early childhood education a long-term career.”&#10;&#10;The graphic is included to provide an employer perspective on the benefits of portable long service leave and to support the report's visual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95238" name="Picture 12" descr="Decorative testimonial graphic featuring a quote from an employer in the Community Sector Scheme. The graphic includes the testimonial text, a small profile image and the name Caitlin, identified as Chief of Staff, and a larger photograph showing two people in a professional office setting. The photograph is overlaid with ACT Leave's green dynamic track swirl design.&#10;&#10;The testimonial reads: “Portable long service leave helps us keep people in the sector – it adds to the bigger picture of making early childhood education a long-term career.”&#10;&#10;The graphic is included to provide an employer perspective on the benefits of portable long service leave and to support the report's visual presentation."/>
                    <pic:cNvPicPr/>
                  </pic:nvPicPr>
                  <pic:blipFill>
                    <a:blip r:embed="rId48"/>
                    <a:stretch>
                      <a:fillRect/>
                    </a:stretch>
                  </pic:blipFill>
                  <pic:spPr>
                    <a:xfrm>
                      <a:off x="0" y="0"/>
                      <a:ext cx="6410960" cy="2403475"/>
                    </a:xfrm>
                    <a:prstGeom prst="rect">
                      <a:avLst/>
                    </a:prstGeom>
                  </pic:spPr>
                </pic:pic>
              </a:graphicData>
            </a:graphic>
          </wp:inline>
        </w:drawing>
      </w:r>
    </w:p>
    <w:p w14:paraId="20BFF277" w14:textId="77777777" w:rsidR="00DC1DB0" w:rsidRPr="00BB2758" w:rsidRDefault="00DC1DB0" w:rsidP="006E0242">
      <w:pPr>
        <w:rPr>
          <w:rFonts w:eastAsiaTheme="majorEastAsia"/>
        </w:rPr>
      </w:pPr>
      <w:r w:rsidRPr="00BB2758">
        <w:br w:type="page"/>
      </w:r>
    </w:p>
    <w:p w14:paraId="179EA691" w14:textId="4A235885" w:rsidR="002F031C" w:rsidRPr="00BB2758" w:rsidRDefault="002F031C" w:rsidP="00D65C81">
      <w:pPr>
        <w:pStyle w:val="Heading4"/>
        <w:rPr>
          <w:rFonts w:cs="Arial"/>
          <w:b w:val="0"/>
          <w:sz w:val="22"/>
          <w:szCs w:val="22"/>
        </w:rPr>
      </w:pPr>
      <w:r w:rsidRPr="00BB2758">
        <w:rPr>
          <w:rFonts w:cs="Arial"/>
        </w:rPr>
        <w:lastRenderedPageBreak/>
        <w:t xml:space="preserve">Security Industry Scheme employer and </w:t>
      </w:r>
      <w:r w:rsidR="000A63EA">
        <w:rPr>
          <w:rFonts w:cs="Arial"/>
        </w:rPr>
        <w:t>worker</w:t>
      </w:r>
      <w:r w:rsidRPr="00BB2758">
        <w:rPr>
          <w:rFonts w:cs="Arial"/>
        </w:rPr>
        <w:t xml:space="preserve"> statistics </w:t>
      </w:r>
    </w:p>
    <w:p w14:paraId="5C9EC12F" w14:textId="3DF33FD6" w:rsidR="00600340" w:rsidRDefault="00600340" w:rsidP="00CF17D1">
      <w:r w:rsidRPr="00600340">
        <w:t>The overall number of registered active workers in the Security Industry Scheme decreased by 3.23% during the reporting period. There was an increase of 5.45% in the number of employers registered in the scheme from the previous financial year. </w:t>
      </w:r>
      <w:r w:rsidR="00636CDF">
        <w:t xml:space="preserve">The total number of deregistered workers in the </w:t>
      </w:r>
      <w:r w:rsidR="00343E78">
        <w:t xml:space="preserve">Security </w:t>
      </w:r>
      <w:r w:rsidR="00636CDF">
        <w:t>Industry since the scheme commenced in 20</w:t>
      </w:r>
      <w:r w:rsidR="00343E78">
        <w:t>13</w:t>
      </w:r>
      <w:r w:rsidR="00636CDF">
        <w:t xml:space="preserve"> is </w:t>
      </w:r>
      <w:r w:rsidR="00343E78">
        <w:t>5,270.</w:t>
      </w:r>
    </w:p>
    <w:p w14:paraId="7D8F1144" w14:textId="79BB128D" w:rsidR="002F031C" w:rsidRPr="00BB2758" w:rsidRDefault="002F031C" w:rsidP="006E0242">
      <w:r w:rsidRPr="00BB2758">
        <w:t xml:space="preserve">Figure 7. Security Industry </w:t>
      </w:r>
      <w:r w:rsidR="00364ABE">
        <w:t xml:space="preserve">Scheme </w:t>
      </w:r>
      <w:r w:rsidRPr="00BB2758">
        <w:t xml:space="preserve">employer and </w:t>
      </w:r>
      <w:r w:rsidR="00772B0F">
        <w:t>worker</w:t>
      </w:r>
      <w:r w:rsidRPr="00BB2758">
        <w:t xml:space="preserve"> registration statistics </w:t>
      </w:r>
    </w:p>
    <w:p w14:paraId="749662D9" w14:textId="7BBA2640" w:rsidR="002F031C" w:rsidRDefault="002F031C" w:rsidP="006E0242">
      <w:r w:rsidRPr="00BB2758">
        <w:t xml:space="preserve"> </w:t>
      </w:r>
      <w:r w:rsidR="00E24C3D">
        <w:rPr>
          <w:noProof/>
        </w:rPr>
        <w:drawing>
          <wp:inline distT="0" distB="0" distL="0" distR="0" wp14:anchorId="0F24F473" wp14:editId="2F85CE51">
            <wp:extent cx="6334125" cy="3733165"/>
            <wp:effectExtent l="0" t="0" r="0" b="635"/>
            <wp:docPr id="1630089330" name="Chart 1" descr="Bar graph showing participation in the Security Industry Scheme from 2024 to 2026. The number of registered employers increased from 54 in 2024 to 55 in 2025 and 58 in 2026. Active workers remained stable at 3,717 in both 2024 and 2025 before decreasing slightly to 3,597 in 2026. Inactive workers increased from 83 in 2024 to 114 in 2025 and 173 in 2026. Overall, the graph shows a stable employer base, relatively consistent workforce participation, and a modest increase in inactive workers over the three-year period.">
              <a:extLst xmlns:a="http://schemas.openxmlformats.org/drawingml/2006/main">
                <a:ext uri="{FF2B5EF4-FFF2-40B4-BE49-F238E27FC236}">
                  <a16:creationId xmlns:a16="http://schemas.microsoft.com/office/drawing/2014/main" id="{9042F290-0571-46C8-9AEF-19B481AC8C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85B167E" w14:textId="7A796C93" w:rsidR="002F031C" w:rsidRPr="00BB2758" w:rsidRDefault="002F031C" w:rsidP="006E0242">
      <w:r w:rsidRPr="00BB2758">
        <w:t xml:space="preserve">Image description: Figure 7 is a bar graph that measures the number of registered employers, active </w:t>
      </w:r>
      <w:r w:rsidR="00772B0F">
        <w:t>workers</w:t>
      </w:r>
      <w:r w:rsidRPr="00BB2758">
        <w:t xml:space="preserve">, </w:t>
      </w:r>
      <w:r w:rsidR="00855BD7" w:rsidRPr="00BB2758">
        <w:t xml:space="preserve">and </w:t>
      </w:r>
      <w:r w:rsidRPr="00BB2758">
        <w:t xml:space="preserve">inactive </w:t>
      </w:r>
      <w:r w:rsidR="00772B0F">
        <w:t>workers</w:t>
      </w:r>
      <w:r w:rsidRPr="00BB2758">
        <w:t xml:space="preserve"> each year from </w:t>
      </w:r>
      <w:r w:rsidR="00E24C3D">
        <w:t>2024</w:t>
      </w:r>
      <w:r w:rsidRPr="00BB2758">
        <w:t xml:space="preserve"> to 202</w:t>
      </w:r>
      <w:r w:rsidR="00E24C3D">
        <w:t>6</w:t>
      </w:r>
      <w:r w:rsidRPr="00BB2758">
        <w:t xml:space="preserve"> in the Security Industry Scheme. The data is summarised in the following table: </w:t>
      </w:r>
    </w:p>
    <w:tbl>
      <w:tblPr>
        <w:tblStyle w:val="ACTLeavetable"/>
        <w:tblW w:w="10005" w:type="dxa"/>
        <w:tblLook w:val="04A0" w:firstRow="1" w:lastRow="0" w:firstColumn="1" w:lastColumn="0" w:noHBand="0" w:noVBand="1"/>
      </w:tblPr>
      <w:tblGrid>
        <w:gridCol w:w="4020"/>
        <w:gridCol w:w="1995"/>
        <w:gridCol w:w="1995"/>
        <w:gridCol w:w="1995"/>
      </w:tblGrid>
      <w:tr w:rsidR="002F031C" w:rsidRPr="0018305A" w14:paraId="6EB7585E" w14:textId="77777777" w:rsidTr="00B300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20" w:type="dxa"/>
            <w:vAlign w:val="center"/>
            <w:hideMark/>
          </w:tcPr>
          <w:p w14:paraId="697ABCC2" w14:textId="77777777" w:rsidR="002F031C" w:rsidRPr="00BB2758" w:rsidRDefault="002F031C" w:rsidP="007B6DF2">
            <w:pPr>
              <w:spacing w:before="30" w:after="30"/>
            </w:pPr>
            <w:r w:rsidRPr="00BB2758">
              <w:t> </w:t>
            </w:r>
          </w:p>
        </w:tc>
        <w:tc>
          <w:tcPr>
            <w:tcW w:w="1995" w:type="dxa"/>
            <w:hideMark/>
          </w:tcPr>
          <w:p w14:paraId="24A84847" w14:textId="7A16D68C" w:rsidR="002F031C" w:rsidRPr="00BB2758" w:rsidRDefault="00B30098" w:rsidP="007B6DF2">
            <w:pPr>
              <w:spacing w:before="30" w:after="30"/>
              <w:cnfStyle w:val="100000000000" w:firstRow="1" w:lastRow="0" w:firstColumn="0" w:lastColumn="0" w:oddVBand="0" w:evenVBand="0" w:oddHBand="0" w:evenHBand="0" w:firstRowFirstColumn="0" w:firstRowLastColumn="0" w:lastRowFirstColumn="0" w:lastRowLastColumn="0"/>
            </w:pPr>
            <w:r w:rsidRPr="002C4723">
              <w:t>2024</w:t>
            </w:r>
          </w:p>
        </w:tc>
        <w:tc>
          <w:tcPr>
            <w:tcW w:w="1995" w:type="dxa"/>
            <w:hideMark/>
          </w:tcPr>
          <w:p w14:paraId="66E9918D" w14:textId="63C658AC" w:rsidR="002F031C" w:rsidRPr="00BB2758" w:rsidRDefault="00B30098" w:rsidP="007B6DF2">
            <w:pPr>
              <w:spacing w:before="30" w:after="30"/>
              <w:cnfStyle w:val="100000000000" w:firstRow="1" w:lastRow="0" w:firstColumn="0" w:lastColumn="0" w:oddVBand="0" w:evenVBand="0" w:oddHBand="0" w:evenHBand="0" w:firstRowFirstColumn="0" w:firstRowLastColumn="0" w:lastRowFirstColumn="0" w:lastRowLastColumn="0"/>
            </w:pPr>
            <w:r w:rsidRPr="002C4723">
              <w:t>2025</w:t>
            </w:r>
          </w:p>
        </w:tc>
        <w:tc>
          <w:tcPr>
            <w:tcW w:w="1995" w:type="dxa"/>
            <w:hideMark/>
          </w:tcPr>
          <w:p w14:paraId="2981AC2F" w14:textId="21CB175F" w:rsidR="002F031C" w:rsidRPr="00BB2758" w:rsidRDefault="00B30098" w:rsidP="007B6DF2">
            <w:pPr>
              <w:spacing w:before="30" w:after="30"/>
              <w:cnfStyle w:val="100000000000" w:firstRow="1" w:lastRow="0" w:firstColumn="0" w:lastColumn="0" w:oddVBand="0" w:evenVBand="0" w:oddHBand="0" w:evenHBand="0" w:firstRowFirstColumn="0" w:firstRowLastColumn="0" w:lastRowFirstColumn="0" w:lastRowLastColumn="0"/>
            </w:pPr>
            <w:r w:rsidRPr="002C4723">
              <w:t>2026</w:t>
            </w:r>
          </w:p>
        </w:tc>
      </w:tr>
      <w:tr w:rsidR="002F031C" w:rsidRPr="0018305A" w14:paraId="13D47A0C" w14:textId="77777777" w:rsidTr="00B30098">
        <w:trPr>
          <w:trHeight w:val="300"/>
        </w:trPr>
        <w:tc>
          <w:tcPr>
            <w:cnfStyle w:val="001000000000" w:firstRow="0" w:lastRow="0" w:firstColumn="1" w:lastColumn="0" w:oddVBand="0" w:evenVBand="0" w:oddHBand="0" w:evenHBand="0" w:firstRowFirstColumn="0" w:firstRowLastColumn="0" w:lastRowFirstColumn="0" w:lastRowLastColumn="0"/>
            <w:tcW w:w="4020" w:type="dxa"/>
            <w:vAlign w:val="center"/>
            <w:hideMark/>
          </w:tcPr>
          <w:p w14:paraId="0AC6116D" w14:textId="25A86584" w:rsidR="002F031C" w:rsidRPr="00BB2758" w:rsidRDefault="002F031C" w:rsidP="007B6DF2">
            <w:pPr>
              <w:spacing w:before="30" w:after="30"/>
            </w:pPr>
            <w:r w:rsidRPr="00BB2758">
              <w:t xml:space="preserve">Registered </w:t>
            </w:r>
            <w:r w:rsidR="00364ABE">
              <w:t>e</w:t>
            </w:r>
            <w:r w:rsidRPr="00BB2758">
              <w:t>mployers </w:t>
            </w:r>
          </w:p>
        </w:tc>
        <w:tc>
          <w:tcPr>
            <w:tcW w:w="1995" w:type="dxa"/>
            <w:hideMark/>
          </w:tcPr>
          <w:p w14:paraId="6B973F10" w14:textId="14980114" w:rsidR="002F031C" w:rsidRPr="00BB2758" w:rsidRDefault="00B30098" w:rsidP="007B6DF2">
            <w:pPr>
              <w:spacing w:before="30" w:after="30"/>
              <w:cnfStyle w:val="000000000000" w:firstRow="0" w:lastRow="0" w:firstColumn="0" w:lastColumn="0" w:oddVBand="0" w:evenVBand="0" w:oddHBand="0" w:evenHBand="0" w:firstRowFirstColumn="0" w:firstRowLastColumn="0" w:lastRowFirstColumn="0" w:lastRowLastColumn="0"/>
            </w:pPr>
            <w:r w:rsidRPr="002C4723">
              <w:t>54</w:t>
            </w:r>
          </w:p>
        </w:tc>
        <w:tc>
          <w:tcPr>
            <w:tcW w:w="1995" w:type="dxa"/>
            <w:hideMark/>
          </w:tcPr>
          <w:p w14:paraId="245B390F" w14:textId="66BAE511" w:rsidR="002F031C" w:rsidRPr="00BB2758" w:rsidRDefault="00B30098" w:rsidP="007B6DF2">
            <w:pPr>
              <w:spacing w:before="30" w:after="30"/>
              <w:cnfStyle w:val="000000000000" w:firstRow="0" w:lastRow="0" w:firstColumn="0" w:lastColumn="0" w:oddVBand="0" w:evenVBand="0" w:oddHBand="0" w:evenHBand="0" w:firstRowFirstColumn="0" w:firstRowLastColumn="0" w:lastRowFirstColumn="0" w:lastRowLastColumn="0"/>
            </w:pPr>
            <w:r w:rsidRPr="002C4723">
              <w:t>55</w:t>
            </w:r>
          </w:p>
        </w:tc>
        <w:tc>
          <w:tcPr>
            <w:tcW w:w="1995" w:type="dxa"/>
            <w:hideMark/>
          </w:tcPr>
          <w:p w14:paraId="5AA8ABD2" w14:textId="383C1EC1" w:rsidR="002F031C" w:rsidRPr="00BB2758" w:rsidRDefault="00B30098" w:rsidP="007B6DF2">
            <w:pPr>
              <w:spacing w:before="30" w:after="30"/>
              <w:cnfStyle w:val="000000000000" w:firstRow="0" w:lastRow="0" w:firstColumn="0" w:lastColumn="0" w:oddVBand="0" w:evenVBand="0" w:oddHBand="0" w:evenHBand="0" w:firstRowFirstColumn="0" w:firstRowLastColumn="0" w:lastRowFirstColumn="0" w:lastRowLastColumn="0"/>
            </w:pPr>
            <w:r w:rsidRPr="002C4723">
              <w:t>58</w:t>
            </w:r>
          </w:p>
        </w:tc>
      </w:tr>
      <w:tr w:rsidR="002F031C" w:rsidRPr="0018305A" w14:paraId="2914066C" w14:textId="77777777" w:rsidTr="00B3009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20" w:type="dxa"/>
            <w:vAlign w:val="center"/>
            <w:hideMark/>
          </w:tcPr>
          <w:p w14:paraId="595AE145" w14:textId="0A66C1EF" w:rsidR="002F031C" w:rsidRPr="00BB2758" w:rsidRDefault="002F031C" w:rsidP="007B6DF2">
            <w:pPr>
              <w:spacing w:before="30" w:after="30"/>
            </w:pPr>
            <w:r w:rsidRPr="00BB2758">
              <w:t xml:space="preserve">Active </w:t>
            </w:r>
            <w:r w:rsidR="00364ABE">
              <w:t>w</w:t>
            </w:r>
            <w:r w:rsidR="00002B9C">
              <w:t>orkers</w:t>
            </w:r>
            <w:r w:rsidRPr="00BB2758">
              <w:t> </w:t>
            </w:r>
          </w:p>
        </w:tc>
        <w:tc>
          <w:tcPr>
            <w:tcW w:w="1995" w:type="dxa"/>
            <w:hideMark/>
          </w:tcPr>
          <w:p w14:paraId="0E80F5C7" w14:textId="172F2A3D" w:rsidR="002F031C" w:rsidRPr="00BB2758" w:rsidRDefault="002F031C" w:rsidP="007B6DF2">
            <w:pPr>
              <w:spacing w:before="30" w:after="30"/>
              <w:cnfStyle w:val="000000010000" w:firstRow="0" w:lastRow="0" w:firstColumn="0" w:lastColumn="0" w:oddVBand="0" w:evenVBand="0" w:oddHBand="0" w:evenHBand="1" w:firstRowFirstColumn="0" w:firstRowLastColumn="0" w:lastRowFirstColumn="0" w:lastRowLastColumn="0"/>
            </w:pPr>
            <w:r w:rsidRPr="00BB2758">
              <w:t>3,</w:t>
            </w:r>
            <w:r w:rsidR="00B30098" w:rsidRPr="002C4723">
              <w:t xml:space="preserve">717 </w:t>
            </w:r>
          </w:p>
        </w:tc>
        <w:tc>
          <w:tcPr>
            <w:tcW w:w="1995" w:type="dxa"/>
            <w:hideMark/>
          </w:tcPr>
          <w:p w14:paraId="04618161" w14:textId="0E587940" w:rsidR="002F031C" w:rsidRPr="00BB2758" w:rsidRDefault="002F031C" w:rsidP="007B6DF2">
            <w:pPr>
              <w:spacing w:before="30" w:after="30"/>
              <w:cnfStyle w:val="000000010000" w:firstRow="0" w:lastRow="0" w:firstColumn="0" w:lastColumn="0" w:oddVBand="0" w:evenVBand="0" w:oddHBand="0" w:evenHBand="1" w:firstRowFirstColumn="0" w:firstRowLastColumn="0" w:lastRowFirstColumn="0" w:lastRowLastColumn="0"/>
            </w:pPr>
            <w:r w:rsidRPr="00BB2758">
              <w:t>3,717</w:t>
            </w:r>
            <w:r w:rsidR="00B30098" w:rsidRPr="002C4723">
              <w:t xml:space="preserve"> </w:t>
            </w:r>
          </w:p>
        </w:tc>
        <w:tc>
          <w:tcPr>
            <w:tcW w:w="1995" w:type="dxa"/>
            <w:hideMark/>
          </w:tcPr>
          <w:p w14:paraId="2BAD0E8D" w14:textId="1C3A9D8E" w:rsidR="002F031C" w:rsidRPr="00BB2758" w:rsidRDefault="002F031C" w:rsidP="007B6DF2">
            <w:pPr>
              <w:spacing w:before="30" w:after="30"/>
              <w:cnfStyle w:val="000000010000" w:firstRow="0" w:lastRow="0" w:firstColumn="0" w:lastColumn="0" w:oddVBand="0" w:evenVBand="0" w:oddHBand="0" w:evenHBand="1" w:firstRowFirstColumn="0" w:firstRowLastColumn="0" w:lastRowFirstColumn="0" w:lastRowLastColumn="0"/>
            </w:pPr>
            <w:r w:rsidRPr="00BB2758">
              <w:t>3,</w:t>
            </w:r>
            <w:r w:rsidR="00B30098" w:rsidRPr="002C4723">
              <w:t xml:space="preserve">597 </w:t>
            </w:r>
          </w:p>
        </w:tc>
      </w:tr>
      <w:tr w:rsidR="002F031C" w:rsidRPr="0018305A" w14:paraId="23C64B46" w14:textId="77777777" w:rsidTr="00B30098">
        <w:trPr>
          <w:trHeight w:val="300"/>
        </w:trPr>
        <w:tc>
          <w:tcPr>
            <w:cnfStyle w:val="001000000000" w:firstRow="0" w:lastRow="0" w:firstColumn="1" w:lastColumn="0" w:oddVBand="0" w:evenVBand="0" w:oddHBand="0" w:evenHBand="0" w:firstRowFirstColumn="0" w:firstRowLastColumn="0" w:lastRowFirstColumn="0" w:lastRowLastColumn="0"/>
            <w:tcW w:w="4020" w:type="dxa"/>
            <w:vAlign w:val="center"/>
            <w:hideMark/>
          </w:tcPr>
          <w:p w14:paraId="004736DA" w14:textId="35893800" w:rsidR="002F031C" w:rsidRPr="00BB2758" w:rsidRDefault="002F031C" w:rsidP="007B6DF2">
            <w:pPr>
              <w:spacing w:before="30" w:after="30"/>
            </w:pPr>
            <w:r w:rsidRPr="00BB2758">
              <w:t xml:space="preserve">Inactive </w:t>
            </w:r>
            <w:r w:rsidR="00364ABE">
              <w:t>w</w:t>
            </w:r>
            <w:r w:rsidR="00002B9C">
              <w:t>orkers</w:t>
            </w:r>
            <w:r w:rsidRPr="00BB2758">
              <w:t> </w:t>
            </w:r>
          </w:p>
        </w:tc>
        <w:tc>
          <w:tcPr>
            <w:tcW w:w="1995" w:type="dxa"/>
            <w:hideMark/>
          </w:tcPr>
          <w:p w14:paraId="471005F6" w14:textId="18C4FB61" w:rsidR="002F031C" w:rsidRPr="00BB2758" w:rsidRDefault="00B30098" w:rsidP="007B6DF2">
            <w:pPr>
              <w:spacing w:before="30" w:after="30"/>
              <w:cnfStyle w:val="000000000000" w:firstRow="0" w:lastRow="0" w:firstColumn="0" w:lastColumn="0" w:oddVBand="0" w:evenVBand="0" w:oddHBand="0" w:evenHBand="0" w:firstRowFirstColumn="0" w:firstRowLastColumn="0" w:lastRowFirstColumn="0" w:lastRowLastColumn="0"/>
            </w:pPr>
            <w:r w:rsidRPr="002C4723">
              <w:t>83</w:t>
            </w:r>
          </w:p>
        </w:tc>
        <w:tc>
          <w:tcPr>
            <w:tcW w:w="1995" w:type="dxa"/>
            <w:hideMark/>
          </w:tcPr>
          <w:p w14:paraId="4CC1941F" w14:textId="24155B58" w:rsidR="002F031C" w:rsidRPr="00BB2758" w:rsidRDefault="00B30098" w:rsidP="007B6DF2">
            <w:pPr>
              <w:spacing w:before="30" w:after="30"/>
              <w:cnfStyle w:val="000000000000" w:firstRow="0" w:lastRow="0" w:firstColumn="0" w:lastColumn="0" w:oddVBand="0" w:evenVBand="0" w:oddHBand="0" w:evenHBand="0" w:firstRowFirstColumn="0" w:firstRowLastColumn="0" w:lastRowFirstColumn="0" w:lastRowLastColumn="0"/>
            </w:pPr>
            <w:r w:rsidRPr="002C4723">
              <w:t>114</w:t>
            </w:r>
          </w:p>
        </w:tc>
        <w:tc>
          <w:tcPr>
            <w:tcW w:w="1995" w:type="dxa"/>
            <w:hideMark/>
          </w:tcPr>
          <w:p w14:paraId="395C44C0" w14:textId="4BF3B103" w:rsidR="002F031C" w:rsidRPr="00BB2758" w:rsidRDefault="00B30098" w:rsidP="007B6DF2">
            <w:pPr>
              <w:spacing w:before="30" w:after="30"/>
              <w:cnfStyle w:val="000000000000" w:firstRow="0" w:lastRow="0" w:firstColumn="0" w:lastColumn="0" w:oddVBand="0" w:evenVBand="0" w:oddHBand="0" w:evenHBand="0" w:firstRowFirstColumn="0" w:firstRowLastColumn="0" w:lastRowFirstColumn="0" w:lastRowLastColumn="0"/>
            </w:pPr>
            <w:r w:rsidRPr="002C4723">
              <w:t xml:space="preserve">173 </w:t>
            </w:r>
          </w:p>
        </w:tc>
      </w:tr>
    </w:tbl>
    <w:p w14:paraId="6BB4A753" w14:textId="77777777" w:rsidR="002F031C" w:rsidRPr="00BB2758" w:rsidRDefault="002F031C" w:rsidP="006E0242">
      <w:r w:rsidRPr="00BB2758">
        <w:t> </w:t>
      </w:r>
    </w:p>
    <w:p w14:paraId="54A8CB0E" w14:textId="77777777" w:rsidR="00673C99" w:rsidRDefault="00673C99">
      <w:pPr>
        <w:spacing w:before="120" w:after="120" w:line="240" w:lineRule="auto"/>
        <w:rPr>
          <w:rFonts w:ascii="Arial" w:eastAsiaTheme="majorEastAsia" w:hAnsi="Arial" w:cs="Arial"/>
          <w:b/>
          <w:lang w:val="en-AU" w:eastAsia="en-US"/>
        </w:rPr>
      </w:pPr>
      <w:r>
        <w:rPr>
          <w:rFonts w:cs="Arial"/>
        </w:rPr>
        <w:br w:type="page"/>
      </w:r>
    </w:p>
    <w:p w14:paraId="0C841AD5" w14:textId="7B3FABA5" w:rsidR="002F031C" w:rsidRPr="00BB2758" w:rsidRDefault="002F031C" w:rsidP="00D65C81">
      <w:pPr>
        <w:pStyle w:val="Heading4"/>
        <w:rPr>
          <w:rFonts w:cs="Arial"/>
          <w:b w:val="0"/>
          <w:sz w:val="22"/>
          <w:szCs w:val="22"/>
        </w:rPr>
      </w:pPr>
      <w:r w:rsidRPr="00BB2758">
        <w:rPr>
          <w:rFonts w:cs="Arial"/>
        </w:rPr>
        <w:lastRenderedPageBreak/>
        <w:t>Security Industry Scheme levy contributions </w:t>
      </w:r>
    </w:p>
    <w:p w14:paraId="3873533C" w14:textId="34390C99" w:rsidR="0002740D" w:rsidRDefault="0002740D" w:rsidP="00CF17D1">
      <w:r w:rsidRPr="0002740D">
        <w:t xml:space="preserve">In 2025-26, Security Industry </w:t>
      </w:r>
      <w:r w:rsidR="00364ABE">
        <w:t>Scheme</w:t>
      </w:r>
      <w:r w:rsidRPr="0002740D">
        <w:t xml:space="preserve"> employers paid a total of $1.</w:t>
      </w:r>
      <w:r w:rsidR="00E60535" w:rsidRPr="0002740D">
        <w:t>5</w:t>
      </w:r>
      <w:r w:rsidR="00121E7A">
        <w:t>8</w:t>
      </w:r>
      <w:r w:rsidR="00E60535">
        <w:t xml:space="preserve"> million</w:t>
      </w:r>
      <w:r w:rsidR="00E60535" w:rsidRPr="0002740D">
        <w:t xml:space="preserve"> </w:t>
      </w:r>
      <w:r w:rsidRPr="0002740D">
        <w:t>in levy contributions (up from $1.5</w:t>
      </w:r>
      <w:r w:rsidR="00121E7A">
        <w:t>1</w:t>
      </w:r>
      <w:r w:rsidR="00E60535">
        <w:t xml:space="preserve"> </w:t>
      </w:r>
      <w:r w:rsidRPr="0002740D">
        <w:t>m</w:t>
      </w:r>
      <w:r w:rsidR="00E60535">
        <w:t>illion</w:t>
      </w:r>
      <w:r w:rsidRPr="0002740D">
        <w:t xml:space="preserve"> in 2024-25) based on a levy rate of 1.47% of </w:t>
      </w:r>
      <w:r w:rsidR="00E46867">
        <w:t>gross</w:t>
      </w:r>
      <w:r w:rsidR="00E46867" w:rsidRPr="0002740D">
        <w:t xml:space="preserve"> </w:t>
      </w:r>
      <w:r w:rsidRPr="0002740D">
        <w:t xml:space="preserve">ordinary </w:t>
      </w:r>
      <w:r w:rsidR="00E46867">
        <w:t>wages</w:t>
      </w:r>
      <w:r w:rsidRPr="0002740D">
        <w:t>. The increase in levy contributions paid this year is attributed to general wage increases across the financial year for registered employees. ACT Leave budgeted for $1.5</w:t>
      </w:r>
      <w:r w:rsidR="00121E7A">
        <w:t>8</w:t>
      </w:r>
      <w:r w:rsidR="00E60535">
        <w:t xml:space="preserve"> </w:t>
      </w:r>
      <w:r w:rsidRPr="0002740D">
        <w:t>m</w:t>
      </w:r>
      <w:r w:rsidR="00E60535">
        <w:t>illion</w:t>
      </w:r>
      <w:r w:rsidRPr="0002740D">
        <w:t xml:space="preserve"> in contributions for the 2025-26 financial year.  </w:t>
      </w:r>
    </w:p>
    <w:p w14:paraId="030BAAF6" w14:textId="0980F52B" w:rsidR="002F031C" w:rsidRPr="00BB2758" w:rsidRDefault="002F031C" w:rsidP="006E0242">
      <w:r w:rsidRPr="00BB2758">
        <w:t xml:space="preserve">Figure 8. Security Industry </w:t>
      </w:r>
      <w:r w:rsidR="00103CE7">
        <w:t xml:space="preserve">Scheme </w:t>
      </w:r>
      <w:r w:rsidRPr="00BB2758">
        <w:t>levy contribution payments by employers </w:t>
      </w:r>
    </w:p>
    <w:p w14:paraId="71AA5D68" w14:textId="1827D654" w:rsidR="002F031C" w:rsidRPr="0018305A" w:rsidRDefault="002F031C" w:rsidP="006E0242">
      <w:r w:rsidRPr="00BB2758">
        <w:t xml:space="preserve"> </w:t>
      </w:r>
      <w:r w:rsidR="00D60745">
        <w:rPr>
          <w:noProof/>
        </w:rPr>
        <w:drawing>
          <wp:inline distT="0" distB="0" distL="0" distR="0" wp14:anchorId="02A77115" wp14:editId="250353C6">
            <wp:extent cx="6410960" cy="2789555"/>
            <wp:effectExtent l="0" t="0" r="8890" b="0"/>
            <wp:docPr id="1578952521" name="Chart 1" descr="Bar graph showing levy contributions paid by employers in the Security Industry Scheme from 2020 to 2026. Employer levy contributions increased steadily over the seven-year period, rising from $0.849 million in 2020 to $1.577 million in 2026. Contributions increased to $0.867 million in 2021, $0.919 million in 2022, $0.971 million in 2023, and $1.035 million in 2024, before increasing more significantly to $1.507 million in 2025 and $1.577 million in 2026, the highest level recorded. Overall, the graph shows sustained growth in employer levy contributions, with the strongest increase occurring between 2024 and 2025.">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FCE47E9" w14:textId="6B48129F" w:rsidR="002F031C" w:rsidRPr="00BB2758" w:rsidRDefault="002F031C" w:rsidP="006E0242">
      <w:r w:rsidRPr="00BB2758">
        <w:t xml:space="preserve">Image description: Figure 8 is a bar graph that measures the levy contributions made by employers in the Security Industry Scheme over the last </w:t>
      </w:r>
      <w:r w:rsidR="00F14CC6">
        <w:t>7</w:t>
      </w:r>
      <w:r w:rsidRPr="00BB2758">
        <w:t xml:space="preserve"> years from </w:t>
      </w:r>
      <w:r w:rsidR="00654E4D">
        <w:t>2020</w:t>
      </w:r>
      <w:r w:rsidRPr="00BB2758">
        <w:t xml:space="preserve"> to 202</w:t>
      </w:r>
      <w:r w:rsidR="00654E4D">
        <w:t>6</w:t>
      </w:r>
      <w:r w:rsidRPr="00BB2758">
        <w:t>. The data, measured in dollars, is summarised in the table below:</w:t>
      </w:r>
      <w:r w:rsidR="005B5AC9" w:rsidRPr="00BB2758">
        <w:t xml:space="preserve"> </w:t>
      </w:r>
    </w:p>
    <w:tbl>
      <w:tblPr>
        <w:tblStyle w:val="ACTLeavetable"/>
        <w:tblW w:w="9975" w:type="dxa"/>
        <w:tblLook w:val="04A0" w:firstRow="1" w:lastRow="0" w:firstColumn="1" w:lastColumn="0" w:noHBand="0" w:noVBand="1"/>
      </w:tblPr>
      <w:tblGrid>
        <w:gridCol w:w="1890"/>
        <w:gridCol w:w="1155"/>
        <w:gridCol w:w="1155"/>
        <w:gridCol w:w="1155"/>
        <w:gridCol w:w="1155"/>
        <w:gridCol w:w="1155"/>
        <w:gridCol w:w="1155"/>
        <w:gridCol w:w="1155"/>
      </w:tblGrid>
      <w:tr w:rsidR="002F031C" w:rsidRPr="0018305A" w14:paraId="0F11E73C" w14:textId="77777777" w:rsidTr="00654E4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0" w:type="dxa"/>
            <w:vAlign w:val="center"/>
            <w:hideMark/>
          </w:tcPr>
          <w:p w14:paraId="17A97A0F" w14:textId="77777777" w:rsidR="002F031C" w:rsidRPr="00BB2758" w:rsidRDefault="002F031C" w:rsidP="007B6DF2">
            <w:pPr>
              <w:spacing w:before="30" w:after="30"/>
            </w:pPr>
            <w:r w:rsidRPr="00BB2758">
              <w:t> </w:t>
            </w:r>
          </w:p>
        </w:tc>
        <w:tc>
          <w:tcPr>
            <w:tcW w:w="1155" w:type="dxa"/>
            <w:hideMark/>
          </w:tcPr>
          <w:p w14:paraId="5BBC3EB4" w14:textId="144E68CA" w:rsidR="002F031C" w:rsidRPr="00BB2758" w:rsidRDefault="00654E4D" w:rsidP="007B6DF2">
            <w:pPr>
              <w:spacing w:before="30" w:after="30"/>
              <w:cnfStyle w:val="100000000000" w:firstRow="1" w:lastRow="0" w:firstColumn="0" w:lastColumn="0" w:oddVBand="0" w:evenVBand="0" w:oddHBand="0" w:evenHBand="0" w:firstRowFirstColumn="0" w:firstRowLastColumn="0" w:lastRowFirstColumn="0" w:lastRowLastColumn="0"/>
            </w:pPr>
            <w:r w:rsidRPr="0026211B">
              <w:t>2020</w:t>
            </w:r>
            <w:r w:rsidRPr="0026211B">
              <w:rPr>
                <w:rFonts w:ascii="Arial" w:hAnsi="Arial" w:cs="Arial"/>
              </w:rPr>
              <w:t> </w:t>
            </w:r>
            <w:r w:rsidRPr="0026211B">
              <w:t xml:space="preserve"> </w:t>
            </w:r>
          </w:p>
        </w:tc>
        <w:tc>
          <w:tcPr>
            <w:tcW w:w="1155" w:type="dxa"/>
            <w:hideMark/>
          </w:tcPr>
          <w:p w14:paraId="5FBE7480" w14:textId="4AE55C12" w:rsidR="002F031C" w:rsidRPr="00BB2758" w:rsidRDefault="00654E4D" w:rsidP="007B6DF2">
            <w:pPr>
              <w:spacing w:before="30" w:after="30"/>
              <w:cnfStyle w:val="100000000000" w:firstRow="1" w:lastRow="0" w:firstColumn="0" w:lastColumn="0" w:oddVBand="0" w:evenVBand="0" w:oddHBand="0" w:evenHBand="0" w:firstRowFirstColumn="0" w:firstRowLastColumn="0" w:lastRowFirstColumn="0" w:lastRowLastColumn="0"/>
            </w:pPr>
            <w:r w:rsidRPr="0026211B">
              <w:t>2021</w:t>
            </w:r>
          </w:p>
        </w:tc>
        <w:tc>
          <w:tcPr>
            <w:tcW w:w="1155" w:type="dxa"/>
            <w:hideMark/>
          </w:tcPr>
          <w:p w14:paraId="28884F08" w14:textId="068D2746" w:rsidR="002F031C" w:rsidRPr="00BB2758" w:rsidRDefault="00654E4D" w:rsidP="007B6DF2">
            <w:pPr>
              <w:spacing w:before="30" w:after="30"/>
              <w:cnfStyle w:val="100000000000" w:firstRow="1" w:lastRow="0" w:firstColumn="0" w:lastColumn="0" w:oddVBand="0" w:evenVBand="0" w:oddHBand="0" w:evenHBand="0" w:firstRowFirstColumn="0" w:firstRowLastColumn="0" w:lastRowFirstColumn="0" w:lastRowLastColumn="0"/>
            </w:pPr>
            <w:r w:rsidRPr="0026211B">
              <w:t>2022</w:t>
            </w:r>
          </w:p>
        </w:tc>
        <w:tc>
          <w:tcPr>
            <w:tcW w:w="1155" w:type="dxa"/>
            <w:hideMark/>
          </w:tcPr>
          <w:p w14:paraId="104CBB67" w14:textId="59320FBE" w:rsidR="002F031C" w:rsidRPr="00BB2758" w:rsidRDefault="00654E4D" w:rsidP="007B6DF2">
            <w:pPr>
              <w:spacing w:before="30" w:after="30"/>
              <w:cnfStyle w:val="100000000000" w:firstRow="1" w:lastRow="0" w:firstColumn="0" w:lastColumn="0" w:oddVBand="0" w:evenVBand="0" w:oddHBand="0" w:evenHBand="0" w:firstRowFirstColumn="0" w:firstRowLastColumn="0" w:lastRowFirstColumn="0" w:lastRowLastColumn="0"/>
            </w:pPr>
            <w:r w:rsidRPr="0026211B">
              <w:t>2023</w:t>
            </w:r>
          </w:p>
        </w:tc>
        <w:tc>
          <w:tcPr>
            <w:tcW w:w="1155" w:type="dxa"/>
            <w:hideMark/>
          </w:tcPr>
          <w:p w14:paraId="6ABE1B8F" w14:textId="4BE56820" w:rsidR="002F031C" w:rsidRPr="00BB2758" w:rsidRDefault="00654E4D" w:rsidP="007B6DF2">
            <w:pPr>
              <w:spacing w:before="30" w:after="30"/>
              <w:cnfStyle w:val="100000000000" w:firstRow="1" w:lastRow="0" w:firstColumn="0" w:lastColumn="0" w:oddVBand="0" w:evenVBand="0" w:oddHBand="0" w:evenHBand="0" w:firstRowFirstColumn="0" w:firstRowLastColumn="0" w:lastRowFirstColumn="0" w:lastRowLastColumn="0"/>
            </w:pPr>
            <w:r w:rsidRPr="0026211B">
              <w:t>2024</w:t>
            </w:r>
          </w:p>
        </w:tc>
        <w:tc>
          <w:tcPr>
            <w:tcW w:w="1155" w:type="dxa"/>
            <w:hideMark/>
          </w:tcPr>
          <w:p w14:paraId="1A341F2F" w14:textId="1E08A797" w:rsidR="002F031C" w:rsidRPr="00BB2758" w:rsidRDefault="00654E4D" w:rsidP="007B6DF2">
            <w:pPr>
              <w:spacing w:before="30" w:after="30"/>
              <w:cnfStyle w:val="100000000000" w:firstRow="1" w:lastRow="0" w:firstColumn="0" w:lastColumn="0" w:oddVBand="0" w:evenVBand="0" w:oddHBand="0" w:evenHBand="0" w:firstRowFirstColumn="0" w:firstRowLastColumn="0" w:lastRowFirstColumn="0" w:lastRowLastColumn="0"/>
            </w:pPr>
            <w:r w:rsidRPr="0026211B">
              <w:t>2025</w:t>
            </w:r>
          </w:p>
        </w:tc>
        <w:tc>
          <w:tcPr>
            <w:tcW w:w="1155" w:type="dxa"/>
            <w:hideMark/>
          </w:tcPr>
          <w:p w14:paraId="5C9D0692" w14:textId="4B0C3D0B" w:rsidR="002F031C" w:rsidRPr="00BB2758" w:rsidRDefault="00654E4D" w:rsidP="007B6DF2">
            <w:pPr>
              <w:spacing w:before="30" w:after="30"/>
              <w:cnfStyle w:val="100000000000" w:firstRow="1" w:lastRow="0" w:firstColumn="0" w:lastColumn="0" w:oddVBand="0" w:evenVBand="0" w:oddHBand="0" w:evenHBand="0" w:firstRowFirstColumn="0" w:firstRowLastColumn="0" w:lastRowFirstColumn="0" w:lastRowLastColumn="0"/>
            </w:pPr>
            <w:r w:rsidRPr="0026211B">
              <w:t>2026</w:t>
            </w:r>
          </w:p>
        </w:tc>
      </w:tr>
      <w:tr w:rsidR="002F031C" w:rsidRPr="0018305A" w14:paraId="5AAA1014" w14:textId="77777777" w:rsidTr="00654E4D">
        <w:trPr>
          <w:trHeight w:val="300"/>
        </w:trPr>
        <w:tc>
          <w:tcPr>
            <w:cnfStyle w:val="001000000000" w:firstRow="0" w:lastRow="0" w:firstColumn="1" w:lastColumn="0" w:oddVBand="0" w:evenVBand="0" w:oddHBand="0" w:evenHBand="0" w:firstRowFirstColumn="0" w:firstRowLastColumn="0" w:lastRowFirstColumn="0" w:lastRowLastColumn="0"/>
            <w:tcW w:w="1890" w:type="dxa"/>
            <w:vAlign w:val="center"/>
            <w:hideMark/>
          </w:tcPr>
          <w:p w14:paraId="3CE09441" w14:textId="77777777" w:rsidR="002F031C" w:rsidRPr="00BB2758" w:rsidRDefault="002F031C" w:rsidP="007B6DF2">
            <w:pPr>
              <w:spacing w:before="30" w:after="30"/>
            </w:pPr>
            <w:r w:rsidRPr="00BB2758">
              <w:t>Amount ($) </w:t>
            </w:r>
          </w:p>
        </w:tc>
        <w:tc>
          <w:tcPr>
            <w:tcW w:w="1155" w:type="dxa"/>
            <w:hideMark/>
          </w:tcPr>
          <w:p w14:paraId="0EA468F1" w14:textId="57868C57" w:rsidR="002F031C" w:rsidRPr="00BB2758" w:rsidRDefault="002F031C" w:rsidP="007B6DF2">
            <w:pPr>
              <w:spacing w:before="30" w:after="30"/>
              <w:cnfStyle w:val="000000000000" w:firstRow="0" w:lastRow="0" w:firstColumn="0" w:lastColumn="0" w:oddVBand="0" w:evenVBand="0" w:oddHBand="0" w:evenHBand="0" w:firstRowFirstColumn="0" w:firstRowLastColumn="0" w:lastRowFirstColumn="0" w:lastRowLastColumn="0"/>
            </w:pPr>
            <w:r w:rsidRPr="00BB2758">
              <w:t>0.</w:t>
            </w:r>
            <w:r w:rsidR="00E60535" w:rsidRPr="0026211B">
              <w:t>8</w:t>
            </w:r>
            <w:r w:rsidR="00121E7A">
              <w:t>5</w:t>
            </w:r>
            <w:r w:rsidR="00E60535">
              <w:t>m</w:t>
            </w:r>
            <w:r w:rsidR="00E60535" w:rsidRPr="0026211B">
              <w:t xml:space="preserve"> </w:t>
            </w:r>
          </w:p>
        </w:tc>
        <w:tc>
          <w:tcPr>
            <w:tcW w:w="1155" w:type="dxa"/>
            <w:hideMark/>
          </w:tcPr>
          <w:p w14:paraId="545AAB88" w14:textId="4CFDCCAC" w:rsidR="002F031C" w:rsidRPr="00BB2758" w:rsidRDefault="002F031C" w:rsidP="007B6DF2">
            <w:pPr>
              <w:spacing w:before="30" w:after="30"/>
              <w:cnfStyle w:val="000000000000" w:firstRow="0" w:lastRow="0" w:firstColumn="0" w:lastColumn="0" w:oddVBand="0" w:evenVBand="0" w:oddHBand="0" w:evenHBand="0" w:firstRowFirstColumn="0" w:firstRowLastColumn="0" w:lastRowFirstColumn="0" w:lastRowLastColumn="0"/>
            </w:pPr>
            <w:r w:rsidRPr="00BB2758">
              <w:t>0.</w:t>
            </w:r>
            <w:r w:rsidR="00E60535" w:rsidRPr="0026211B">
              <w:t>8</w:t>
            </w:r>
            <w:r w:rsidR="00121E7A">
              <w:t>7</w:t>
            </w:r>
            <w:r w:rsidR="00E60535">
              <w:t>m</w:t>
            </w:r>
          </w:p>
        </w:tc>
        <w:tc>
          <w:tcPr>
            <w:tcW w:w="1155" w:type="dxa"/>
            <w:hideMark/>
          </w:tcPr>
          <w:p w14:paraId="35737346" w14:textId="3B8BC4C6" w:rsidR="002F031C" w:rsidRPr="00BB2758" w:rsidRDefault="002F031C" w:rsidP="007B6DF2">
            <w:pPr>
              <w:spacing w:before="30" w:after="30"/>
              <w:cnfStyle w:val="000000000000" w:firstRow="0" w:lastRow="0" w:firstColumn="0" w:lastColumn="0" w:oddVBand="0" w:evenVBand="0" w:oddHBand="0" w:evenHBand="0" w:firstRowFirstColumn="0" w:firstRowLastColumn="0" w:lastRowFirstColumn="0" w:lastRowLastColumn="0"/>
            </w:pPr>
            <w:r w:rsidRPr="00BB2758">
              <w:t>0.</w:t>
            </w:r>
            <w:r w:rsidR="00E60535" w:rsidRPr="0026211B">
              <w:t>9</w:t>
            </w:r>
            <w:r w:rsidR="00121E7A">
              <w:t>2</w:t>
            </w:r>
            <w:r w:rsidR="00E60535">
              <w:t>m</w:t>
            </w:r>
            <w:r w:rsidR="00E60535" w:rsidRPr="0026211B">
              <w:t xml:space="preserve"> </w:t>
            </w:r>
          </w:p>
        </w:tc>
        <w:tc>
          <w:tcPr>
            <w:tcW w:w="1155" w:type="dxa"/>
            <w:hideMark/>
          </w:tcPr>
          <w:p w14:paraId="291A095E" w14:textId="7C08A563" w:rsidR="002F031C" w:rsidRPr="00BB2758" w:rsidRDefault="002F031C" w:rsidP="007B6DF2">
            <w:pPr>
              <w:spacing w:before="30" w:after="30"/>
              <w:cnfStyle w:val="000000000000" w:firstRow="0" w:lastRow="0" w:firstColumn="0" w:lastColumn="0" w:oddVBand="0" w:evenVBand="0" w:oddHBand="0" w:evenHBand="0" w:firstRowFirstColumn="0" w:firstRowLastColumn="0" w:lastRowFirstColumn="0" w:lastRowLastColumn="0"/>
            </w:pPr>
            <w:r w:rsidRPr="00BB2758">
              <w:t>0.</w:t>
            </w:r>
            <w:r w:rsidR="00E60535" w:rsidRPr="0026211B">
              <w:t>97</w:t>
            </w:r>
            <w:r w:rsidR="00E60535">
              <w:t>m</w:t>
            </w:r>
          </w:p>
        </w:tc>
        <w:tc>
          <w:tcPr>
            <w:tcW w:w="1155" w:type="dxa"/>
            <w:hideMark/>
          </w:tcPr>
          <w:p w14:paraId="66E612D1" w14:textId="71FF5770" w:rsidR="002F031C" w:rsidRPr="00BB2758" w:rsidRDefault="00654E4D" w:rsidP="007B6DF2">
            <w:pPr>
              <w:spacing w:before="30" w:after="30"/>
              <w:cnfStyle w:val="000000000000" w:firstRow="0" w:lastRow="0" w:firstColumn="0" w:lastColumn="0" w:oddVBand="0" w:evenVBand="0" w:oddHBand="0" w:evenHBand="0" w:firstRowFirstColumn="0" w:firstRowLastColumn="0" w:lastRowFirstColumn="0" w:lastRowLastColumn="0"/>
            </w:pPr>
            <w:r w:rsidRPr="0026211B">
              <w:t>1.</w:t>
            </w:r>
            <w:r w:rsidR="00E60535" w:rsidRPr="0026211B">
              <w:t>0</w:t>
            </w:r>
            <w:r w:rsidR="00121E7A">
              <w:t>4</w:t>
            </w:r>
            <w:r w:rsidR="00E60535">
              <w:t>m</w:t>
            </w:r>
            <w:r w:rsidR="00E60535" w:rsidRPr="0026211B">
              <w:t xml:space="preserve"> </w:t>
            </w:r>
          </w:p>
        </w:tc>
        <w:tc>
          <w:tcPr>
            <w:tcW w:w="1155" w:type="dxa"/>
            <w:hideMark/>
          </w:tcPr>
          <w:p w14:paraId="236CDA8F" w14:textId="4AFD1AE4" w:rsidR="002F031C" w:rsidRPr="00BB2758" w:rsidRDefault="002F031C" w:rsidP="007B6DF2">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E60535" w:rsidRPr="0026211B">
              <w:t>5</w:t>
            </w:r>
            <w:r w:rsidR="00121E7A">
              <w:t>1</w:t>
            </w:r>
            <w:r w:rsidR="00E60535">
              <w:t>m</w:t>
            </w:r>
          </w:p>
        </w:tc>
        <w:tc>
          <w:tcPr>
            <w:tcW w:w="1155" w:type="dxa"/>
            <w:hideMark/>
          </w:tcPr>
          <w:p w14:paraId="22095261" w14:textId="17C15B2D" w:rsidR="002F031C" w:rsidRPr="00BB2758" w:rsidRDefault="002F031C" w:rsidP="007B6DF2">
            <w:pPr>
              <w:spacing w:before="30" w:after="30"/>
              <w:cnfStyle w:val="000000000000" w:firstRow="0" w:lastRow="0" w:firstColumn="0" w:lastColumn="0" w:oddVBand="0" w:evenVBand="0" w:oddHBand="0" w:evenHBand="0" w:firstRowFirstColumn="0" w:firstRowLastColumn="0" w:lastRowFirstColumn="0" w:lastRowLastColumn="0"/>
            </w:pPr>
            <w:r w:rsidRPr="00BB2758">
              <w:t>1.</w:t>
            </w:r>
            <w:r w:rsidR="00E60535" w:rsidRPr="0026211B">
              <w:t>5</w:t>
            </w:r>
            <w:r w:rsidR="00121E7A">
              <w:t>8</w:t>
            </w:r>
            <w:r w:rsidR="00E60535">
              <w:t>m</w:t>
            </w:r>
          </w:p>
        </w:tc>
      </w:tr>
    </w:tbl>
    <w:p w14:paraId="5DBA04D6" w14:textId="77777777" w:rsidR="00E80F18" w:rsidRPr="00BB2758" w:rsidRDefault="00E80F18" w:rsidP="006E0242"/>
    <w:p w14:paraId="107C8498" w14:textId="77777777" w:rsidR="00E80F18" w:rsidRPr="00BB2758" w:rsidRDefault="00E80F18" w:rsidP="006E0242">
      <w:r w:rsidRPr="00BB2758">
        <w:br w:type="page"/>
      </w:r>
    </w:p>
    <w:p w14:paraId="7A33A1E3" w14:textId="089355EE" w:rsidR="002F031C" w:rsidRPr="00BB2758" w:rsidRDefault="002F031C" w:rsidP="00D65C81">
      <w:pPr>
        <w:pStyle w:val="Heading4"/>
        <w:rPr>
          <w:rFonts w:cs="Arial"/>
          <w:lang w:val="en-US"/>
        </w:rPr>
      </w:pPr>
      <w:r w:rsidRPr="3EE19C2C">
        <w:rPr>
          <w:rFonts w:cs="Arial"/>
          <w:lang w:val="en-US"/>
        </w:rPr>
        <w:lastRenderedPageBreak/>
        <w:t>Security Industry Scheme benefit payments</w:t>
      </w:r>
      <w:r w:rsidR="005B5AC9" w:rsidRPr="3EE19C2C">
        <w:rPr>
          <w:rFonts w:cs="Arial"/>
          <w:lang w:val="en-US"/>
        </w:rPr>
        <w:t xml:space="preserve"> </w:t>
      </w:r>
    </w:p>
    <w:p w14:paraId="1D620AC9" w14:textId="4F594A23" w:rsidR="00BB6456" w:rsidRDefault="00BB6456" w:rsidP="00BB6456">
      <w:r>
        <w:t>There were 301 long service leave benefit payments made during the financial year (112 in 2024-25), representing a payment value of $1.4</w:t>
      </w:r>
      <w:r w:rsidR="00121E7A">
        <w:t>9</w:t>
      </w:r>
      <w:r w:rsidR="00E43826">
        <w:t xml:space="preserve"> </w:t>
      </w:r>
      <w:r>
        <w:t>m</w:t>
      </w:r>
      <w:r w:rsidR="00E43826">
        <w:t>illion</w:t>
      </w:r>
      <w:r>
        <w:t xml:space="preserve"> ($0.71</w:t>
      </w:r>
      <w:r w:rsidR="00E43826">
        <w:t xml:space="preserve"> </w:t>
      </w:r>
      <w:r>
        <w:t>m</w:t>
      </w:r>
      <w:r w:rsidR="00E43826">
        <w:t>illion</w:t>
      </w:r>
      <w:r>
        <w:t xml:space="preserve"> in 2024-25).  </w:t>
      </w:r>
    </w:p>
    <w:p w14:paraId="24C0944D" w14:textId="1040FCE8" w:rsidR="002F031C" w:rsidRPr="00BB2758" w:rsidRDefault="002F031C" w:rsidP="006E0242">
      <w:r w:rsidRPr="00BB2758">
        <w:t xml:space="preserve">Overall, within the Security Industry </w:t>
      </w:r>
      <w:r w:rsidR="005609D4">
        <w:t>S</w:t>
      </w:r>
      <w:r w:rsidRPr="00BB2758">
        <w:t xml:space="preserve">cheme the total number of </w:t>
      </w:r>
      <w:r w:rsidR="002115DB">
        <w:t xml:space="preserve">benefit </w:t>
      </w:r>
      <w:r w:rsidRPr="00BB2758">
        <w:t xml:space="preserve">payments </w:t>
      </w:r>
      <w:r w:rsidR="00BB6456">
        <w:t>increased by 168.75% (</w:t>
      </w:r>
      <w:r w:rsidRPr="00BB2758">
        <w:t xml:space="preserve">decreased by 20.57% in </w:t>
      </w:r>
      <w:r w:rsidR="00BB6456">
        <w:t>2024-25</w:t>
      </w:r>
      <w:r w:rsidRPr="00BB2758">
        <w:t xml:space="preserve">), with </w:t>
      </w:r>
      <w:r w:rsidR="00BB6456">
        <w:t>an increase</w:t>
      </w:r>
      <w:r w:rsidRPr="00BB2758">
        <w:t xml:space="preserve"> of </w:t>
      </w:r>
      <w:r w:rsidR="00BB6456">
        <w:t>22.73</w:t>
      </w:r>
      <w:r w:rsidRPr="00BB2758">
        <w:t>% in workers accessing a period of long service leave upon reaching a full entitlement after 7 years</w:t>
      </w:r>
      <w:r w:rsidR="007C7EF2">
        <w:t xml:space="preserve"> of</w:t>
      </w:r>
      <w:r w:rsidRPr="00BB2758">
        <w:t xml:space="preserve"> service (decreased by </w:t>
      </w:r>
      <w:r w:rsidR="00BB6456">
        <w:t>5.71</w:t>
      </w:r>
      <w:r w:rsidRPr="00BB2758">
        <w:t xml:space="preserve">% in </w:t>
      </w:r>
      <w:r w:rsidR="00BB6456">
        <w:t>2024-25).</w:t>
      </w:r>
      <w:r w:rsidRPr="00BB2758">
        <w:t xml:space="preserve"> There was also a significant </w:t>
      </w:r>
      <w:r w:rsidR="00BB6456">
        <w:t>increase</w:t>
      </w:r>
      <w:r w:rsidRPr="00BB2758">
        <w:t xml:space="preserve"> of </w:t>
      </w:r>
      <w:r w:rsidR="00BB6456">
        <w:t>556.67</w:t>
      </w:r>
      <w:r w:rsidRPr="00BB2758">
        <w:t xml:space="preserve">% in </w:t>
      </w:r>
      <w:r w:rsidR="001D05FB">
        <w:t>reimbursements</w:t>
      </w:r>
      <w:r w:rsidRPr="00BB2758">
        <w:t xml:space="preserve"> made to employers who paid </w:t>
      </w:r>
      <w:r w:rsidR="00DA4E94">
        <w:t xml:space="preserve">their employees </w:t>
      </w:r>
      <w:r w:rsidRPr="00BB2758">
        <w:t xml:space="preserve">long service leave benefits under </w:t>
      </w:r>
      <w:r w:rsidR="00293C25">
        <w:t xml:space="preserve">a relevant provision (the </w:t>
      </w:r>
      <w:r w:rsidR="00293C25" w:rsidRPr="00BB2758">
        <w:rPr>
          <w:i/>
          <w:lang w:val="en-GB"/>
        </w:rPr>
        <w:t>Long Service Leave Act 1976</w:t>
      </w:r>
      <w:r w:rsidR="00293C25" w:rsidRPr="00BB2758">
        <w:rPr>
          <w:lang w:val="en-GB"/>
        </w:rPr>
        <w:t xml:space="preserve"> or </w:t>
      </w:r>
      <w:r w:rsidR="00293C25">
        <w:rPr>
          <w:lang w:val="en-GB"/>
        </w:rPr>
        <w:t>a law prescribed by regulation</w:t>
      </w:r>
      <w:r w:rsidR="00293C25">
        <w:t>).</w:t>
      </w:r>
      <w:r w:rsidR="008349AF">
        <w:t xml:space="preserve"> This was</w:t>
      </w:r>
      <w:r w:rsidR="00184010">
        <w:t xml:space="preserve"> a result of </w:t>
      </w:r>
      <w:r w:rsidR="00FB7EEE">
        <w:t xml:space="preserve">security contracts </w:t>
      </w:r>
      <w:r w:rsidR="00DA6B06">
        <w:t xml:space="preserve">changing </w:t>
      </w:r>
      <w:r w:rsidR="008349AF">
        <w:t>providers</w:t>
      </w:r>
      <w:r w:rsidR="00DA6B06">
        <w:t xml:space="preserve"> and </w:t>
      </w:r>
      <w:r w:rsidR="009A34A4">
        <w:t>S</w:t>
      </w:r>
      <w:r w:rsidR="00F606FB">
        <w:t xml:space="preserve">ecurity </w:t>
      </w:r>
      <w:r w:rsidR="009A34A4">
        <w:t>I</w:t>
      </w:r>
      <w:r w:rsidR="00F606FB">
        <w:t xml:space="preserve">ndustry </w:t>
      </w:r>
      <w:r w:rsidR="009A34A4">
        <w:t>Scheme</w:t>
      </w:r>
      <w:r w:rsidR="00F606FB">
        <w:t xml:space="preserve"> </w:t>
      </w:r>
      <w:r w:rsidR="007B3639">
        <w:t>workers receiving their l</w:t>
      </w:r>
      <w:r w:rsidR="00501C79">
        <w:t>o</w:t>
      </w:r>
      <w:r w:rsidR="007B3639">
        <w:t xml:space="preserve">ng service leave entitlement </w:t>
      </w:r>
      <w:r w:rsidR="003D57CE">
        <w:t>from their employer</w:t>
      </w:r>
      <w:r w:rsidR="00D91D6B">
        <w:t xml:space="preserve"> under the </w:t>
      </w:r>
      <w:r w:rsidR="00D91D6B">
        <w:rPr>
          <w:i/>
          <w:iCs/>
        </w:rPr>
        <w:t>Long Service Leave 1976 Act</w:t>
      </w:r>
      <w:r w:rsidR="007B3639">
        <w:t xml:space="preserve"> as part of their redundancy payout</w:t>
      </w:r>
      <w:r w:rsidR="00BB6456">
        <w:t xml:space="preserve">.  </w:t>
      </w:r>
    </w:p>
    <w:tbl>
      <w:tblPr>
        <w:tblStyle w:val="ACTLeavetable"/>
        <w:tblW w:w="5000" w:type="pct"/>
        <w:tblLook w:val="04A0" w:firstRow="1" w:lastRow="0" w:firstColumn="1" w:lastColumn="0" w:noHBand="0" w:noVBand="1"/>
      </w:tblPr>
      <w:tblGrid>
        <w:gridCol w:w="6821"/>
        <w:gridCol w:w="1268"/>
        <w:gridCol w:w="1268"/>
        <w:gridCol w:w="739"/>
      </w:tblGrid>
      <w:tr w:rsidR="002F031C" w:rsidRPr="0018305A" w14:paraId="43F65E5D" w14:textId="77777777">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3378" w:type="pct"/>
            <w:vAlign w:val="center"/>
            <w:hideMark/>
          </w:tcPr>
          <w:p w14:paraId="0B061B9A" w14:textId="64A3C8E0" w:rsidR="002F031C" w:rsidRPr="00BB2758" w:rsidRDefault="002F031C" w:rsidP="007B6DF2">
            <w:pPr>
              <w:spacing w:before="30" w:after="30"/>
            </w:pPr>
            <w:r w:rsidRPr="003F0CB5">
              <w:rPr>
                <w:rFonts w:ascii="Arial" w:hAnsi="Arial"/>
                <w:color w:val="FFFFFF" w:themeColor="background1"/>
              </w:rPr>
              <w:t>Claims lodged</w:t>
            </w:r>
            <w:r w:rsidR="005B5AC9" w:rsidRPr="00BB2758">
              <w:t xml:space="preserve"> </w:t>
            </w:r>
          </w:p>
        </w:tc>
        <w:tc>
          <w:tcPr>
            <w:tcW w:w="628" w:type="pct"/>
            <w:hideMark/>
          </w:tcPr>
          <w:p w14:paraId="045D9D52" w14:textId="26705A90" w:rsidR="002F031C" w:rsidRPr="00BB2758" w:rsidRDefault="006A48D1" w:rsidP="007B6DF2">
            <w:pPr>
              <w:spacing w:before="30" w:after="30"/>
              <w:cnfStyle w:val="100000000000" w:firstRow="1" w:lastRow="0" w:firstColumn="0" w:lastColumn="0" w:oddVBand="0" w:evenVBand="0" w:oddHBand="0" w:evenHBand="0" w:firstRowFirstColumn="0" w:firstRowLastColumn="0" w:lastRowFirstColumn="0" w:lastRowLastColumn="0"/>
            </w:pPr>
            <w:r w:rsidRPr="00C71557">
              <w:t>2024</w:t>
            </w:r>
            <w:r w:rsidRPr="00C71557">
              <w:rPr>
                <w:rFonts w:ascii="Arial" w:hAnsi="Arial" w:cs="Arial"/>
              </w:rPr>
              <w:t> </w:t>
            </w:r>
            <w:r w:rsidRPr="00C71557">
              <w:t xml:space="preserve"> </w:t>
            </w:r>
          </w:p>
        </w:tc>
        <w:tc>
          <w:tcPr>
            <w:tcW w:w="628" w:type="pct"/>
            <w:hideMark/>
          </w:tcPr>
          <w:p w14:paraId="1668F303" w14:textId="53F40A80" w:rsidR="002F031C" w:rsidRPr="00BB2758" w:rsidRDefault="006A48D1" w:rsidP="007B6DF2">
            <w:pPr>
              <w:spacing w:before="30" w:after="30"/>
              <w:cnfStyle w:val="100000000000" w:firstRow="1" w:lastRow="0" w:firstColumn="0" w:lastColumn="0" w:oddVBand="0" w:evenVBand="0" w:oddHBand="0" w:evenHBand="0" w:firstRowFirstColumn="0" w:firstRowLastColumn="0" w:lastRowFirstColumn="0" w:lastRowLastColumn="0"/>
            </w:pPr>
            <w:r w:rsidRPr="00C71557">
              <w:t>2025</w:t>
            </w:r>
          </w:p>
        </w:tc>
        <w:tc>
          <w:tcPr>
            <w:tcW w:w="366" w:type="pct"/>
            <w:hideMark/>
          </w:tcPr>
          <w:p w14:paraId="533F719C" w14:textId="46EFAEFB" w:rsidR="002F031C" w:rsidRPr="00BB2758" w:rsidRDefault="006A48D1" w:rsidP="007B6DF2">
            <w:pPr>
              <w:spacing w:before="30" w:after="30"/>
              <w:cnfStyle w:val="100000000000" w:firstRow="1" w:lastRow="0" w:firstColumn="0" w:lastColumn="0" w:oddVBand="0" w:evenVBand="0" w:oddHBand="0" w:evenHBand="0" w:firstRowFirstColumn="0" w:firstRowLastColumn="0" w:lastRowFirstColumn="0" w:lastRowLastColumn="0"/>
            </w:pPr>
            <w:r w:rsidRPr="00C71557">
              <w:t>2026</w:t>
            </w:r>
          </w:p>
        </w:tc>
      </w:tr>
      <w:tr w:rsidR="002F031C" w:rsidRPr="0018305A" w14:paraId="44C013BF" w14:textId="77777777">
        <w:trPr>
          <w:trHeight w:val="343"/>
        </w:trPr>
        <w:tc>
          <w:tcPr>
            <w:cnfStyle w:val="001000000000" w:firstRow="0" w:lastRow="0" w:firstColumn="1" w:lastColumn="0" w:oddVBand="0" w:evenVBand="0" w:oddHBand="0" w:evenHBand="0" w:firstRowFirstColumn="0" w:firstRowLastColumn="0" w:lastRowFirstColumn="0" w:lastRowLastColumn="0"/>
            <w:tcW w:w="3378" w:type="pct"/>
            <w:vAlign w:val="center"/>
            <w:hideMark/>
          </w:tcPr>
          <w:p w14:paraId="5D8EF6D1" w14:textId="77777777" w:rsidR="002F031C" w:rsidRPr="00BB2758" w:rsidRDefault="002F031C" w:rsidP="007B6DF2">
            <w:pPr>
              <w:spacing w:before="30" w:after="30"/>
            </w:pPr>
            <w:r w:rsidRPr="00BB2758">
              <w:t>Total claims lodged </w:t>
            </w:r>
          </w:p>
        </w:tc>
        <w:tc>
          <w:tcPr>
            <w:tcW w:w="628" w:type="pct"/>
            <w:hideMark/>
          </w:tcPr>
          <w:p w14:paraId="509F9262" w14:textId="6F00AFE3"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164</w:t>
            </w:r>
          </w:p>
        </w:tc>
        <w:tc>
          <w:tcPr>
            <w:tcW w:w="628" w:type="pct"/>
            <w:hideMark/>
          </w:tcPr>
          <w:p w14:paraId="14BF8701" w14:textId="2E41DBDF"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121</w:t>
            </w:r>
          </w:p>
        </w:tc>
        <w:tc>
          <w:tcPr>
            <w:tcW w:w="366" w:type="pct"/>
            <w:hideMark/>
          </w:tcPr>
          <w:p w14:paraId="12AAFD32" w14:textId="2C58DC50"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 xml:space="preserve">317 </w:t>
            </w:r>
          </w:p>
        </w:tc>
      </w:tr>
      <w:tr w:rsidR="002F031C" w:rsidRPr="0018305A" w14:paraId="517D0371" w14:textId="77777777">
        <w:trPr>
          <w:cnfStyle w:val="000000010000" w:firstRow="0" w:lastRow="0" w:firstColumn="0" w:lastColumn="0" w:oddVBand="0" w:evenVBand="0" w:oddHBand="0" w:evenHBand="1"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3378" w:type="pct"/>
            <w:vAlign w:val="center"/>
            <w:hideMark/>
          </w:tcPr>
          <w:p w14:paraId="17C26327" w14:textId="77777777" w:rsidR="002F031C" w:rsidRPr="00BB2758" w:rsidRDefault="002F031C" w:rsidP="007B6DF2">
            <w:pPr>
              <w:spacing w:before="30" w:after="30"/>
            </w:pPr>
            <w:r w:rsidRPr="00BB2758">
              <w:t>Withdrawn, declined or duplicate </w:t>
            </w:r>
          </w:p>
        </w:tc>
        <w:tc>
          <w:tcPr>
            <w:tcW w:w="628" w:type="pct"/>
            <w:hideMark/>
          </w:tcPr>
          <w:p w14:paraId="17627DB4" w14:textId="2F167889" w:rsidR="002F031C" w:rsidRPr="00BB2758" w:rsidRDefault="006A48D1" w:rsidP="007B6DF2">
            <w:pPr>
              <w:spacing w:before="30" w:after="30"/>
              <w:cnfStyle w:val="000000010000" w:firstRow="0" w:lastRow="0" w:firstColumn="0" w:lastColumn="0" w:oddVBand="0" w:evenVBand="0" w:oddHBand="0" w:evenHBand="1" w:firstRowFirstColumn="0" w:firstRowLastColumn="0" w:lastRowFirstColumn="0" w:lastRowLastColumn="0"/>
            </w:pPr>
            <w:r w:rsidRPr="00C71557">
              <w:t>23</w:t>
            </w:r>
          </w:p>
        </w:tc>
        <w:tc>
          <w:tcPr>
            <w:tcW w:w="628" w:type="pct"/>
            <w:hideMark/>
          </w:tcPr>
          <w:p w14:paraId="387D0E26" w14:textId="01CCC883" w:rsidR="002F031C" w:rsidRPr="00BB2758" w:rsidRDefault="006A48D1" w:rsidP="007B6DF2">
            <w:pPr>
              <w:spacing w:before="30" w:after="30"/>
              <w:cnfStyle w:val="000000010000" w:firstRow="0" w:lastRow="0" w:firstColumn="0" w:lastColumn="0" w:oddVBand="0" w:evenVBand="0" w:oddHBand="0" w:evenHBand="1" w:firstRowFirstColumn="0" w:firstRowLastColumn="0" w:lastRowFirstColumn="0" w:lastRowLastColumn="0"/>
            </w:pPr>
            <w:r w:rsidRPr="00C71557">
              <w:t>9</w:t>
            </w:r>
          </w:p>
        </w:tc>
        <w:tc>
          <w:tcPr>
            <w:tcW w:w="366" w:type="pct"/>
            <w:hideMark/>
          </w:tcPr>
          <w:p w14:paraId="3094A4A4" w14:textId="139B29D4" w:rsidR="002F031C" w:rsidRPr="00BB2758" w:rsidRDefault="006A48D1" w:rsidP="007B6DF2">
            <w:pPr>
              <w:spacing w:before="30" w:after="30"/>
              <w:cnfStyle w:val="000000010000" w:firstRow="0" w:lastRow="0" w:firstColumn="0" w:lastColumn="0" w:oddVBand="0" w:evenVBand="0" w:oddHBand="0" w:evenHBand="1" w:firstRowFirstColumn="0" w:firstRowLastColumn="0" w:lastRowFirstColumn="0" w:lastRowLastColumn="0"/>
            </w:pPr>
            <w:r w:rsidRPr="00C71557">
              <w:t>16</w:t>
            </w:r>
          </w:p>
        </w:tc>
      </w:tr>
      <w:tr w:rsidR="002F031C" w:rsidRPr="0018305A" w14:paraId="5FA3E789" w14:textId="77777777">
        <w:trPr>
          <w:trHeight w:val="343"/>
        </w:trPr>
        <w:tc>
          <w:tcPr>
            <w:cnfStyle w:val="001000000000" w:firstRow="0" w:lastRow="0" w:firstColumn="1" w:lastColumn="0" w:oddVBand="0" w:evenVBand="0" w:oddHBand="0" w:evenHBand="0" w:firstRowFirstColumn="0" w:firstRowLastColumn="0" w:lastRowFirstColumn="0" w:lastRowLastColumn="0"/>
            <w:tcW w:w="3378" w:type="pct"/>
            <w:vAlign w:val="center"/>
            <w:hideMark/>
          </w:tcPr>
          <w:p w14:paraId="43F9D40D" w14:textId="77777777" w:rsidR="002F031C" w:rsidRPr="00BB2758" w:rsidRDefault="002F031C" w:rsidP="007B6DF2">
            <w:pPr>
              <w:spacing w:before="30" w:after="30"/>
            </w:pPr>
            <w:r w:rsidRPr="00BB2758">
              <w:t>Number of payments made </w:t>
            </w:r>
          </w:p>
        </w:tc>
        <w:tc>
          <w:tcPr>
            <w:tcW w:w="628" w:type="pct"/>
            <w:hideMark/>
          </w:tcPr>
          <w:p w14:paraId="6248D3EF" w14:textId="1D85B891"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141</w:t>
            </w:r>
          </w:p>
        </w:tc>
        <w:tc>
          <w:tcPr>
            <w:tcW w:w="628" w:type="pct"/>
            <w:hideMark/>
          </w:tcPr>
          <w:p w14:paraId="1EF7502B" w14:textId="4624E525"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112</w:t>
            </w:r>
          </w:p>
        </w:tc>
        <w:tc>
          <w:tcPr>
            <w:tcW w:w="366" w:type="pct"/>
            <w:hideMark/>
          </w:tcPr>
          <w:p w14:paraId="10CB3B05" w14:textId="561AE1D8"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 xml:space="preserve">301 </w:t>
            </w:r>
          </w:p>
        </w:tc>
      </w:tr>
      <w:tr w:rsidR="002F031C" w:rsidRPr="0018305A" w14:paraId="6833D3E3" w14:textId="77777777">
        <w:trPr>
          <w:cnfStyle w:val="000000010000" w:firstRow="0" w:lastRow="0" w:firstColumn="0" w:lastColumn="0" w:oddVBand="0" w:evenVBand="0" w:oddHBand="0" w:evenHBand="1"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3378" w:type="pct"/>
            <w:shd w:val="clear" w:color="auto" w:fill="081DA4" w:themeFill="accent1"/>
            <w:vAlign w:val="center"/>
            <w:hideMark/>
          </w:tcPr>
          <w:p w14:paraId="2DF65FDE" w14:textId="77777777" w:rsidR="002F031C" w:rsidRPr="003A1EA7" w:rsidRDefault="002F031C" w:rsidP="007B6DF2">
            <w:pPr>
              <w:spacing w:before="30" w:after="30"/>
              <w:rPr>
                <w:b/>
                <w:bCs/>
                <w:color w:val="FFFFFF" w:themeColor="background1"/>
              </w:rPr>
            </w:pPr>
            <w:r w:rsidRPr="003A1EA7">
              <w:rPr>
                <w:b/>
                <w:bCs/>
                <w:color w:val="FFFFFF" w:themeColor="background1"/>
              </w:rPr>
              <w:t>Criteria under which claims were lodged </w:t>
            </w:r>
          </w:p>
        </w:tc>
        <w:tc>
          <w:tcPr>
            <w:tcW w:w="628" w:type="pct"/>
            <w:shd w:val="clear" w:color="auto" w:fill="081DA4" w:themeFill="accent1"/>
            <w:hideMark/>
          </w:tcPr>
          <w:p w14:paraId="5FC88D1B" w14:textId="06C7FE70" w:rsidR="002F031C" w:rsidRPr="003A1EA7" w:rsidRDefault="006A48D1" w:rsidP="007B6DF2">
            <w:pPr>
              <w:spacing w:before="30" w:after="30"/>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C71557">
              <w:rPr>
                <w:rFonts w:cs="Arial"/>
              </w:rPr>
              <w:t> </w:t>
            </w:r>
            <w:r w:rsidRPr="00C71557">
              <w:t xml:space="preserve"> </w:t>
            </w:r>
          </w:p>
        </w:tc>
        <w:tc>
          <w:tcPr>
            <w:tcW w:w="628" w:type="pct"/>
            <w:shd w:val="clear" w:color="auto" w:fill="081DA4" w:themeFill="accent1"/>
            <w:hideMark/>
          </w:tcPr>
          <w:p w14:paraId="2BDA2D43" w14:textId="529AC176" w:rsidR="002F031C" w:rsidRPr="003A1EA7" w:rsidRDefault="006A48D1" w:rsidP="007B6DF2">
            <w:pPr>
              <w:spacing w:before="30" w:after="30"/>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C71557">
              <w:rPr>
                <w:rFonts w:cs="Arial"/>
              </w:rPr>
              <w:t> </w:t>
            </w:r>
            <w:r w:rsidRPr="00C71557">
              <w:t xml:space="preserve"> </w:t>
            </w:r>
          </w:p>
        </w:tc>
        <w:tc>
          <w:tcPr>
            <w:tcW w:w="366" w:type="pct"/>
            <w:shd w:val="clear" w:color="auto" w:fill="081DA4" w:themeFill="accent1"/>
            <w:hideMark/>
          </w:tcPr>
          <w:p w14:paraId="6C071EC1" w14:textId="1953D815" w:rsidR="002F031C" w:rsidRPr="003A1EA7" w:rsidRDefault="006A48D1" w:rsidP="007B6DF2">
            <w:pPr>
              <w:spacing w:before="30" w:after="30"/>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C71557">
              <w:rPr>
                <w:rFonts w:cs="Arial"/>
              </w:rPr>
              <w:t> </w:t>
            </w:r>
            <w:r w:rsidRPr="00C71557">
              <w:t xml:space="preserve"> </w:t>
            </w:r>
          </w:p>
        </w:tc>
      </w:tr>
      <w:tr w:rsidR="002F031C" w:rsidRPr="0018305A" w14:paraId="583D82E6" w14:textId="77777777">
        <w:trPr>
          <w:trHeight w:val="343"/>
        </w:trPr>
        <w:tc>
          <w:tcPr>
            <w:cnfStyle w:val="001000000000" w:firstRow="0" w:lastRow="0" w:firstColumn="1" w:lastColumn="0" w:oddVBand="0" w:evenVBand="0" w:oddHBand="0" w:evenHBand="0" w:firstRowFirstColumn="0" w:firstRowLastColumn="0" w:lastRowFirstColumn="0" w:lastRowLastColumn="0"/>
            <w:tcW w:w="3378" w:type="pct"/>
            <w:vAlign w:val="center"/>
            <w:hideMark/>
          </w:tcPr>
          <w:p w14:paraId="27549C62" w14:textId="10FA1B48" w:rsidR="002F031C" w:rsidRPr="00BB2758" w:rsidRDefault="002F031C" w:rsidP="007B6DF2">
            <w:pPr>
              <w:spacing w:before="30" w:after="30"/>
            </w:pPr>
            <w:r w:rsidRPr="00BB2758">
              <w:t>More than 7 years</w:t>
            </w:r>
            <w:r w:rsidR="006640EC">
              <w:t xml:space="preserve"> of</w:t>
            </w:r>
            <w:r w:rsidRPr="00BB2758">
              <w:t xml:space="preserve"> service </w:t>
            </w:r>
          </w:p>
        </w:tc>
        <w:tc>
          <w:tcPr>
            <w:tcW w:w="628" w:type="pct"/>
            <w:hideMark/>
          </w:tcPr>
          <w:p w14:paraId="74002B2C" w14:textId="3D99F05B"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70</w:t>
            </w:r>
          </w:p>
        </w:tc>
        <w:tc>
          <w:tcPr>
            <w:tcW w:w="628" w:type="pct"/>
            <w:hideMark/>
          </w:tcPr>
          <w:p w14:paraId="45853371" w14:textId="77ED3215"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66</w:t>
            </w:r>
          </w:p>
        </w:tc>
        <w:tc>
          <w:tcPr>
            <w:tcW w:w="366" w:type="pct"/>
            <w:hideMark/>
          </w:tcPr>
          <w:p w14:paraId="221344A7" w14:textId="6B32AA2D"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 xml:space="preserve">81 </w:t>
            </w:r>
          </w:p>
        </w:tc>
      </w:tr>
      <w:tr w:rsidR="002F031C" w:rsidRPr="0018305A" w14:paraId="43EA7E58" w14:textId="77777777">
        <w:trPr>
          <w:cnfStyle w:val="000000010000" w:firstRow="0" w:lastRow="0" w:firstColumn="0" w:lastColumn="0" w:oddVBand="0" w:evenVBand="0" w:oddHBand="0" w:evenHBand="1"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3378" w:type="pct"/>
            <w:vAlign w:val="center"/>
            <w:hideMark/>
          </w:tcPr>
          <w:p w14:paraId="4AD38F4A" w14:textId="77777777" w:rsidR="002F031C" w:rsidRPr="00BB2758" w:rsidRDefault="002F031C" w:rsidP="007B6DF2">
            <w:pPr>
              <w:spacing w:before="30" w:after="30"/>
            </w:pPr>
            <w:r w:rsidRPr="00BB2758">
              <w:t>Pro-rata (5 years but less than 7 years of credited service) </w:t>
            </w:r>
          </w:p>
        </w:tc>
        <w:tc>
          <w:tcPr>
            <w:tcW w:w="628" w:type="pct"/>
            <w:hideMark/>
          </w:tcPr>
          <w:p w14:paraId="312CECA4" w14:textId="435C05FA" w:rsidR="002F031C" w:rsidRPr="00BB2758" w:rsidRDefault="006A48D1" w:rsidP="007B6DF2">
            <w:pPr>
              <w:spacing w:before="30" w:after="30"/>
              <w:cnfStyle w:val="000000010000" w:firstRow="0" w:lastRow="0" w:firstColumn="0" w:lastColumn="0" w:oddVBand="0" w:evenVBand="0" w:oddHBand="0" w:evenHBand="1" w:firstRowFirstColumn="0" w:firstRowLastColumn="0" w:lastRowFirstColumn="0" w:lastRowLastColumn="0"/>
            </w:pPr>
            <w:r w:rsidRPr="00C71557">
              <w:t>6</w:t>
            </w:r>
          </w:p>
        </w:tc>
        <w:tc>
          <w:tcPr>
            <w:tcW w:w="628" w:type="pct"/>
            <w:hideMark/>
          </w:tcPr>
          <w:p w14:paraId="237F127E" w14:textId="04A82644" w:rsidR="002F031C" w:rsidRPr="00BB2758" w:rsidRDefault="006A48D1" w:rsidP="007B6DF2">
            <w:pPr>
              <w:spacing w:before="30" w:after="30"/>
              <w:cnfStyle w:val="000000010000" w:firstRow="0" w:lastRow="0" w:firstColumn="0" w:lastColumn="0" w:oddVBand="0" w:evenVBand="0" w:oddHBand="0" w:evenHBand="1" w:firstRowFirstColumn="0" w:firstRowLastColumn="0" w:lastRowFirstColumn="0" w:lastRowLastColumn="0"/>
            </w:pPr>
            <w:r w:rsidRPr="00C71557">
              <w:t>11</w:t>
            </w:r>
          </w:p>
        </w:tc>
        <w:tc>
          <w:tcPr>
            <w:tcW w:w="366" w:type="pct"/>
            <w:hideMark/>
          </w:tcPr>
          <w:p w14:paraId="5CF5271D" w14:textId="7DB2477E" w:rsidR="002F031C" w:rsidRPr="00BB2758" w:rsidRDefault="006A48D1" w:rsidP="007B6DF2">
            <w:pPr>
              <w:spacing w:before="30" w:after="30"/>
              <w:cnfStyle w:val="000000010000" w:firstRow="0" w:lastRow="0" w:firstColumn="0" w:lastColumn="0" w:oddVBand="0" w:evenVBand="0" w:oddHBand="0" w:evenHBand="1" w:firstRowFirstColumn="0" w:firstRowLastColumn="0" w:lastRowFirstColumn="0" w:lastRowLastColumn="0"/>
            </w:pPr>
            <w:r w:rsidRPr="00C71557">
              <w:t xml:space="preserve">20 </w:t>
            </w:r>
          </w:p>
        </w:tc>
      </w:tr>
      <w:tr w:rsidR="002F031C" w:rsidRPr="0018305A" w14:paraId="20E9E5B7" w14:textId="77777777">
        <w:trPr>
          <w:trHeight w:val="343"/>
        </w:trPr>
        <w:tc>
          <w:tcPr>
            <w:cnfStyle w:val="001000000000" w:firstRow="0" w:lastRow="0" w:firstColumn="1" w:lastColumn="0" w:oddVBand="0" w:evenVBand="0" w:oddHBand="0" w:evenHBand="0" w:firstRowFirstColumn="0" w:firstRowLastColumn="0" w:lastRowFirstColumn="0" w:lastRowLastColumn="0"/>
            <w:tcW w:w="3378" w:type="pct"/>
            <w:vAlign w:val="center"/>
            <w:hideMark/>
          </w:tcPr>
          <w:p w14:paraId="15FDC4A5" w14:textId="347ED656" w:rsidR="002F031C" w:rsidRPr="00BB2758" w:rsidRDefault="002F031C" w:rsidP="007B6DF2">
            <w:pPr>
              <w:spacing w:before="30" w:after="30"/>
            </w:pPr>
            <w:r w:rsidRPr="00BB2758">
              <w:t>Ill health, age retirement or death (Greater than 5 years</w:t>
            </w:r>
            <w:r w:rsidR="006640EC">
              <w:t xml:space="preserve"> of</w:t>
            </w:r>
            <w:r w:rsidRPr="00BB2758">
              <w:t xml:space="preserve"> service)</w:t>
            </w:r>
            <w:r w:rsidR="005B5AC9" w:rsidRPr="00BB2758">
              <w:t xml:space="preserve"> </w:t>
            </w:r>
          </w:p>
        </w:tc>
        <w:tc>
          <w:tcPr>
            <w:tcW w:w="628" w:type="pct"/>
            <w:hideMark/>
          </w:tcPr>
          <w:p w14:paraId="436DBD24" w14:textId="78F96B7E"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5</w:t>
            </w:r>
          </w:p>
        </w:tc>
        <w:tc>
          <w:tcPr>
            <w:tcW w:w="628" w:type="pct"/>
            <w:hideMark/>
          </w:tcPr>
          <w:p w14:paraId="63FDE7B1" w14:textId="264325AB" w:rsidR="002F031C" w:rsidRPr="00BB2758" w:rsidRDefault="002F031C" w:rsidP="007B6DF2">
            <w:pPr>
              <w:spacing w:before="30" w:after="30"/>
              <w:cnfStyle w:val="000000000000" w:firstRow="0" w:lastRow="0" w:firstColumn="0" w:lastColumn="0" w:oddVBand="0" w:evenVBand="0" w:oddHBand="0" w:evenHBand="0" w:firstRowFirstColumn="0" w:firstRowLastColumn="0" w:lastRowFirstColumn="0" w:lastRowLastColumn="0"/>
            </w:pPr>
            <w:r w:rsidRPr="00BB2758">
              <w:t>5</w:t>
            </w:r>
          </w:p>
        </w:tc>
        <w:tc>
          <w:tcPr>
            <w:tcW w:w="366" w:type="pct"/>
            <w:hideMark/>
          </w:tcPr>
          <w:p w14:paraId="1EAE546F" w14:textId="657B58ED"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 xml:space="preserve">3 </w:t>
            </w:r>
          </w:p>
        </w:tc>
      </w:tr>
      <w:tr w:rsidR="002F031C" w:rsidRPr="0018305A" w14:paraId="1FA6B1EB" w14:textId="77777777">
        <w:trPr>
          <w:cnfStyle w:val="000000010000" w:firstRow="0" w:lastRow="0" w:firstColumn="0" w:lastColumn="0" w:oddVBand="0" w:evenVBand="0" w:oddHBand="0" w:evenHBand="1"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3378" w:type="pct"/>
            <w:vAlign w:val="center"/>
            <w:hideMark/>
          </w:tcPr>
          <w:p w14:paraId="481E6A95" w14:textId="77777777" w:rsidR="002F031C" w:rsidRPr="00BB2758" w:rsidRDefault="002F031C" w:rsidP="007B6DF2">
            <w:pPr>
              <w:spacing w:before="30" w:after="30"/>
            </w:pPr>
            <w:r w:rsidRPr="00BB2758">
              <w:t>Early release entitlement </w:t>
            </w:r>
          </w:p>
        </w:tc>
        <w:tc>
          <w:tcPr>
            <w:tcW w:w="628" w:type="pct"/>
            <w:hideMark/>
          </w:tcPr>
          <w:p w14:paraId="51EBAC72" w14:textId="127FC5E9" w:rsidR="002F031C" w:rsidRPr="00BB2758" w:rsidRDefault="002F031C" w:rsidP="007B6DF2">
            <w:pPr>
              <w:spacing w:before="30" w:after="30"/>
              <w:cnfStyle w:val="000000010000" w:firstRow="0" w:lastRow="0" w:firstColumn="0" w:lastColumn="0" w:oddVBand="0" w:evenVBand="0" w:oddHBand="0" w:evenHBand="1" w:firstRowFirstColumn="0" w:firstRowLastColumn="0" w:lastRowFirstColumn="0" w:lastRowLastColumn="0"/>
            </w:pPr>
            <w:r w:rsidRPr="00BB2758">
              <w:t>0</w:t>
            </w:r>
            <w:r w:rsidR="006A48D1" w:rsidRPr="00C71557">
              <w:t xml:space="preserve"> </w:t>
            </w:r>
          </w:p>
        </w:tc>
        <w:tc>
          <w:tcPr>
            <w:tcW w:w="628" w:type="pct"/>
            <w:hideMark/>
          </w:tcPr>
          <w:p w14:paraId="594374D8" w14:textId="634C81A8" w:rsidR="002F031C" w:rsidRPr="00BB2758" w:rsidRDefault="002F031C" w:rsidP="007B6DF2">
            <w:pPr>
              <w:spacing w:before="30" w:after="30"/>
              <w:cnfStyle w:val="000000010000" w:firstRow="0" w:lastRow="0" w:firstColumn="0" w:lastColumn="0" w:oddVBand="0" w:evenVBand="0" w:oddHBand="0" w:evenHBand="1" w:firstRowFirstColumn="0" w:firstRowLastColumn="0" w:lastRowFirstColumn="0" w:lastRowLastColumn="0"/>
            </w:pPr>
            <w:r w:rsidRPr="00BB2758">
              <w:t>0</w:t>
            </w:r>
            <w:r w:rsidR="006A48D1" w:rsidRPr="00C71557">
              <w:t xml:space="preserve"> </w:t>
            </w:r>
          </w:p>
        </w:tc>
        <w:tc>
          <w:tcPr>
            <w:tcW w:w="366" w:type="pct"/>
            <w:hideMark/>
          </w:tcPr>
          <w:p w14:paraId="0BE65DBC" w14:textId="4ED76C2F" w:rsidR="002F031C" w:rsidRPr="00BB2758" w:rsidRDefault="002F031C" w:rsidP="007B6DF2">
            <w:pPr>
              <w:spacing w:before="30" w:after="30"/>
              <w:cnfStyle w:val="000000010000" w:firstRow="0" w:lastRow="0" w:firstColumn="0" w:lastColumn="0" w:oddVBand="0" w:evenVBand="0" w:oddHBand="0" w:evenHBand="1" w:firstRowFirstColumn="0" w:firstRowLastColumn="0" w:lastRowFirstColumn="0" w:lastRowLastColumn="0"/>
            </w:pPr>
            <w:r w:rsidRPr="00BB2758">
              <w:t>0</w:t>
            </w:r>
            <w:r w:rsidR="006A48D1" w:rsidRPr="00C71557">
              <w:t xml:space="preserve"> </w:t>
            </w:r>
          </w:p>
        </w:tc>
      </w:tr>
      <w:tr w:rsidR="002F031C" w:rsidRPr="0018305A" w14:paraId="0BE77EE6" w14:textId="77777777">
        <w:trPr>
          <w:trHeight w:val="343"/>
        </w:trPr>
        <w:tc>
          <w:tcPr>
            <w:cnfStyle w:val="001000000000" w:firstRow="0" w:lastRow="0" w:firstColumn="1" w:lastColumn="0" w:oddVBand="0" w:evenVBand="0" w:oddHBand="0" w:evenHBand="0" w:firstRowFirstColumn="0" w:firstRowLastColumn="0" w:lastRowFirstColumn="0" w:lastRowLastColumn="0"/>
            <w:tcW w:w="3378" w:type="pct"/>
            <w:vAlign w:val="center"/>
            <w:hideMark/>
          </w:tcPr>
          <w:p w14:paraId="590435D3" w14:textId="19B86B7E" w:rsidR="002F031C" w:rsidRPr="00BB2758" w:rsidRDefault="001149C4" w:rsidP="007B6DF2">
            <w:pPr>
              <w:spacing w:before="30" w:after="30"/>
            </w:pPr>
            <w:r>
              <w:rPr>
                <w:lang w:val="en-GB"/>
              </w:rPr>
              <w:t>Reimbursements</w:t>
            </w:r>
            <w:r w:rsidR="002F031C" w:rsidRPr="00BB2758">
              <w:rPr>
                <w:lang w:val="en-GB"/>
              </w:rPr>
              <w:t xml:space="preserve"> to employers who paid their workers under the </w:t>
            </w:r>
            <w:r w:rsidR="002F031C" w:rsidRPr="00BB2758">
              <w:rPr>
                <w:i/>
                <w:lang w:val="en-GB"/>
              </w:rPr>
              <w:t>L</w:t>
            </w:r>
            <w:r w:rsidR="00E341A4" w:rsidRPr="00BB2758">
              <w:rPr>
                <w:i/>
                <w:lang w:val="en-GB"/>
              </w:rPr>
              <w:t xml:space="preserve">ong </w:t>
            </w:r>
            <w:r w:rsidR="002F031C" w:rsidRPr="00BB2758">
              <w:rPr>
                <w:i/>
                <w:lang w:val="en-GB"/>
              </w:rPr>
              <w:t>S</w:t>
            </w:r>
            <w:r w:rsidR="00E341A4" w:rsidRPr="00BB2758">
              <w:rPr>
                <w:i/>
                <w:lang w:val="en-GB"/>
              </w:rPr>
              <w:t xml:space="preserve">ervice </w:t>
            </w:r>
            <w:r w:rsidR="002F031C" w:rsidRPr="00BB2758">
              <w:rPr>
                <w:i/>
                <w:lang w:val="en-GB"/>
              </w:rPr>
              <w:t>L</w:t>
            </w:r>
            <w:r w:rsidR="00E341A4" w:rsidRPr="00BB2758">
              <w:rPr>
                <w:i/>
                <w:lang w:val="en-GB"/>
              </w:rPr>
              <w:t>eave</w:t>
            </w:r>
            <w:r w:rsidR="002F031C" w:rsidRPr="00BB2758">
              <w:rPr>
                <w:i/>
                <w:lang w:val="en-GB"/>
              </w:rPr>
              <w:t xml:space="preserve"> Act 1976</w:t>
            </w:r>
            <w:r w:rsidR="002F031C" w:rsidRPr="00BB2758">
              <w:rPr>
                <w:lang w:val="en-GB"/>
              </w:rPr>
              <w:t xml:space="preserve"> or </w:t>
            </w:r>
            <w:r w:rsidR="0089012C">
              <w:rPr>
                <w:lang w:val="en-GB"/>
              </w:rPr>
              <w:t>a law prescribed by regulation</w:t>
            </w:r>
            <w:r w:rsidR="002F031C" w:rsidRPr="00BB2758">
              <w:t> </w:t>
            </w:r>
          </w:p>
        </w:tc>
        <w:tc>
          <w:tcPr>
            <w:tcW w:w="628" w:type="pct"/>
            <w:hideMark/>
          </w:tcPr>
          <w:p w14:paraId="1191B500" w14:textId="69BD12B7"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60</w:t>
            </w:r>
          </w:p>
        </w:tc>
        <w:tc>
          <w:tcPr>
            <w:tcW w:w="628" w:type="pct"/>
            <w:hideMark/>
          </w:tcPr>
          <w:p w14:paraId="1DD97035" w14:textId="7EA1D706"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30</w:t>
            </w:r>
          </w:p>
        </w:tc>
        <w:tc>
          <w:tcPr>
            <w:tcW w:w="366" w:type="pct"/>
            <w:hideMark/>
          </w:tcPr>
          <w:p w14:paraId="39B2655D" w14:textId="512FDD50" w:rsidR="002F031C" w:rsidRPr="00BB2758" w:rsidRDefault="006A48D1" w:rsidP="007B6DF2">
            <w:pPr>
              <w:spacing w:before="30" w:after="30"/>
              <w:cnfStyle w:val="000000000000" w:firstRow="0" w:lastRow="0" w:firstColumn="0" w:lastColumn="0" w:oddVBand="0" w:evenVBand="0" w:oddHBand="0" w:evenHBand="0" w:firstRowFirstColumn="0" w:firstRowLastColumn="0" w:lastRowFirstColumn="0" w:lastRowLastColumn="0"/>
            </w:pPr>
            <w:r w:rsidRPr="00C71557">
              <w:t>197</w:t>
            </w:r>
          </w:p>
        </w:tc>
      </w:tr>
    </w:tbl>
    <w:p w14:paraId="1DD99F7B" w14:textId="77777777" w:rsidR="00783C67" w:rsidRDefault="00783C67" w:rsidP="005B0C18">
      <w:bookmarkStart w:id="26" w:name="_Toc171087037"/>
      <w:bookmarkEnd w:id="23"/>
      <w:bookmarkEnd w:id="24"/>
    </w:p>
    <w:p w14:paraId="17D47F00" w14:textId="62A4FB7C" w:rsidR="002A573C" w:rsidRDefault="003A0AB8" w:rsidP="005B0C18">
      <w:r>
        <w:rPr>
          <w:noProof/>
        </w:rPr>
        <w:drawing>
          <wp:inline distT="0" distB="0" distL="0" distR="0" wp14:anchorId="773C2B0C" wp14:editId="239D55A0">
            <wp:extent cx="6410960" cy="2403475"/>
            <wp:effectExtent l="0" t="0" r="8890" b="0"/>
            <wp:docPr id="1034158882" name="Picture 13" descr="Decorative testimonial graphic featuring a quote from a worker in the Security Industry Scheme. The graphic includes the testimonial text, a small profile image and the name Ben, identified as a Security Supervisor, and a larger photograph showing a worker spending time with family outside a residential setting. The photograph is overlaid with ACT Leave's green dynamic track swirl design.&#10;&#10;The testimonial reads: “After working for three different employers in nine years, portable long service leave meant I could finally take time to relax and reset. I felt spoilt!”&#10;&#10;The graphic is included to provide a worker perspective on the benefits of portable long service leave and to support the report's visual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58882" name="Picture 13" descr="Decorative testimonial graphic featuring a quote from a worker in the Security Industry Scheme. The graphic includes the testimonial text, a small profile image and the name Ben, identified as a Security Supervisor, and a larger photograph showing a worker spending time with family outside a residential setting. The photograph is overlaid with ACT Leave's green dynamic track swirl design.&#10;&#10;The testimonial reads: “After working for three different employers in nine years, portable long service leave meant I could finally take time to relax and reset. I felt spoilt!”&#10;&#10;The graphic is included to provide a worker perspective on the benefits of portable long service leave and to support the report's visual presentation."/>
                    <pic:cNvPicPr/>
                  </pic:nvPicPr>
                  <pic:blipFill>
                    <a:blip r:embed="rId51"/>
                    <a:stretch>
                      <a:fillRect/>
                    </a:stretch>
                  </pic:blipFill>
                  <pic:spPr>
                    <a:xfrm>
                      <a:off x="0" y="0"/>
                      <a:ext cx="6410960" cy="2403475"/>
                    </a:xfrm>
                    <a:prstGeom prst="rect">
                      <a:avLst/>
                    </a:prstGeom>
                  </pic:spPr>
                </pic:pic>
              </a:graphicData>
            </a:graphic>
          </wp:inline>
        </w:drawing>
      </w:r>
    </w:p>
    <w:p w14:paraId="2BB1E36E" w14:textId="77777777" w:rsidR="002A573C" w:rsidRDefault="002A573C">
      <w:pPr>
        <w:spacing w:before="120" w:after="120" w:line="240" w:lineRule="auto"/>
        <w:rPr>
          <w:rFonts w:ascii="Arial" w:eastAsiaTheme="majorEastAsia" w:hAnsi="Arial" w:cstheme="majorBidi"/>
          <w:b/>
          <w:spacing w:val="4"/>
          <w:sz w:val="24"/>
          <w:szCs w:val="24"/>
          <w:lang w:eastAsia="en-US"/>
        </w:rPr>
      </w:pPr>
      <w:r>
        <w:br w:type="page"/>
      </w:r>
    </w:p>
    <w:p w14:paraId="68AE2175" w14:textId="77777777" w:rsidR="00F71D41" w:rsidRPr="00BB2758" w:rsidRDefault="00F71D41" w:rsidP="00F71D41">
      <w:pPr>
        <w:pStyle w:val="Heading3"/>
      </w:pPr>
      <w:r w:rsidRPr="00BB2758">
        <w:lastRenderedPageBreak/>
        <w:t xml:space="preserve">Compliance and </w:t>
      </w:r>
      <w:r>
        <w:t xml:space="preserve">enforcement </w:t>
      </w:r>
    </w:p>
    <w:bookmarkEnd w:id="26"/>
    <w:p w14:paraId="7251036B" w14:textId="41A46FB3" w:rsidR="00583F3E" w:rsidRPr="00BB2758" w:rsidRDefault="00515B3A" w:rsidP="006E0242">
      <w:pPr>
        <w:rPr>
          <w:lang w:eastAsia="zh-TW"/>
        </w:rPr>
      </w:pPr>
      <w:r w:rsidRPr="00BB2758">
        <w:rPr>
          <w:lang w:eastAsia="zh-TW"/>
        </w:rPr>
        <w:t xml:space="preserve">ACT </w:t>
      </w:r>
      <w:r w:rsidR="00A040A3" w:rsidRPr="00BB2758">
        <w:rPr>
          <w:lang w:eastAsia="zh-TW"/>
        </w:rPr>
        <w:t>Leave</w:t>
      </w:r>
      <w:r w:rsidR="00583F3E" w:rsidRPr="00BB2758">
        <w:rPr>
          <w:lang w:eastAsia="zh-TW"/>
        </w:rPr>
        <w:t xml:space="preserve"> undertakes a range of compliance and </w:t>
      </w:r>
      <w:r w:rsidR="00F71D41" w:rsidRPr="00BB2758">
        <w:rPr>
          <w:lang w:eastAsia="zh-TW"/>
        </w:rPr>
        <w:t>e</w:t>
      </w:r>
      <w:r w:rsidR="00F71D41">
        <w:rPr>
          <w:lang w:eastAsia="zh-TW"/>
        </w:rPr>
        <w:t>nforcement</w:t>
      </w:r>
      <w:r w:rsidR="00F71D41" w:rsidRPr="00BB2758">
        <w:rPr>
          <w:lang w:eastAsia="zh-TW"/>
        </w:rPr>
        <w:t xml:space="preserve"> </w:t>
      </w:r>
      <w:r w:rsidR="00583F3E" w:rsidRPr="00BB2758">
        <w:rPr>
          <w:lang w:eastAsia="zh-TW"/>
        </w:rPr>
        <w:t xml:space="preserve">activities across all </w:t>
      </w:r>
      <w:r w:rsidR="00AD315B">
        <w:rPr>
          <w:lang w:eastAsia="zh-TW"/>
        </w:rPr>
        <w:t>4</w:t>
      </w:r>
      <w:r w:rsidR="00583F3E" w:rsidRPr="00BB2758">
        <w:rPr>
          <w:lang w:eastAsia="zh-TW"/>
        </w:rPr>
        <w:t xml:space="preserve"> </w:t>
      </w:r>
      <w:r w:rsidR="0049214B">
        <w:rPr>
          <w:lang w:eastAsia="zh-TW"/>
        </w:rPr>
        <w:t xml:space="preserve">portable long service leave </w:t>
      </w:r>
      <w:r w:rsidR="00583F3E" w:rsidRPr="00BB2758">
        <w:rPr>
          <w:lang w:eastAsia="zh-TW"/>
        </w:rPr>
        <w:t xml:space="preserve">schemes each year. Compliance activities are risk-based and </w:t>
      </w:r>
      <w:r w:rsidR="000218F9">
        <w:rPr>
          <w:lang w:eastAsia="zh-TW"/>
        </w:rPr>
        <w:t>guided by</w:t>
      </w:r>
      <w:r w:rsidR="00583F3E" w:rsidRPr="00BB2758">
        <w:rPr>
          <w:lang w:eastAsia="zh-TW"/>
        </w:rPr>
        <w:t xml:space="preserve"> </w:t>
      </w:r>
      <w:r w:rsidR="008638B8">
        <w:rPr>
          <w:lang w:eastAsia="zh-TW"/>
        </w:rPr>
        <w:t>an</w:t>
      </w:r>
      <w:r w:rsidR="00583F3E" w:rsidRPr="00BB2758">
        <w:rPr>
          <w:lang w:eastAsia="zh-TW"/>
        </w:rPr>
        <w:t xml:space="preserve"> </w:t>
      </w:r>
      <w:r w:rsidR="003162AD" w:rsidRPr="00BB2758">
        <w:rPr>
          <w:lang w:eastAsia="zh-TW"/>
        </w:rPr>
        <w:t>escalation</w:t>
      </w:r>
      <w:r w:rsidR="00583F3E" w:rsidRPr="00BB2758">
        <w:rPr>
          <w:lang w:eastAsia="zh-TW"/>
        </w:rPr>
        <w:t xml:space="preserve"> </w:t>
      </w:r>
      <w:r w:rsidR="008638B8" w:rsidRPr="008638B8">
        <w:rPr>
          <w:lang w:eastAsia="zh-TW"/>
        </w:rPr>
        <w:t>approach that prioritises</w:t>
      </w:r>
      <w:r w:rsidR="00583F3E" w:rsidRPr="00BB2758">
        <w:rPr>
          <w:lang w:eastAsia="zh-TW"/>
        </w:rPr>
        <w:t xml:space="preserve"> assistance</w:t>
      </w:r>
      <w:r w:rsidR="008638B8" w:rsidRPr="008638B8">
        <w:rPr>
          <w:lang w:eastAsia="zh-TW"/>
        </w:rPr>
        <w:t xml:space="preserve"> and </w:t>
      </w:r>
      <w:r w:rsidR="00583F3E" w:rsidRPr="00BB2758">
        <w:rPr>
          <w:lang w:eastAsia="zh-TW"/>
        </w:rPr>
        <w:t xml:space="preserve">education, </w:t>
      </w:r>
      <w:r w:rsidR="008638B8" w:rsidRPr="008638B8">
        <w:rPr>
          <w:lang w:eastAsia="zh-TW"/>
        </w:rPr>
        <w:t xml:space="preserve">followed by </w:t>
      </w:r>
      <w:r w:rsidR="00583F3E" w:rsidRPr="00BB2758">
        <w:rPr>
          <w:lang w:eastAsia="zh-TW"/>
        </w:rPr>
        <w:t xml:space="preserve">ongoing </w:t>
      </w:r>
      <w:r w:rsidR="008638B8" w:rsidRPr="008638B8">
        <w:rPr>
          <w:lang w:eastAsia="zh-TW"/>
        </w:rPr>
        <w:t xml:space="preserve">monitoring and, where necessary, </w:t>
      </w:r>
      <w:r w:rsidR="00583F3E" w:rsidRPr="00BB2758">
        <w:rPr>
          <w:lang w:eastAsia="zh-TW"/>
        </w:rPr>
        <w:t>enforcement</w:t>
      </w:r>
      <w:r w:rsidR="008638B8" w:rsidRPr="008638B8">
        <w:rPr>
          <w:lang w:eastAsia="zh-TW"/>
        </w:rPr>
        <w:t xml:space="preserve"> action</w:t>
      </w:r>
      <w:r w:rsidR="004306CC">
        <w:rPr>
          <w:lang w:eastAsia="zh-TW"/>
        </w:rPr>
        <w:t>.</w:t>
      </w:r>
    </w:p>
    <w:p w14:paraId="107F7957" w14:textId="59328086" w:rsidR="00583F3E" w:rsidRPr="00BB2758" w:rsidRDefault="003055A2" w:rsidP="006E0242">
      <w:pPr>
        <w:rPr>
          <w:lang w:eastAsia="zh-TW"/>
        </w:rPr>
      </w:pPr>
      <w:r w:rsidRPr="00BB2758">
        <w:rPr>
          <w:lang w:eastAsia="zh-TW"/>
        </w:rPr>
        <w:t>ACT Leave</w:t>
      </w:r>
      <w:r w:rsidR="00583F3E" w:rsidRPr="00BB2758">
        <w:rPr>
          <w:lang w:eastAsia="zh-TW"/>
        </w:rPr>
        <w:t xml:space="preserve">’s educational activities include: </w:t>
      </w:r>
    </w:p>
    <w:p w14:paraId="055EC4E4" w14:textId="33ED6CD5" w:rsidR="00583F3E" w:rsidRPr="00BB2758" w:rsidRDefault="000004CF" w:rsidP="000A630C">
      <w:pPr>
        <w:pStyle w:val="ListBullet"/>
      </w:pPr>
      <w:r>
        <w:t>d</w:t>
      </w:r>
      <w:r w:rsidR="00055715">
        <w:t>elivering p</w:t>
      </w:r>
      <w:r w:rsidR="00583F3E" w:rsidRPr="00BB2758">
        <w:t xml:space="preserve">resentations to apprentices </w:t>
      </w:r>
      <w:r w:rsidR="0007202F">
        <w:t>in the b</w:t>
      </w:r>
      <w:r w:rsidR="00583F3E" w:rsidRPr="00BB2758">
        <w:t xml:space="preserve">uilding and </w:t>
      </w:r>
      <w:r w:rsidR="0007202F">
        <w:t>c</w:t>
      </w:r>
      <w:r w:rsidR="00583F3E" w:rsidRPr="00BB2758">
        <w:t xml:space="preserve">onstruction </w:t>
      </w:r>
      <w:r w:rsidR="0007202F">
        <w:t>i</w:t>
      </w:r>
      <w:r w:rsidR="00583F3E" w:rsidRPr="00BB2758">
        <w:t xml:space="preserve">ndustry through the Canberra Institute of Technology, </w:t>
      </w:r>
      <w:r w:rsidR="00071569">
        <w:t>providing</w:t>
      </w:r>
      <w:r w:rsidR="00583F3E" w:rsidRPr="00BB2758">
        <w:t xml:space="preserve"> information </w:t>
      </w:r>
      <w:r w:rsidR="00071569">
        <w:t>on portable long service leave</w:t>
      </w:r>
      <w:r w:rsidR="00583F3E" w:rsidRPr="00BB2758">
        <w:t xml:space="preserve"> entitlements and scheme arrangements</w:t>
      </w:r>
    </w:p>
    <w:p w14:paraId="5C5CB2EB" w14:textId="20CA44EC" w:rsidR="00583F3E" w:rsidRPr="00BB2758" w:rsidRDefault="000004CF" w:rsidP="000A630C">
      <w:pPr>
        <w:pStyle w:val="ListBullet"/>
      </w:pPr>
      <w:r>
        <w:t>c</w:t>
      </w:r>
      <w:r w:rsidR="00071569">
        <w:t>onducting o</w:t>
      </w:r>
      <w:r w:rsidR="00583F3E" w:rsidRPr="00BB2758">
        <w:t>ne-on-</w:t>
      </w:r>
      <w:r w:rsidR="00641873" w:rsidRPr="00BB2758">
        <w:t>o</w:t>
      </w:r>
      <w:r w:rsidR="00583F3E" w:rsidRPr="00BB2758">
        <w:t xml:space="preserve">ne meetings </w:t>
      </w:r>
      <w:r w:rsidR="00071569">
        <w:t xml:space="preserve">with </w:t>
      </w:r>
      <w:r w:rsidR="00583F3E" w:rsidRPr="00BB2758">
        <w:t xml:space="preserve">employers to assist </w:t>
      </w:r>
      <w:r w:rsidR="00071569">
        <w:t>them in</w:t>
      </w:r>
      <w:r w:rsidR="00583F3E" w:rsidRPr="00BB2758">
        <w:t xml:space="preserve"> understanding </w:t>
      </w:r>
      <w:r w:rsidR="00E719C5">
        <w:t>and meeting</w:t>
      </w:r>
      <w:r w:rsidR="00583F3E" w:rsidRPr="00BB2758">
        <w:t xml:space="preserve"> their obligations </w:t>
      </w:r>
      <w:r w:rsidR="00F04288" w:rsidRPr="00BB2758">
        <w:t>to manage their</w:t>
      </w:r>
      <w:r w:rsidR="00583F3E" w:rsidRPr="00BB2758">
        <w:t xml:space="preserve"> employee’s portable long service leave entitlements</w:t>
      </w:r>
    </w:p>
    <w:p w14:paraId="7616A8CB" w14:textId="063A5CFD" w:rsidR="00EB209A" w:rsidRDefault="000004CF" w:rsidP="000A630C">
      <w:pPr>
        <w:pStyle w:val="ListBullet"/>
      </w:pPr>
      <w:r>
        <w:t>p</w:t>
      </w:r>
      <w:r w:rsidR="00943564" w:rsidRPr="00943564">
        <w:t>roviding educational materials to peak industry bodies and worker representative organisations for distribution through newsletters, social media channels and other member communications</w:t>
      </w:r>
    </w:p>
    <w:p w14:paraId="61284AD0" w14:textId="36D6AEDA" w:rsidR="001A540F" w:rsidRPr="00BB2758" w:rsidRDefault="000004CF" w:rsidP="000A630C">
      <w:pPr>
        <w:pStyle w:val="ListBullet"/>
      </w:pPr>
      <w:r>
        <w:t>p</w:t>
      </w:r>
      <w:r w:rsidR="0040635F" w:rsidRPr="0040635F">
        <w:t>ublishing quarterly employer newsletters and biannual worker newsletters to provide scheme updates, key dates, compliance reminders, and practical information about portable long service leave entitlements and obligations</w:t>
      </w:r>
    </w:p>
    <w:p w14:paraId="41B2F1C3" w14:textId="52B2F5A1" w:rsidR="00F755D0" w:rsidRDefault="000004CF" w:rsidP="000A630C">
      <w:pPr>
        <w:pStyle w:val="ListBullet"/>
      </w:pPr>
      <w:r>
        <w:t>p</w:t>
      </w:r>
      <w:r w:rsidR="00F755D0" w:rsidRPr="00F755D0">
        <w:t xml:space="preserve">articipating in community and industry events, including the </w:t>
      </w:r>
      <w:r w:rsidR="00BD1CDC">
        <w:t xml:space="preserve">annual </w:t>
      </w:r>
      <w:r w:rsidR="00F755D0" w:rsidRPr="00F755D0">
        <w:t>Careers Xpo, to raise awareness of portable long service leave among current and future workers and employers</w:t>
      </w:r>
    </w:p>
    <w:p w14:paraId="5FB90CB2" w14:textId="2D29A6A9" w:rsidR="00A856F7" w:rsidRDefault="000004CF" w:rsidP="00A856F7">
      <w:pPr>
        <w:pStyle w:val="ListBullet"/>
      </w:pPr>
      <w:r>
        <w:t>v</w:t>
      </w:r>
      <w:r w:rsidR="006B182A" w:rsidRPr="00BB2758">
        <w:t>isiting</w:t>
      </w:r>
      <w:r w:rsidR="00803CDC" w:rsidRPr="00BB2758">
        <w:t xml:space="preserve"> </w:t>
      </w:r>
      <w:r w:rsidR="00F755D0" w:rsidRPr="00F755D0">
        <w:t>hairdressing, beauty, accommodation and food services</w:t>
      </w:r>
      <w:r w:rsidR="00B86B63" w:rsidRPr="00BB2758">
        <w:t xml:space="preserve"> businesses</w:t>
      </w:r>
      <w:r w:rsidR="00E62B95" w:rsidRPr="00BB2758">
        <w:t xml:space="preserve"> </w:t>
      </w:r>
      <w:r w:rsidR="00803CDC" w:rsidRPr="00BB2758">
        <w:t xml:space="preserve">across Canberra </w:t>
      </w:r>
      <w:r w:rsidR="00264C5D" w:rsidRPr="00BB2758">
        <w:t xml:space="preserve">to provide </w:t>
      </w:r>
      <w:r w:rsidR="00BA1E66" w:rsidRPr="00BB2758">
        <w:t>information</w:t>
      </w:r>
      <w:r w:rsidR="00264C5D" w:rsidRPr="00BB2758">
        <w:t xml:space="preserve"> </w:t>
      </w:r>
      <w:r w:rsidR="00F755D0" w:rsidRPr="00F755D0">
        <w:t xml:space="preserve">and education </w:t>
      </w:r>
      <w:r w:rsidR="00D239E9" w:rsidRPr="00F755D0">
        <w:t xml:space="preserve">in </w:t>
      </w:r>
      <w:r w:rsidR="00F755D0" w:rsidRPr="00F755D0">
        <w:t>preparation for their entry into</w:t>
      </w:r>
      <w:r w:rsidR="00D239E9" w:rsidRPr="00F755D0">
        <w:t xml:space="preserve"> the Services Industry Scheme</w:t>
      </w:r>
      <w:r w:rsidR="00F20329" w:rsidRPr="00F755D0">
        <w:t xml:space="preserve"> on 1 </w:t>
      </w:r>
      <w:r w:rsidR="00F755D0" w:rsidRPr="00F755D0">
        <w:t>January 2027</w:t>
      </w:r>
      <w:r w:rsidR="00F375D1" w:rsidRPr="00F755D0">
        <w:t>.</w:t>
      </w:r>
    </w:p>
    <w:p w14:paraId="1037637F" w14:textId="46DB0BB8" w:rsidR="00760BD6" w:rsidRDefault="00760BD6" w:rsidP="00A856F7">
      <w:pPr>
        <w:pStyle w:val="ListBullet"/>
        <w:numPr>
          <w:ilvl w:val="0"/>
          <w:numId w:val="0"/>
        </w:numPr>
        <w:rPr>
          <w:lang w:eastAsia="zh-TW"/>
        </w:rPr>
      </w:pPr>
      <w:r>
        <w:rPr>
          <w:lang w:eastAsia="zh-TW"/>
        </w:rPr>
        <w:t>ACT Leave’s other compliance a</w:t>
      </w:r>
      <w:r w:rsidRPr="00BB2758">
        <w:rPr>
          <w:lang w:eastAsia="zh-TW"/>
        </w:rPr>
        <w:t xml:space="preserve">ctivities include identifying and </w:t>
      </w:r>
      <w:r>
        <w:rPr>
          <w:lang w:eastAsia="zh-TW"/>
        </w:rPr>
        <w:t>assisting</w:t>
      </w:r>
      <w:r w:rsidRPr="00BB2758">
        <w:rPr>
          <w:lang w:eastAsia="zh-TW"/>
        </w:rPr>
        <w:t xml:space="preserve"> eligible employers </w:t>
      </w:r>
      <w:r>
        <w:rPr>
          <w:lang w:eastAsia="zh-TW"/>
        </w:rPr>
        <w:t xml:space="preserve">to register for the relevant scheme, </w:t>
      </w:r>
      <w:r w:rsidRPr="00BB2758">
        <w:rPr>
          <w:lang w:eastAsia="zh-TW"/>
        </w:rPr>
        <w:t xml:space="preserve">investigating and processing missing service claims initiated by </w:t>
      </w:r>
      <w:r>
        <w:rPr>
          <w:lang w:eastAsia="zh-TW"/>
        </w:rPr>
        <w:t>workers</w:t>
      </w:r>
      <w:r w:rsidRPr="00BB2758">
        <w:rPr>
          <w:lang w:eastAsia="zh-TW"/>
        </w:rPr>
        <w:t xml:space="preserve">, supporting employers to </w:t>
      </w:r>
      <w:r>
        <w:rPr>
          <w:lang w:eastAsia="zh-TW"/>
        </w:rPr>
        <w:t xml:space="preserve">meet their </w:t>
      </w:r>
      <w:r w:rsidRPr="00BB2758">
        <w:rPr>
          <w:lang w:eastAsia="zh-TW"/>
        </w:rPr>
        <w:t>quarterly return and</w:t>
      </w:r>
      <w:r>
        <w:rPr>
          <w:lang w:eastAsia="zh-TW"/>
        </w:rPr>
        <w:t xml:space="preserve"> levy</w:t>
      </w:r>
      <w:r w:rsidRPr="00BB2758">
        <w:rPr>
          <w:lang w:eastAsia="zh-TW"/>
        </w:rPr>
        <w:t xml:space="preserve"> payment </w:t>
      </w:r>
      <w:r>
        <w:rPr>
          <w:lang w:eastAsia="zh-TW"/>
        </w:rPr>
        <w:t>obligations</w:t>
      </w:r>
      <w:r w:rsidRPr="00BB2758">
        <w:rPr>
          <w:lang w:eastAsia="zh-TW"/>
        </w:rPr>
        <w:t xml:space="preserve">, </w:t>
      </w:r>
      <w:r>
        <w:rPr>
          <w:lang w:eastAsia="zh-TW"/>
        </w:rPr>
        <w:t>and reviewing</w:t>
      </w:r>
      <w:r w:rsidRPr="00BB2758">
        <w:rPr>
          <w:lang w:eastAsia="zh-TW"/>
        </w:rPr>
        <w:t xml:space="preserve"> employer registration </w:t>
      </w:r>
      <w:r w:rsidRPr="00055715">
        <w:rPr>
          <w:lang w:eastAsia="zh-TW"/>
        </w:rPr>
        <w:t>and reporting information to ensure accurate levy collection and record keeping.</w:t>
      </w:r>
    </w:p>
    <w:p w14:paraId="611D4E75" w14:textId="2F221646" w:rsidR="00583F3E" w:rsidRPr="00BB2758" w:rsidRDefault="00583F3E" w:rsidP="006E0242">
      <w:r w:rsidRPr="00BB2758">
        <w:t xml:space="preserve">In support of the work </w:t>
      </w:r>
      <w:r w:rsidR="008A034E" w:rsidRPr="00BB2758">
        <w:t>ACT Leave</w:t>
      </w:r>
      <w:r w:rsidRPr="00BB2758">
        <w:t xml:space="preserve"> undertakes to identify and register eligible employers and workers in the </w:t>
      </w:r>
      <w:r w:rsidR="00AD315B">
        <w:t>4</w:t>
      </w:r>
      <w:r w:rsidRPr="00BB2758">
        <w:t xml:space="preserve"> covered industries which </w:t>
      </w:r>
      <w:r w:rsidR="00596A8C" w:rsidRPr="00BB2758">
        <w:t>ACT Leave</w:t>
      </w:r>
      <w:r w:rsidRPr="00BB2758">
        <w:t xml:space="preserve"> administers, </w:t>
      </w:r>
      <w:r w:rsidR="00596A8C" w:rsidRPr="00BB2758">
        <w:t xml:space="preserve">ACT Leave </w:t>
      </w:r>
      <w:r w:rsidRPr="00BB2758">
        <w:t>works cooperatively with:</w:t>
      </w:r>
    </w:p>
    <w:p w14:paraId="3C57D81D" w14:textId="2C4A6B40" w:rsidR="00583F3E" w:rsidRPr="00BB2758" w:rsidRDefault="00593947" w:rsidP="000A630C">
      <w:pPr>
        <w:pStyle w:val="ListBullet"/>
      </w:pPr>
      <w:r w:rsidRPr="00BB2758">
        <w:rPr>
          <w:color w:val="auto"/>
        </w:rPr>
        <w:t>Tenders ACT</w:t>
      </w:r>
      <w:r w:rsidR="00583F3E" w:rsidRPr="00BB2758">
        <w:t xml:space="preserve">, to ensure that eligible tenderers for ACT </w:t>
      </w:r>
      <w:r w:rsidR="003718E9" w:rsidRPr="00BB2758">
        <w:t>G</w:t>
      </w:r>
      <w:r w:rsidR="00583F3E" w:rsidRPr="00BB2758">
        <w:t xml:space="preserve">overnment contracts related to the </w:t>
      </w:r>
      <w:r w:rsidR="00AD315B">
        <w:t>4</w:t>
      </w:r>
      <w:r w:rsidR="00583F3E" w:rsidRPr="00BB2758">
        <w:t xml:space="preserve"> administered industries are registered with </w:t>
      </w:r>
      <w:r w:rsidR="00596A8C" w:rsidRPr="00BB2758">
        <w:t>ACT Leave</w:t>
      </w:r>
    </w:p>
    <w:p w14:paraId="110AA2CF" w14:textId="6C832B4C" w:rsidR="00583F3E" w:rsidRPr="00BB2758" w:rsidRDefault="00583F3E" w:rsidP="000A630C">
      <w:pPr>
        <w:pStyle w:val="ListBullet"/>
      </w:pPr>
      <w:r w:rsidRPr="00BB2758">
        <w:t xml:space="preserve">Skills Canberra, to ensure that all employers of apprentices registered with the ACT government are registered with </w:t>
      </w:r>
      <w:r w:rsidR="007E0D40" w:rsidRPr="00BB2758">
        <w:t>ACT Leave</w:t>
      </w:r>
      <w:r w:rsidRPr="00BB2758">
        <w:t xml:space="preserve"> and that they register their employees and apprentices who are working in the covered industries</w:t>
      </w:r>
    </w:p>
    <w:p w14:paraId="6014A39B" w14:textId="77777777" w:rsidR="00583F3E" w:rsidRPr="00BB2758" w:rsidRDefault="00583F3E" w:rsidP="000A630C">
      <w:pPr>
        <w:pStyle w:val="ListBullet"/>
      </w:pPr>
      <w:r w:rsidRPr="00BB2758">
        <w:t>Secure Local Jobs, to ensure that all employers requiring a Code Certificate are meeting their obligations under the Act.</w:t>
      </w:r>
    </w:p>
    <w:p w14:paraId="5A95934B" w14:textId="05E3A6A8" w:rsidR="00991697" w:rsidRPr="00991697" w:rsidRDefault="00991697" w:rsidP="00991697">
      <w:pPr>
        <w:rPr>
          <w:lang w:val="en-AU"/>
        </w:rPr>
      </w:pPr>
      <w:r w:rsidRPr="00991697">
        <w:rPr>
          <w:lang w:val="en-AU"/>
        </w:rPr>
        <w:t xml:space="preserve">ACT Leave’s compliance activities </w:t>
      </w:r>
      <w:r w:rsidR="00760BD6">
        <w:rPr>
          <w:lang w:val="en-AU"/>
        </w:rPr>
        <w:t xml:space="preserve">also </w:t>
      </w:r>
      <w:r w:rsidRPr="00991697">
        <w:rPr>
          <w:lang w:val="en-AU"/>
        </w:rPr>
        <w:t>include reviewing publicly available registers, databases and other information sources to identify employers who may be required to apply for registration, including:</w:t>
      </w:r>
    </w:p>
    <w:p w14:paraId="6F166F5E" w14:textId="4BD01A72" w:rsidR="001B526B" w:rsidRPr="001B526B" w:rsidRDefault="00A859C0" w:rsidP="000A630C">
      <w:pPr>
        <w:pStyle w:val="ListBullet"/>
      </w:pPr>
      <w:r>
        <w:t xml:space="preserve">the </w:t>
      </w:r>
      <w:r w:rsidR="001B526B" w:rsidRPr="001B526B">
        <w:t xml:space="preserve">National Disability Insurance Scheme service provider </w:t>
      </w:r>
      <w:r w:rsidR="006B5C4E" w:rsidRPr="001B526B">
        <w:t>register</w:t>
      </w:r>
      <w:r w:rsidR="001B526B" w:rsidRPr="001B526B">
        <w:t xml:space="preserve"> to identify providers that may be operating in </w:t>
      </w:r>
      <w:r w:rsidR="00710510">
        <w:t xml:space="preserve">covered </w:t>
      </w:r>
      <w:r w:rsidR="001B526B" w:rsidRPr="001B526B">
        <w:t>industries</w:t>
      </w:r>
    </w:p>
    <w:p w14:paraId="2C1E631A" w14:textId="3F135F6D" w:rsidR="007F3D73" w:rsidRPr="007F3D73" w:rsidRDefault="00A859C0" w:rsidP="000A630C">
      <w:pPr>
        <w:pStyle w:val="ListBullet"/>
      </w:pPr>
      <w:r>
        <w:t xml:space="preserve">the </w:t>
      </w:r>
      <w:r w:rsidR="007F3D73" w:rsidRPr="007F3D73">
        <w:t xml:space="preserve">Access Canberra Security Master Licence register to identify eligible </w:t>
      </w:r>
      <w:r w:rsidR="004515E0">
        <w:t>s</w:t>
      </w:r>
      <w:r w:rsidR="007F3D73" w:rsidRPr="007F3D73">
        <w:t xml:space="preserve">ecurity and </w:t>
      </w:r>
      <w:r w:rsidR="004515E0">
        <w:t>b</w:t>
      </w:r>
      <w:r w:rsidR="007F3D73" w:rsidRPr="007F3D73">
        <w:t xml:space="preserve">uilding and </w:t>
      </w:r>
      <w:r w:rsidR="004515E0">
        <w:t>c</w:t>
      </w:r>
      <w:r w:rsidR="007F3D73" w:rsidRPr="007F3D73">
        <w:t xml:space="preserve">onstruction </w:t>
      </w:r>
      <w:r w:rsidR="004515E0">
        <w:t>i</w:t>
      </w:r>
      <w:r w:rsidR="007F3D73" w:rsidRPr="007F3D73">
        <w:t>ndustry employers</w:t>
      </w:r>
    </w:p>
    <w:p w14:paraId="0DFAF0B6" w14:textId="35ECF1CF" w:rsidR="007F3D73" w:rsidRPr="007F3D73" w:rsidRDefault="00A859C0" w:rsidP="000A630C">
      <w:pPr>
        <w:pStyle w:val="ListBullet"/>
      </w:pPr>
      <w:r>
        <w:t xml:space="preserve">the </w:t>
      </w:r>
      <w:r w:rsidR="007F3D73" w:rsidRPr="007F3D73">
        <w:t>Australian Children's Education and Care Quality Authority (ACECQA) public register to identify approved education and care service providers</w:t>
      </w:r>
    </w:p>
    <w:p w14:paraId="6D9842E2" w14:textId="0E70CB71" w:rsidR="008261E4" w:rsidRPr="008261E4" w:rsidRDefault="00A859C0" w:rsidP="000A630C">
      <w:pPr>
        <w:pStyle w:val="ListBullet"/>
      </w:pPr>
      <w:r>
        <w:t>j</w:t>
      </w:r>
      <w:r w:rsidR="008261E4" w:rsidRPr="008261E4">
        <w:t>ob advertisements to identify employers seeking to engage workers covered under the Act</w:t>
      </w:r>
    </w:p>
    <w:p w14:paraId="28C14919" w14:textId="77716D35" w:rsidR="008261E4" w:rsidRPr="008261E4" w:rsidRDefault="00A859C0" w:rsidP="000A630C">
      <w:pPr>
        <w:pStyle w:val="ListBullet"/>
      </w:pPr>
      <w:r>
        <w:t xml:space="preserve">the </w:t>
      </w:r>
      <w:r w:rsidR="008261E4" w:rsidRPr="008261E4">
        <w:t>Australian Taxation Office’s Australian Business Register (ABR) explorer portal to identify businesses operating in</w:t>
      </w:r>
      <w:r w:rsidR="007E4213">
        <w:t xml:space="preserve"> covered</w:t>
      </w:r>
      <w:r w:rsidR="008261E4" w:rsidRPr="008261E4">
        <w:t xml:space="preserve"> industries</w:t>
      </w:r>
      <w:r w:rsidR="007E4213">
        <w:t>.</w:t>
      </w:r>
    </w:p>
    <w:p w14:paraId="29E7B97B" w14:textId="0100FCC2" w:rsidR="00583F3E" w:rsidRPr="00BB2758" w:rsidRDefault="006D637B" w:rsidP="006E0242">
      <w:pPr>
        <w:rPr>
          <w:lang w:eastAsia="zh-TW"/>
        </w:rPr>
      </w:pPr>
      <w:r w:rsidRPr="00BB2758">
        <w:rPr>
          <w:lang w:eastAsia="zh-TW"/>
        </w:rPr>
        <w:lastRenderedPageBreak/>
        <w:t>ACT Leave</w:t>
      </w:r>
      <w:r w:rsidR="00583F3E" w:rsidRPr="00BB2758">
        <w:rPr>
          <w:lang w:eastAsia="zh-TW"/>
        </w:rPr>
        <w:t>’s compliance activities are aimed at promoting a high level of voluntary compliance amongst covered employers th</w:t>
      </w:r>
      <w:r w:rsidR="00FA4DEB">
        <w:rPr>
          <w:lang w:eastAsia="zh-TW"/>
        </w:rPr>
        <w:t>rough a strong</w:t>
      </w:r>
      <w:r w:rsidR="00583F3E" w:rsidRPr="00BB2758">
        <w:rPr>
          <w:lang w:eastAsia="zh-TW"/>
        </w:rPr>
        <w:t xml:space="preserve"> understanding of scheme arrangements and employer obligations</w:t>
      </w:r>
      <w:r w:rsidR="00FA4DEB">
        <w:rPr>
          <w:lang w:eastAsia="zh-TW"/>
        </w:rPr>
        <w:t>,</w:t>
      </w:r>
      <w:r w:rsidR="00583F3E" w:rsidRPr="00BB2758">
        <w:rPr>
          <w:lang w:eastAsia="zh-TW"/>
        </w:rPr>
        <w:t xml:space="preserve"> while maintaining productive, positive and meaningful relationship</w:t>
      </w:r>
      <w:r w:rsidR="00AC5BA3" w:rsidRPr="00BB2758">
        <w:rPr>
          <w:lang w:eastAsia="zh-TW"/>
        </w:rPr>
        <w:t>s</w:t>
      </w:r>
      <w:r w:rsidR="00583F3E" w:rsidRPr="00BB2758">
        <w:rPr>
          <w:lang w:eastAsia="zh-TW"/>
        </w:rPr>
        <w:t xml:space="preserve"> with all stakeholders.</w:t>
      </w:r>
    </w:p>
    <w:p w14:paraId="277D1655" w14:textId="4E00CC4C" w:rsidR="004D5A89" w:rsidRPr="00BB2758" w:rsidRDefault="004D5A89" w:rsidP="00CF17D1">
      <w:pPr>
        <w:rPr>
          <w:lang w:eastAsia="zh-TW"/>
        </w:rPr>
      </w:pPr>
      <w:r>
        <w:rPr>
          <w:lang w:eastAsia="zh-TW"/>
        </w:rPr>
        <w:t xml:space="preserve">When voluntary </w:t>
      </w:r>
      <w:r w:rsidR="00E04116">
        <w:rPr>
          <w:lang w:eastAsia="zh-TW"/>
        </w:rPr>
        <w:t xml:space="preserve">compliance cannot be achieved, </w:t>
      </w:r>
      <w:r w:rsidR="00A61C73">
        <w:rPr>
          <w:lang w:eastAsia="zh-TW"/>
        </w:rPr>
        <w:t xml:space="preserve">ACT Leave </w:t>
      </w:r>
      <w:r w:rsidR="00947AB7">
        <w:rPr>
          <w:lang w:eastAsia="zh-TW"/>
        </w:rPr>
        <w:t xml:space="preserve">undertakes enforcement </w:t>
      </w:r>
      <w:r w:rsidR="00FD7B69">
        <w:rPr>
          <w:lang w:eastAsia="zh-TW"/>
        </w:rPr>
        <w:t xml:space="preserve">action </w:t>
      </w:r>
      <w:r w:rsidR="00C061EF">
        <w:rPr>
          <w:lang w:eastAsia="zh-TW"/>
        </w:rPr>
        <w:t xml:space="preserve">to ensure </w:t>
      </w:r>
      <w:r w:rsidR="00786737">
        <w:rPr>
          <w:lang w:eastAsia="zh-TW"/>
        </w:rPr>
        <w:t xml:space="preserve">employers comply </w:t>
      </w:r>
      <w:r w:rsidR="00505968">
        <w:rPr>
          <w:lang w:eastAsia="zh-TW"/>
        </w:rPr>
        <w:t xml:space="preserve">with their </w:t>
      </w:r>
      <w:r w:rsidR="00233215">
        <w:rPr>
          <w:lang w:eastAsia="zh-TW"/>
        </w:rPr>
        <w:t xml:space="preserve">legislative </w:t>
      </w:r>
      <w:r w:rsidR="00505968">
        <w:rPr>
          <w:lang w:eastAsia="zh-TW"/>
        </w:rPr>
        <w:t>obligat</w:t>
      </w:r>
      <w:r w:rsidR="00234529">
        <w:rPr>
          <w:lang w:eastAsia="zh-TW"/>
        </w:rPr>
        <w:t xml:space="preserve">ions. </w:t>
      </w:r>
      <w:r w:rsidR="00AE45F1">
        <w:rPr>
          <w:lang w:eastAsia="zh-TW"/>
        </w:rPr>
        <w:t>These</w:t>
      </w:r>
      <w:r w:rsidR="00234529">
        <w:rPr>
          <w:lang w:eastAsia="zh-TW"/>
        </w:rPr>
        <w:t xml:space="preserve"> </w:t>
      </w:r>
      <w:r w:rsidR="00084E6A">
        <w:rPr>
          <w:lang w:eastAsia="zh-TW"/>
        </w:rPr>
        <w:t xml:space="preserve">actions </w:t>
      </w:r>
      <w:r w:rsidR="00236263">
        <w:rPr>
          <w:lang w:eastAsia="zh-TW"/>
        </w:rPr>
        <w:t xml:space="preserve">may include </w:t>
      </w:r>
      <w:r w:rsidR="00AE45F1">
        <w:rPr>
          <w:lang w:eastAsia="zh-TW"/>
        </w:rPr>
        <w:t xml:space="preserve">the application of </w:t>
      </w:r>
      <w:r w:rsidR="00675EA7">
        <w:rPr>
          <w:lang w:eastAsia="zh-TW"/>
        </w:rPr>
        <w:t xml:space="preserve">late </w:t>
      </w:r>
      <w:r w:rsidR="00D15611">
        <w:rPr>
          <w:lang w:eastAsia="zh-TW"/>
        </w:rPr>
        <w:t>lodg</w:t>
      </w:r>
      <w:r w:rsidR="00441CBA">
        <w:rPr>
          <w:lang w:eastAsia="zh-TW"/>
        </w:rPr>
        <w:t>e</w:t>
      </w:r>
      <w:r w:rsidR="00D15611">
        <w:rPr>
          <w:lang w:eastAsia="zh-TW"/>
        </w:rPr>
        <w:t>ment</w:t>
      </w:r>
      <w:r w:rsidR="00675EA7">
        <w:rPr>
          <w:lang w:eastAsia="zh-TW"/>
        </w:rPr>
        <w:t xml:space="preserve"> fees</w:t>
      </w:r>
      <w:r w:rsidR="00D15611">
        <w:rPr>
          <w:lang w:eastAsia="zh-TW"/>
        </w:rPr>
        <w:t xml:space="preserve">, </w:t>
      </w:r>
      <w:r w:rsidR="00337AE4">
        <w:rPr>
          <w:lang w:eastAsia="zh-TW"/>
        </w:rPr>
        <w:t xml:space="preserve">referral to external debt </w:t>
      </w:r>
      <w:r w:rsidR="0060556B">
        <w:rPr>
          <w:lang w:eastAsia="zh-TW"/>
        </w:rPr>
        <w:t>collectors</w:t>
      </w:r>
      <w:r w:rsidR="00E05ADD">
        <w:rPr>
          <w:lang w:eastAsia="zh-TW"/>
        </w:rPr>
        <w:t>,</w:t>
      </w:r>
      <w:r w:rsidR="003C3216">
        <w:rPr>
          <w:lang w:eastAsia="zh-TW"/>
        </w:rPr>
        <w:t xml:space="preserve"> </w:t>
      </w:r>
      <w:r w:rsidR="00AF53C6">
        <w:rPr>
          <w:lang w:eastAsia="zh-TW"/>
        </w:rPr>
        <w:t xml:space="preserve">the issuing of </w:t>
      </w:r>
      <w:r w:rsidR="00C775E9">
        <w:rPr>
          <w:lang w:eastAsia="zh-TW"/>
        </w:rPr>
        <w:t>infringement notices</w:t>
      </w:r>
      <w:r w:rsidR="000020B1">
        <w:rPr>
          <w:lang w:eastAsia="zh-TW"/>
        </w:rPr>
        <w:t xml:space="preserve">, </w:t>
      </w:r>
      <w:r w:rsidR="00AF53C6">
        <w:rPr>
          <w:lang w:eastAsia="zh-TW"/>
        </w:rPr>
        <w:t xml:space="preserve">and </w:t>
      </w:r>
      <w:r w:rsidR="00871184">
        <w:rPr>
          <w:lang w:eastAsia="zh-TW"/>
        </w:rPr>
        <w:t>referral to</w:t>
      </w:r>
      <w:r w:rsidR="00AF53C6">
        <w:rPr>
          <w:lang w:eastAsia="zh-TW"/>
        </w:rPr>
        <w:t xml:space="preserve"> the</w:t>
      </w:r>
      <w:r w:rsidR="00871184">
        <w:rPr>
          <w:lang w:eastAsia="zh-TW"/>
        </w:rPr>
        <w:t xml:space="preserve"> ACT Ci</w:t>
      </w:r>
      <w:r w:rsidR="007A35E8">
        <w:rPr>
          <w:lang w:eastAsia="zh-TW"/>
        </w:rPr>
        <w:t>vil and Administrati</w:t>
      </w:r>
      <w:r w:rsidR="000A637F">
        <w:rPr>
          <w:lang w:eastAsia="zh-TW"/>
        </w:rPr>
        <w:t>ve</w:t>
      </w:r>
      <w:r w:rsidR="007A35E8">
        <w:rPr>
          <w:lang w:eastAsia="zh-TW"/>
        </w:rPr>
        <w:t xml:space="preserve"> Tribunal</w:t>
      </w:r>
      <w:r w:rsidR="00E05ADD">
        <w:rPr>
          <w:lang w:eastAsia="zh-TW"/>
        </w:rPr>
        <w:t xml:space="preserve"> </w:t>
      </w:r>
      <w:r w:rsidR="000A637F">
        <w:rPr>
          <w:lang w:eastAsia="zh-TW"/>
        </w:rPr>
        <w:t xml:space="preserve">(ACAT) </w:t>
      </w:r>
      <w:r w:rsidR="00AF53C6">
        <w:rPr>
          <w:lang w:eastAsia="zh-TW"/>
        </w:rPr>
        <w:t>or the</w:t>
      </w:r>
      <w:r w:rsidR="00861C16">
        <w:rPr>
          <w:lang w:eastAsia="zh-TW"/>
        </w:rPr>
        <w:t xml:space="preserve"> ACT Magistrates Court. ACT Leave appointed inspectors may inspect business </w:t>
      </w:r>
      <w:r w:rsidR="002B3A06">
        <w:rPr>
          <w:lang w:eastAsia="zh-TW"/>
        </w:rPr>
        <w:t xml:space="preserve">premises and </w:t>
      </w:r>
      <w:r w:rsidR="00E8584A">
        <w:rPr>
          <w:lang w:eastAsia="zh-TW"/>
        </w:rPr>
        <w:t>issue notice</w:t>
      </w:r>
      <w:r w:rsidR="005C6C71">
        <w:rPr>
          <w:lang w:eastAsia="zh-TW"/>
        </w:rPr>
        <w:t>s requiring the</w:t>
      </w:r>
      <w:r w:rsidR="00E8584A">
        <w:rPr>
          <w:lang w:eastAsia="zh-TW"/>
        </w:rPr>
        <w:t xml:space="preserve"> produc</w:t>
      </w:r>
      <w:r w:rsidR="005C6C71">
        <w:rPr>
          <w:lang w:eastAsia="zh-TW"/>
        </w:rPr>
        <w:t>tion of</w:t>
      </w:r>
      <w:r w:rsidR="00E8584A">
        <w:rPr>
          <w:lang w:eastAsia="zh-TW"/>
        </w:rPr>
        <w:t xml:space="preserve"> information.</w:t>
      </w:r>
    </w:p>
    <w:p w14:paraId="39C3785A" w14:textId="5475646D" w:rsidR="00583F3E" w:rsidRPr="00BB2758" w:rsidRDefault="00583F3E" w:rsidP="00635ADF">
      <w:pPr>
        <w:pStyle w:val="Heading3NoNumber"/>
        <w:rPr>
          <w:rFonts w:cs="Arial"/>
        </w:rPr>
      </w:pPr>
      <w:bookmarkStart w:id="27" w:name="_Toc171087038"/>
      <w:r w:rsidRPr="00BB2758">
        <w:rPr>
          <w:rFonts w:cs="Arial"/>
        </w:rPr>
        <w:t xml:space="preserve">Accountability </w:t>
      </w:r>
      <w:bookmarkEnd w:id="27"/>
      <w:r w:rsidR="00C20047" w:rsidRPr="00BB2758">
        <w:rPr>
          <w:rFonts w:cs="Arial"/>
        </w:rPr>
        <w:t>i</w:t>
      </w:r>
      <w:r w:rsidRPr="00BB2758">
        <w:rPr>
          <w:rFonts w:cs="Arial"/>
        </w:rPr>
        <w:t>ndicators</w:t>
      </w:r>
    </w:p>
    <w:p w14:paraId="1AECF847" w14:textId="0C34ADC3" w:rsidR="00583F3E" w:rsidRPr="00BB2758" w:rsidRDefault="006D637B" w:rsidP="006E0242">
      <w:pPr>
        <w:rPr>
          <w:i/>
          <w:caps/>
          <w:sz w:val="30"/>
          <w:szCs w:val="30"/>
        </w:rPr>
      </w:pPr>
      <w:r w:rsidRPr="00BB2758">
        <w:t>ACT Leave</w:t>
      </w:r>
      <w:r w:rsidR="00583F3E" w:rsidRPr="00BB2758">
        <w:t xml:space="preserve">’s annual Statement of Performance details actual performance results against </w:t>
      </w:r>
      <w:r w:rsidR="00AC5BA3" w:rsidRPr="00BB2758">
        <w:t xml:space="preserve">established </w:t>
      </w:r>
      <w:r w:rsidR="00583F3E" w:rsidRPr="00BB2758">
        <w:t>target</w:t>
      </w:r>
      <w:r w:rsidR="00AC5BA3" w:rsidRPr="00BB2758">
        <w:t>s</w:t>
      </w:r>
      <w:r w:rsidR="00583F3E" w:rsidRPr="00BB2758">
        <w:t xml:space="preserve">, including an explanation of major variances for each performance measure. Refer to </w:t>
      </w:r>
      <w:r w:rsidR="006779A6" w:rsidRPr="00BB2758">
        <w:t>C</w:t>
      </w:r>
      <w:r w:rsidR="00583F3E" w:rsidRPr="00BB2758">
        <w:t>6</w:t>
      </w:r>
      <w:r w:rsidR="005749C7" w:rsidRPr="00BB2758">
        <w:t>.</w:t>
      </w:r>
      <w:r w:rsidR="00583F3E" w:rsidRPr="00BB2758">
        <w:t xml:space="preserve"> Statement of Performance</w:t>
      </w:r>
      <w:r w:rsidR="00583F3E" w:rsidRPr="00577452">
        <w:t>, pag</w:t>
      </w:r>
      <w:r w:rsidR="00583F3E" w:rsidRPr="00857B27">
        <w:t xml:space="preserve">es </w:t>
      </w:r>
      <w:r w:rsidR="003659C2" w:rsidRPr="00857B27">
        <w:t>1</w:t>
      </w:r>
      <w:r w:rsidR="00857B27" w:rsidRPr="00857B27">
        <w:t>22</w:t>
      </w:r>
      <w:r w:rsidR="00583F3E" w:rsidRPr="00857B27">
        <w:t>-</w:t>
      </w:r>
      <w:r w:rsidR="005C46A9" w:rsidRPr="00857B27">
        <w:t>1</w:t>
      </w:r>
      <w:r w:rsidR="00857B27" w:rsidRPr="00857B27">
        <w:t>27</w:t>
      </w:r>
      <w:r w:rsidR="00583F3E" w:rsidRPr="00857B27">
        <w:t xml:space="preserve"> f</w:t>
      </w:r>
      <w:r w:rsidR="00583F3E" w:rsidRPr="00BB2758">
        <w:t>or further information.</w:t>
      </w:r>
    </w:p>
    <w:p w14:paraId="0FFD7EA2" w14:textId="4DEB144E" w:rsidR="00583F3E" w:rsidRPr="009A6C26" w:rsidRDefault="00813485" w:rsidP="006E0242">
      <w:pPr>
        <w:pStyle w:val="Heading2NoNumber"/>
        <w:rPr>
          <w:i/>
        </w:rPr>
      </w:pPr>
      <w:bookmarkStart w:id="28" w:name="_Toc428798632"/>
      <w:bookmarkStart w:id="29" w:name="_Toc19627241"/>
      <w:bookmarkStart w:id="30" w:name="_Toc171087039"/>
      <w:bookmarkStart w:id="31" w:name="_Toc240533488"/>
      <w:bookmarkEnd w:id="25"/>
      <w:r w:rsidRPr="009A6C26">
        <w:t xml:space="preserve">B3. </w:t>
      </w:r>
      <w:r w:rsidR="00583F3E" w:rsidRPr="009A6C26">
        <w:t>Scrutiny</w:t>
      </w:r>
      <w:bookmarkEnd w:id="28"/>
      <w:bookmarkEnd w:id="29"/>
      <w:bookmarkEnd w:id="30"/>
      <w:bookmarkEnd w:id="31"/>
    </w:p>
    <w:p w14:paraId="1DC10C24" w14:textId="09D339F2" w:rsidR="002F21F4" w:rsidRDefault="00731945" w:rsidP="006E0242">
      <w:r w:rsidRPr="009A6C26">
        <w:t xml:space="preserve">In </w:t>
      </w:r>
      <w:r w:rsidR="000F3C03" w:rsidRPr="009A6C26">
        <w:t>202</w:t>
      </w:r>
      <w:r w:rsidR="00AC4703">
        <w:t>4</w:t>
      </w:r>
      <w:r w:rsidR="000F3C03" w:rsidRPr="009A6C26">
        <w:t>-2</w:t>
      </w:r>
      <w:r w:rsidR="00AC4703">
        <w:t>5</w:t>
      </w:r>
      <w:r w:rsidRPr="009A6C26">
        <w:t xml:space="preserve"> </w:t>
      </w:r>
      <w:r w:rsidR="00583F3E" w:rsidRPr="009A6C26">
        <w:t>the ACT Auditor-General</w:t>
      </w:r>
      <w:r w:rsidRPr="009A6C26">
        <w:t xml:space="preserve"> published a report on </w:t>
      </w:r>
      <w:r w:rsidR="00583F3E" w:rsidRPr="009A6C26">
        <w:t xml:space="preserve">the </w:t>
      </w:r>
      <w:r w:rsidR="00003789" w:rsidRPr="009A6C26">
        <w:t>‘</w:t>
      </w:r>
      <w:r w:rsidR="00C85DAD" w:rsidRPr="009A6C26">
        <w:t xml:space="preserve">Governing </w:t>
      </w:r>
      <w:r w:rsidR="00070B3A" w:rsidRPr="009A6C26">
        <w:t xml:space="preserve">boards </w:t>
      </w:r>
      <w:r w:rsidR="00C85DAD" w:rsidRPr="009A6C26">
        <w:t xml:space="preserve">of </w:t>
      </w:r>
      <w:r w:rsidR="00070B3A" w:rsidRPr="009A6C26">
        <w:t xml:space="preserve">selected ACT Government </w:t>
      </w:r>
      <w:r w:rsidRPr="009A6C26">
        <w:t>entities</w:t>
      </w:r>
      <w:r w:rsidR="00003789" w:rsidRPr="009A6C26">
        <w:t>’</w:t>
      </w:r>
      <w:r w:rsidRPr="009A6C26">
        <w:t xml:space="preserve"> following the performance audit which ACT Leave participated in during 2023-24.</w:t>
      </w:r>
      <w:r w:rsidR="0098342F" w:rsidRPr="009A6C26">
        <w:t xml:space="preserve"> </w:t>
      </w:r>
      <w:r w:rsidR="0098342F" w:rsidRPr="009A6C26" w:rsidDel="00C85DAD">
        <w:t>The</w:t>
      </w:r>
      <w:r w:rsidR="00C85DAD" w:rsidRPr="009A6C26">
        <w:t xml:space="preserve"> Auditor General’s report included </w:t>
      </w:r>
      <w:r w:rsidR="00233215" w:rsidRPr="009A6C26">
        <w:t>several</w:t>
      </w:r>
      <w:r w:rsidR="00C85DAD" w:rsidRPr="009A6C26">
        <w:t xml:space="preserve"> recommendations specifically for ACT Leave, which </w:t>
      </w:r>
      <w:r w:rsidR="00DF759E">
        <w:t>were finalised in 2025-26</w:t>
      </w:r>
      <w:r w:rsidR="006164D6" w:rsidRPr="009A6C26">
        <w:t xml:space="preserve"> and approved by the Governing Board</w:t>
      </w:r>
      <w:r w:rsidR="00F124A1" w:rsidRPr="009A6C26">
        <w:t>.</w:t>
      </w:r>
      <w:r w:rsidR="00583F3E" w:rsidRPr="009A6C26">
        <w:t xml:space="preserve"> </w:t>
      </w:r>
    </w:p>
    <w:p w14:paraId="58A28398" w14:textId="77777777" w:rsidR="005004A4" w:rsidRDefault="00583F3E" w:rsidP="006E0242">
      <w:r w:rsidRPr="009A6C26">
        <w:t>There were no</w:t>
      </w:r>
      <w:r w:rsidR="00731945" w:rsidRPr="009A6C26">
        <w:t xml:space="preserve"> other</w:t>
      </w:r>
      <w:r w:rsidRPr="009A6C26">
        <w:t xml:space="preserve"> reports from the ACT Auditor-General, the ACT Ombudsman, or any Legislative Assembly Committees in </w:t>
      </w:r>
      <w:r w:rsidR="000F3C03" w:rsidRPr="009A6C26">
        <w:rPr>
          <w:color w:val="auto"/>
        </w:rPr>
        <w:t>2025-26</w:t>
      </w:r>
      <w:r w:rsidR="004C6BCA" w:rsidRPr="009A6C26">
        <w:rPr>
          <w:color w:val="auto"/>
        </w:rPr>
        <w:t xml:space="preserve"> </w:t>
      </w:r>
      <w:r w:rsidRPr="009A6C26">
        <w:t xml:space="preserve">which required input from </w:t>
      </w:r>
      <w:r w:rsidR="004C6BCA" w:rsidRPr="009A6C26">
        <w:t>ACT Leave</w:t>
      </w:r>
      <w:r w:rsidRPr="009A6C26">
        <w:t>.</w:t>
      </w:r>
      <w:r w:rsidR="004C6BCA" w:rsidRPr="009A6C26">
        <w:t xml:space="preserve"> </w:t>
      </w:r>
    </w:p>
    <w:p w14:paraId="2AD4A6A3" w14:textId="257BA9BB" w:rsidR="00583F3E" w:rsidRPr="009A6C26" w:rsidRDefault="00583F3E" w:rsidP="006E0242">
      <w:r w:rsidRPr="009A6C26">
        <w:t xml:space="preserve">The only other scrutiny from the </w:t>
      </w:r>
      <w:r w:rsidR="00731945" w:rsidRPr="009A6C26">
        <w:t>ACT</w:t>
      </w:r>
      <w:r w:rsidRPr="009A6C26">
        <w:t xml:space="preserve"> Auditor-General during the reporting period was for the audit of </w:t>
      </w:r>
      <w:r w:rsidRPr="009A6C26">
        <w:rPr>
          <w:color w:val="auto"/>
        </w:rPr>
        <w:t xml:space="preserve">the </w:t>
      </w:r>
      <w:r w:rsidR="000F3C03" w:rsidRPr="009A6C26">
        <w:rPr>
          <w:color w:val="auto"/>
        </w:rPr>
        <w:t>2025-26</w:t>
      </w:r>
      <w:r w:rsidRPr="009A6C26">
        <w:rPr>
          <w:color w:val="auto"/>
        </w:rPr>
        <w:t xml:space="preserve"> </w:t>
      </w:r>
      <w:r w:rsidRPr="009A6C26">
        <w:t>Financial Statements and</w:t>
      </w:r>
      <w:r w:rsidR="000C0D0D" w:rsidRPr="009A6C26">
        <w:rPr>
          <w:color w:val="auto"/>
        </w:rPr>
        <w:t xml:space="preserve"> </w:t>
      </w:r>
      <w:r w:rsidRPr="009A6C26">
        <w:t xml:space="preserve">Statement of Performance. The Audit </w:t>
      </w:r>
      <w:r w:rsidRPr="00FD5EDA">
        <w:t xml:space="preserve">Office issued an </w:t>
      </w:r>
      <w:r w:rsidR="0032119C" w:rsidRPr="00FD5EDA">
        <w:t>unmodified audit report for the Financial Statements and a Limited Assurance report for the Statement of Performance for the 2025-26 financial year</w:t>
      </w:r>
      <w:r w:rsidR="00C745C2" w:rsidRPr="00FD5EDA">
        <w:t>.</w:t>
      </w:r>
      <w:r w:rsidRPr="00FD5EDA">
        <w:t xml:space="preserve"> </w:t>
      </w:r>
      <w:r w:rsidR="002A79B0" w:rsidRPr="00FD5EDA">
        <w:t xml:space="preserve">The </w:t>
      </w:r>
      <w:r w:rsidR="00B85A7E" w:rsidRPr="00FD5EDA">
        <w:t xml:space="preserve">Audit Management Report </w:t>
      </w:r>
      <w:r w:rsidR="005952B2" w:rsidRPr="00FD5EDA">
        <w:t xml:space="preserve">for the year ended </w:t>
      </w:r>
      <w:r w:rsidR="00651947" w:rsidRPr="00FD5EDA">
        <w:t>30 June 2026</w:t>
      </w:r>
      <w:r w:rsidR="00C33C15" w:rsidRPr="00FD5EDA">
        <w:t xml:space="preserve"> included</w:t>
      </w:r>
      <w:r w:rsidR="00C33C15">
        <w:t xml:space="preserve"> </w:t>
      </w:r>
      <w:r w:rsidR="00AD315B">
        <w:t>4</w:t>
      </w:r>
      <w:r w:rsidR="009331DA">
        <w:t xml:space="preserve"> pr</w:t>
      </w:r>
      <w:r w:rsidR="00A6325B">
        <w:t>eviousl</w:t>
      </w:r>
      <w:r w:rsidR="00054EEB">
        <w:t>y reported</w:t>
      </w:r>
      <w:r w:rsidR="000C0D0D" w:rsidRPr="009A6C26">
        <w:t xml:space="preserve"> </w:t>
      </w:r>
      <w:r w:rsidRPr="009A6C26">
        <w:t>audit finding</w:t>
      </w:r>
      <w:r w:rsidR="000C0D0D" w:rsidRPr="009A6C26">
        <w:t>s</w:t>
      </w:r>
      <w:r w:rsidRPr="009A6C26">
        <w:t xml:space="preserve"> </w:t>
      </w:r>
      <w:r w:rsidR="003777BA">
        <w:t xml:space="preserve">and one new audit finding. All the findings related </w:t>
      </w:r>
      <w:r w:rsidR="00846133">
        <w:t xml:space="preserve">to </w:t>
      </w:r>
      <w:r w:rsidR="001A16F7">
        <w:t xml:space="preserve">the </w:t>
      </w:r>
      <w:r w:rsidR="005F65D5">
        <w:t>design</w:t>
      </w:r>
      <w:r w:rsidR="00252895">
        <w:t>, implementation a</w:t>
      </w:r>
      <w:r w:rsidR="00E104DA">
        <w:t>nd operating effectiveness</w:t>
      </w:r>
      <w:r w:rsidR="00C975BC">
        <w:t xml:space="preserve"> </w:t>
      </w:r>
      <w:r w:rsidR="00394DF7">
        <w:t xml:space="preserve">of general </w:t>
      </w:r>
      <w:r w:rsidR="0064239E">
        <w:t xml:space="preserve">key application controls </w:t>
      </w:r>
      <w:r w:rsidR="00F934A1">
        <w:t xml:space="preserve">and </w:t>
      </w:r>
      <w:r w:rsidR="00C4170E">
        <w:t xml:space="preserve">automated processes of </w:t>
      </w:r>
      <w:r w:rsidR="00D123D8">
        <w:t xml:space="preserve">ACT Leave’s administration system implemented in December 2024. ACT Leave is actively working to </w:t>
      </w:r>
      <w:r w:rsidR="00CC7784">
        <w:t xml:space="preserve">resolve </w:t>
      </w:r>
      <w:r w:rsidR="00ED0320">
        <w:t>these findings</w:t>
      </w:r>
      <w:r>
        <w:t>.</w:t>
      </w:r>
    </w:p>
    <w:p w14:paraId="3B098984" w14:textId="426B9CC8" w:rsidR="00583F3E" w:rsidRPr="009A6C26" w:rsidRDefault="00813485" w:rsidP="006E0242">
      <w:pPr>
        <w:pStyle w:val="Heading2NoNumber"/>
      </w:pPr>
      <w:bookmarkStart w:id="32" w:name="_Toc428798633"/>
      <w:bookmarkStart w:id="33" w:name="_Toc19627242"/>
      <w:bookmarkStart w:id="34" w:name="_Toc171087040"/>
      <w:bookmarkStart w:id="35" w:name="_Toc240533489"/>
      <w:r w:rsidRPr="009A6C26">
        <w:t xml:space="preserve">B4. </w:t>
      </w:r>
      <w:bookmarkEnd w:id="32"/>
      <w:bookmarkEnd w:id="33"/>
      <w:bookmarkEnd w:id="34"/>
      <w:r w:rsidR="00583F3E" w:rsidRPr="009A6C26">
        <w:t xml:space="preserve">Risk </w:t>
      </w:r>
      <w:r w:rsidR="00D602E8" w:rsidRPr="009A6C26">
        <w:t>m</w:t>
      </w:r>
      <w:r w:rsidR="00583F3E" w:rsidRPr="009A6C26">
        <w:t>anagement</w:t>
      </w:r>
      <w:bookmarkEnd w:id="35"/>
    </w:p>
    <w:p w14:paraId="5EC6E571" w14:textId="35E524C9" w:rsidR="007B09EE" w:rsidRPr="009A6C26" w:rsidRDefault="0090513B" w:rsidP="006E0242">
      <w:r w:rsidRPr="009A6C26">
        <w:t>ACT Leave has in place a</w:t>
      </w:r>
      <w:r w:rsidRPr="009A6C26" w:rsidDel="00174F66">
        <w:t xml:space="preserve"> </w:t>
      </w:r>
      <w:r w:rsidR="00174F66" w:rsidRPr="009A6C26">
        <w:t xml:space="preserve">comprehensive </w:t>
      </w:r>
      <w:r w:rsidRPr="009A6C26">
        <w:t>Risk Management Framework comprising an Enterprise Risk Register, a Risk Appetite Statement</w:t>
      </w:r>
      <w:r w:rsidR="006A407E" w:rsidRPr="009A6C26">
        <w:t xml:space="preserve"> developed by the Governing Board, </w:t>
      </w:r>
      <w:r w:rsidR="00A32E50" w:rsidRPr="009A6C26">
        <w:t xml:space="preserve">a </w:t>
      </w:r>
      <w:r w:rsidR="00C8173D" w:rsidRPr="009A6C26">
        <w:t xml:space="preserve">risk register underpinning </w:t>
      </w:r>
      <w:r w:rsidR="008A3487" w:rsidRPr="009A6C26">
        <w:t xml:space="preserve">the organisation’s </w:t>
      </w:r>
      <w:r w:rsidR="00A32E50" w:rsidRPr="009A6C26">
        <w:t>business transformation</w:t>
      </w:r>
      <w:r w:rsidR="008A3487" w:rsidRPr="009A6C26">
        <w:t xml:space="preserve"> projects, a</w:t>
      </w:r>
      <w:r w:rsidR="008A3487" w:rsidRPr="009A6C26" w:rsidDel="0069664E">
        <w:t xml:space="preserve"> </w:t>
      </w:r>
      <w:r w:rsidR="008A3487" w:rsidRPr="009A6C26">
        <w:t>Work Health and Safety (WHS) Risk Register to document and mitigate WHS risks</w:t>
      </w:r>
      <w:r w:rsidR="0069664E">
        <w:t xml:space="preserve">, and a </w:t>
      </w:r>
      <w:r w:rsidR="00233215">
        <w:t xml:space="preserve">Workforce </w:t>
      </w:r>
      <w:r w:rsidR="00C74F87">
        <w:t>R</w:t>
      </w:r>
      <w:r w:rsidR="0069664E">
        <w:t xml:space="preserve">isk </w:t>
      </w:r>
      <w:r w:rsidR="00C74F87">
        <w:t>R</w:t>
      </w:r>
      <w:r w:rsidR="0069664E">
        <w:t>egister</w:t>
      </w:r>
      <w:r w:rsidR="0069664E" w:rsidRPr="0069664E">
        <w:t xml:space="preserve"> </w:t>
      </w:r>
      <w:r w:rsidR="0069664E" w:rsidRPr="009A6C26">
        <w:t xml:space="preserve">to </w:t>
      </w:r>
      <w:r w:rsidR="00BE402D">
        <w:t>manage</w:t>
      </w:r>
      <w:r w:rsidR="0069664E">
        <w:t xml:space="preserve"> </w:t>
      </w:r>
      <w:r w:rsidR="0069664E" w:rsidRPr="009A6C26">
        <w:t>risks</w:t>
      </w:r>
      <w:r w:rsidR="0069664E">
        <w:t xml:space="preserve"> arising from ACT Leave’s organisational </w:t>
      </w:r>
      <w:r w:rsidR="00233215">
        <w:t>Workforce Review</w:t>
      </w:r>
      <w:r w:rsidR="0069664E">
        <w:t xml:space="preserve">. </w:t>
      </w:r>
    </w:p>
    <w:p w14:paraId="6435E14D" w14:textId="071E303B" w:rsidR="00DF10D8" w:rsidRPr="00DF10D8" w:rsidRDefault="00DF10D8" w:rsidP="00DF10D8">
      <w:pPr>
        <w:rPr>
          <w:lang w:val="en-AU"/>
        </w:rPr>
      </w:pPr>
      <w:r w:rsidRPr="00DF10D8">
        <w:rPr>
          <w:lang w:val="en-AU"/>
        </w:rPr>
        <w:t xml:space="preserve">ACT Leave's risk management process involves the identification, assessment, treatment and ongoing monitoring of risks across operational, financial, strategic and project activities. Risks are identified by the Governing Board, Executive, managers and staff through business planning, project management activities, operational reporting, workplace inspections, audits and stakeholder engagement. Identified risks are assessed according to their likelihood and consequence and recorded in the relevant risk register, with mitigation strategies </w:t>
      </w:r>
      <w:r w:rsidR="004E23A8">
        <w:rPr>
          <w:lang w:val="en-AU"/>
        </w:rPr>
        <w:t>and controls</w:t>
      </w:r>
      <w:r w:rsidRPr="00DF10D8">
        <w:rPr>
          <w:lang w:val="en-AU"/>
        </w:rPr>
        <w:t xml:space="preserve"> assigned and monitored.</w:t>
      </w:r>
    </w:p>
    <w:p w14:paraId="2D623B91" w14:textId="77777777" w:rsidR="000F6462" w:rsidRPr="000F6462" w:rsidRDefault="000F6462" w:rsidP="000F6462">
      <w:pPr>
        <w:rPr>
          <w:lang w:val="en-AU"/>
        </w:rPr>
      </w:pPr>
      <w:r w:rsidRPr="000F6462">
        <w:rPr>
          <w:lang w:val="en-AU"/>
        </w:rPr>
        <w:t>Over recent months, ACT Leave has been working with the ACT Insurance Authority to review and strengthen its approach to risk management, including redevelopment of the organisation's risk register to support a more contemporary and consistent approach to risk identification, assessment and monitoring.</w:t>
      </w:r>
    </w:p>
    <w:p w14:paraId="481849E0" w14:textId="77777777" w:rsidR="002E6EFC" w:rsidRPr="002E6EFC" w:rsidRDefault="002E6EFC" w:rsidP="002E6EFC">
      <w:pPr>
        <w:rPr>
          <w:lang w:val="en-AU"/>
        </w:rPr>
      </w:pPr>
      <w:r w:rsidRPr="002E6EFC">
        <w:rPr>
          <w:lang w:val="en-AU"/>
        </w:rPr>
        <w:t xml:space="preserve">ACT Leave's Risk Management Framework is overseen by the Audit and Risk Committee, which reviews the Enterprise Risk Register at its quarterly meetings. This provides an opportunity to monitor existing risks, identify emerging risks and consider the effectiveness of mitigation measures. The Enterprise Risk Register is also </w:t>
      </w:r>
      <w:r w:rsidRPr="002E6EFC">
        <w:rPr>
          <w:lang w:val="en-AU"/>
        </w:rPr>
        <w:lastRenderedPageBreak/>
        <w:t>presented annually to the Governing Board for review and approval. During the reporting period, the Enterprise Risk Register was comprehensively reviewed and approved by the Audit and Risk Committee and Governing Board in February and May 2026.</w:t>
      </w:r>
    </w:p>
    <w:p w14:paraId="003D38DF" w14:textId="7B5CDF97" w:rsidR="006B7938" w:rsidRPr="006B7938" w:rsidRDefault="006B7938" w:rsidP="006B7938">
      <w:pPr>
        <w:rPr>
          <w:lang w:val="en-AU"/>
        </w:rPr>
      </w:pPr>
      <w:r w:rsidRPr="006B7938">
        <w:rPr>
          <w:lang w:val="en-AU"/>
        </w:rPr>
        <w:t xml:space="preserve">The Business Transformation Program Risk Register captures risks arising from strategic projects, with all risks </w:t>
      </w:r>
      <w:r w:rsidR="004E23A8">
        <w:rPr>
          <w:lang w:val="en-AU"/>
        </w:rPr>
        <w:t xml:space="preserve">that have been </w:t>
      </w:r>
      <w:r w:rsidRPr="006B7938">
        <w:rPr>
          <w:lang w:val="en-AU"/>
        </w:rPr>
        <w:t xml:space="preserve">assessed </w:t>
      </w:r>
      <w:r w:rsidR="004E23A8">
        <w:rPr>
          <w:lang w:val="en-AU"/>
        </w:rPr>
        <w:t>with</w:t>
      </w:r>
      <w:r w:rsidRPr="006B7938">
        <w:rPr>
          <w:lang w:val="en-AU"/>
        </w:rPr>
        <w:t xml:space="preserve"> a high residual risk rating reported to each meeting of the Governing Board.</w:t>
      </w:r>
    </w:p>
    <w:p w14:paraId="1557698F" w14:textId="77777777" w:rsidR="00D24B73" w:rsidRPr="00D24B73" w:rsidRDefault="00D24B73" w:rsidP="00D24B73">
      <w:pPr>
        <w:rPr>
          <w:lang w:val="en-AU"/>
        </w:rPr>
      </w:pPr>
      <w:r w:rsidRPr="00D24B73">
        <w:rPr>
          <w:lang w:val="en-AU"/>
        </w:rPr>
        <w:t>During the reporting period, the Business Transformation Program Risk Register and Enterprise Risk Register were reviewed, resulting in the escalation of key strategic risks to the Enterprise Risk Register where appropriate.</w:t>
      </w:r>
    </w:p>
    <w:p w14:paraId="67DA7051" w14:textId="58A29BFB" w:rsidR="007F1833" w:rsidRPr="009A6C26" w:rsidRDefault="00F22A34" w:rsidP="006E0242">
      <w:r w:rsidRPr="009A6C26">
        <w:t xml:space="preserve">The Board also remains informed of the organisation’s WHS Risk Register, with risks with a high residual risk rating reported as required. </w:t>
      </w:r>
      <w:r w:rsidR="004402CB" w:rsidRPr="009A6C26">
        <w:t>ACT Leave’s Work, Health and Safety Committee</w:t>
      </w:r>
      <w:r w:rsidR="00803400" w:rsidRPr="009A6C26">
        <w:t xml:space="preserve"> completed a </w:t>
      </w:r>
      <w:r w:rsidR="004402CB" w:rsidRPr="009A6C26">
        <w:t xml:space="preserve">comprehensive review </w:t>
      </w:r>
      <w:r w:rsidR="00E84AB5">
        <w:t xml:space="preserve">and reframing </w:t>
      </w:r>
      <w:r w:rsidR="004402CB" w:rsidRPr="009A6C26">
        <w:t xml:space="preserve">of the WHS Risk Register </w:t>
      </w:r>
      <w:r w:rsidR="00803400" w:rsidRPr="009A6C26">
        <w:t xml:space="preserve">in </w:t>
      </w:r>
      <w:r w:rsidR="004402CB" w:rsidRPr="009A6C26">
        <w:t>April 202</w:t>
      </w:r>
      <w:r w:rsidR="00E84AB5">
        <w:t>6 with a focus on identifying and mitigating psychosocial risks</w:t>
      </w:r>
      <w:r w:rsidR="004402CB" w:rsidRPr="009A6C26">
        <w:t>. </w:t>
      </w:r>
    </w:p>
    <w:p w14:paraId="201D3BA9" w14:textId="4A15AEB1" w:rsidR="004C61D6" w:rsidRPr="004C61D6" w:rsidRDefault="00241699" w:rsidP="004C61D6">
      <w:pPr>
        <w:rPr>
          <w:lang w:val="en-AU"/>
        </w:rPr>
      </w:pPr>
      <w:r w:rsidRPr="009A6C26">
        <w:t>The Chief Executive Officer</w:t>
      </w:r>
      <w:r>
        <w:t xml:space="preserve"> and ACT Leave Executive </w:t>
      </w:r>
      <w:r w:rsidR="00635534">
        <w:t>Team</w:t>
      </w:r>
      <w:r>
        <w:t xml:space="preserve"> </w:t>
      </w:r>
      <w:r w:rsidRPr="009A6C26">
        <w:t xml:space="preserve">review the Enterprise Risk Register </w:t>
      </w:r>
      <w:r>
        <w:t xml:space="preserve">on </w:t>
      </w:r>
      <w:r w:rsidRPr="009A6C26">
        <w:t xml:space="preserve">at least a quarterly basis, while the Business Transformation Program Risk Register is considered </w:t>
      </w:r>
      <w:r>
        <w:t>ahead of each Board meeting</w:t>
      </w:r>
      <w:r w:rsidRPr="009A6C26">
        <w:t xml:space="preserve">, and the WHS Risk Register is reviewed quarterly by the WHS Committee and the Chief Executive Officer. </w:t>
      </w:r>
      <w:r w:rsidR="004C61D6" w:rsidRPr="004C61D6">
        <w:rPr>
          <w:lang w:val="en-AU"/>
        </w:rPr>
        <w:t>All risks are monitored, with opportunities for improvement and structured contingency planning identified and implemented where appropriate.</w:t>
      </w:r>
    </w:p>
    <w:p w14:paraId="69FEA973" w14:textId="2C5B795A" w:rsidR="009C4B68" w:rsidRPr="00A46E30" w:rsidRDefault="009C4B68" w:rsidP="009C4B68">
      <w:pPr>
        <w:rPr>
          <w:lang w:val="en-AU"/>
        </w:rPr>
      </w:pPr>
      <w:r w:rsidRPr="00A46E30">
        <w:rPr>
          <w:lang w:val="en-AU"/>
        </w:rPr>
        <w:t xml:space="preserve">Emerging risks are identified through quarterly reviews of risk registers, strategic planning activities, </w:t>
      </w:r>
      <w:r w:rsidR="004A2639">
        <w:rPr>
          <w:lang w:val="en-AU"/>
        </w:rPr>
        <w:t xml:space="preserve">business continuity planning, </w:t>
      </w:r>
      <w:r w:rsidRPr="00A46E30">
        <w:rPr>
          <w:lang w:val="en-AU"/>
        </w:rPr>
        <w:t xml:space="preserve">project governance processes, legislative and policy monitoring, audit findings, stakeholder feedback and environmental scanning. Where emerging risks are assessed as material, they are escalated to the Enterprise Risk Register and appropriate </w:t>
      </w:r>
      <w:r w:rsidRPr="00A46E30" w:rsidDel="00FD5EDA">
        <w:rPr>
          <w:lang w:val="en-AU"/>
        </w:rPr>
        <w:t>mitigation</w:t>
      </w:r>
      <w:r w:rsidR="00FD5EDA" w:rsidRPr="00A46E30">
        <w:rPr>
          <w:lang w:val="en-AU"/>
        </w:rPr>
        <w:t>,</w:t>
      </w:r>
      <w:r w:rsidRPr="00A46E30">
        <w:rPr>
          <w:lang w:val="en-AU"/>
        </w:rPr>
        <w:t xml:space="preserve"> and monitoring arrangements are implemented.</w:t>
      </w:r>
    </w:p>
    <w:p w14:paraId="2D23A750" w14:textId="693E2EBC" w:rsidR="00ED4733" w:rsidRDefault="00BD4D7E" w:rsidP="00921B69">
      <w:r w:rsidRPr="009A6C26">
        <w:t>Developed in 2023</w:t>
      </w:r>
      <w:r w:rsidR="00241699">
        <w:t xml:space="preserve"> in line with the Strategic Plan</w:t>
      </w:r>
      <w:r w:rsidRPr="009A6C26">
        <w:t>, ACT Leave’s Risk Appetite Statement is an important decision</w:t>
      </w:r>
      <w:r w:rsidR="005E0CFA" w:rsidRPr="009A6C26">
        <w:t>-</w:t>
      </w:r>
      <w:r w:rsidRPr="009A6C26">
        <w:t xml:space="preserve">making tool for the </w:t>
      </w:r>
      <w:r w:rsidR="00AD4041" w:rsidRPr="009A6C26">
        <w:t xml:space="preserve">Governing </w:t>
      </w:r>
      <w:r w:rsidRPr="009A6C26">
        <w:t xml:space="preserve">Board, </w:t>
      </w:r>
      <w:r w:rsidR="00655F02" w:rsidRPr="009A6C26">
        <w:t xml:space="preserve">establishing the </w:t>
      </w:r>
      <w:r w:rsidR="00B96488" w:rsidRPr="009A6C26">
        <w:t xml:space="preserve">tolerance for risk as it relates to </w:t>
      </w:r>
      <w:r w:rsidR="007B10E1" w:rsidRPr="009A6C26">
        <w:t>ACT Leave’s</w:t>
      </w:r>
      <w:r w:rsidR="00B96488" w:rsidRPr="009A6C26">
        <w:t xml:space="preserve"> </w:t>
      </w:r>
      <w:r w:rsidR="004C6C84" w:rsidRPr="009A6C26">
        <w:t>s</w:t>
      </w:r>
      <w:r w:rsidR="00B96488" w:rsidRPr="009A6C26">
        <w:t>trateg</w:t>
      </w:r>
      <w:r w:rsidR="007B10E1" w:rsidRPr="009A6C26">
        <w:t>y</w:t>
      </w:r>
      <w:r w:rsidR="00B96488" w:rsidRPr="009A6C26">
        <w:t xml:space="preserve"> (including strategic projects), and operations.</w:t>
      </w:r>
      <w:r w:rsidR="008754F5" w:rsidRPr="009A6C26">
        <w:t xml:space="preserve"> </w:t>
      </w:r>
      <w:r w:rsidR="008D4738" w:rsidRPr="009A6C26">
        <w:t xml:space="preserve">Governing </w:t>
      </w:r>
      <w:r w:rsidR="003678CD" w:rsidRPr="009A6C26">
        <w:t>Board agenda items requiring</w:t>
      </w:r>
      <w:r w:rsidR="00B00282" w:rsidRPr="009A6C26">
        <w:t xml:space="preserve"> a decision are </w:t>
      </w:r>
      <w:r w:rsidR="00A605E3" w:rsidRPr="009A6C26">
        <w:t>mapped directly to the Strategic Plan (if relevant)</w:t>
      </w:r>
      <w:r w:rsidR="00CC55CE">
        <w:t>,</w:t>
      </w:r>
      <w:r w:rsidR="00A605E3" w:rsidRPr="009A6C26">
        <w:t xml:space="preserve"> as well as the Risk Appetite Statement</w:t>
      </w:r>
      <w:r w:rsidR="007B10E1" w:rsidRPr="009A6C26">
        <w:t>.</w:t>
      </w:r>
      <w:r w:rsidR="008754F5" w:rsidRPr="009A6C26">
        <w:t xml:space="preserve"> </w:t>
      </w:r>
      <w:r w:rsidR="00F173F1" w:rsidRPr="009A6C26">
        <w:t xml:space="preserve">The Risk Appetite Statement is reviewed by the Board on an annual basis, to coincide with </w:t>
      </w:r>
      <w:r w:rsidR="004016BE" w:rsidRPr="009A6C26">
        <w:t>the Board’s review of the Enterprise Risk Register, and a progress review of the Strategic Plan.</w:t>
      </w:r>
      <w:r w:rsidR="008754F5" w:rsidRPr="009A6C26">
        <w:t xml:space="preserve"> </w:t>
      </w:r>
    </w:p>
    <w:p w14:paraId="6E90EBBC" w14:textId="0C972418" w:rsidR="00DB2CCD" w:rsidRPr="00DB2CCD" w:rsidRDefault="00DB2CCD" w:rsidP="00DB2CCD">
      <w:pPr>
        <w:rPr>
          <w:lang w:val="en-AU"/>
        </w:rPr>
      </w:pPr>
      <w:r w:rsidRPr="00DB2CCD">
        <w:rPr>
          <w:lang w:val="en-AU"/>
        </w:rPr>
        <w:t xml:space="preserve">The Governing Board and ACT Leave’s Executive commenced development of a new Strategic Plan in </w:t>
      </w:r>
      <w:r w:rsidR="00C93E55">
        <w:rPr>
          <w:lang w:val="en-AU"/>
        </w:rPr>
        <w:t>April</w:t>
      </w:r>
      <w:r w:rsidR="00C93E55" w:rsidRPr="00DB2CCD">
        <w:rPr>
          <w:lang w:val="en-AU"/>
        </w:rPr>
        <w:t xml:space="preserve"> </w:t>
      </w:r>
      <w:r w:rsidRPr="00DB2CCD">
        <w:rPr>
          <w:lang w:val="en-AU"/>
        </w:rPr>
        <w:t xml:space="preserve">2026 to replace the current Strategic Plan 2023-2026. The Risk Appetite Statement </w:t>
      </w:r>
      <w:r w:rsidR="00C93E55">
        <w:rPr>
          <w:lang w:val="en-AU"/>
        </w:rPr>
        <w:t>is under review</w:t>
      </w:r>
      <w:r w:rsidRPr="00DB2CCD">
        <w:rPr>
          <w:lang w:val="en-AU"/>
        </w:rPr>
        <w:t xml:space="preserve"> as part of that process.</w:t>
      </w:r>
    </w:p>
    <w:p w14:paraId="11DEA718" w14:textId="1588F429" w:rsidR="007029CF" w:rsidRPr="007029CF" w:rsidRDefault="007029CF" w:rsidP="007029CF">
      <w:pPr>
        <w:rPr>
          <w:lang w:val="en-AU"/>
        </w:rPr>
      </w:pPr>
      <w:r w:rsidRPr="007029CF">
        <w:rPr>
          <w:lang w:val="en-AU"/>
        </w:rPr>
        <w:t xml:space="preserve">ACT Leave's new Business Continuity Plan was approved in February 2026 </w:t>
      </w:r>
      <w:r w:rsidRPr="007029CF" w:rsidDel="00131D26">
        <w:rPr>
          <w:lang w:val="en-AU"/>
        </w:rPr>
        <w:t xml:space="preserve">and </w:t>
      </w:r>
      <w:r w:rsidR="00B22924">
        <w:rPr>
          <w:lang w:val="en-AU"/>
        </w:rPr>
        <w:t>subsequently</w:t>
      </w:r>
      <w:r w:rsidRPr="007029CF" w:rsidDel="00131D26">
        <w:rPr>
          <w:lang w:val="en-AU"/>
        </w:rPr>
        <w:t xml:space="preserve"> tested to </w:t>
      </w:r>
      <w:r w:rsidR="00FC0F54">
        <w:rPr>
          <w:lang w:val="en-AU"/>
        </w:rPr>
        <w:t xml:space="preserve">validate business continuity arrangements, including the </w:t>
      </w:r>
      <w:r w:rsidR="0012185B">
        <w:rPr>
          <w:lang w:val="en-AU"/>
        </w:rPr>
        <w:t xml:space="preserve">organisation’s </w:t>
      </w:r>
      <w:r w:rsidR="00FC0F54">
        <w:rPr>
          <w:lang w:val="en-AU"/>
        </w:rPr>
        <w:t xml:space="preserve">ability to maintain </w:t>
      </w:r>
      <w:r w:rsidRPr="007029CF">
        <w:rPr>
          <w:lang w:val="en-AU"/>
        </w:rPr>
        <w:t xml:space="preserve">critical services during disruptions and </w:t>
      </w:r>
      <w:r w:rsidR="00BB16A0">
        <w:rPr>
          <w:lang w:val="en-AU"/>
        </w:rPr>
        <w:t>restore systems</w:t>
      </w:r>
      <w:r w:rsidRPr="007029CF">
        <w:rPr>
          <w:lang w:val="en-AU"/>
        </w:rPr>
        <w:t xml:space="preserve"> within appropriate timeframes.</w:t>
      </w:r>
    </w:p>
    <w:p w14:paraId="2A20F22D" w14:textId="0E2F143E" w:rsidR="00583F3E" w:rsidRPr="009A6C26" w:rsidRDefault="00813485" w:rsidP="006E0242">
      <w:pPr>
        <w:pStyle w:val="Heading2NoNumber"/>
        <w:rPr>
          <w:i/>
          <w:iCs/>
        </w:rPr>
      </w:pPr>
      <w:bookmarkStart w:id="36" w:name="_Toc171087041"/>
      <w:bookmarkStart w:id="37" w:name="_Toc240533490"/>
      <w:r w:rsidRPr="009A6C26">
        <w:t>B5. Internal audit</w:t>
      </w:r>
      <w:bookmarkEnd w:id="36"/>
      <w:bookmarkEnd w:id="37"/>
    </w:p>
    <w:p w14:paraId="0B83310F" w14:textId="74F5C0CD" w:rsidR="00D90BC5" w:rsidRPr="00D90BC5" w:rsidRDefault="00D90BC5" w:rsidP="00D90BC5">
      <w:pPr>
        <w:rPr>
          <w:lang w:val="en-AU"/>
        </w:rPr>
      </w:pPr>
      <w:r w:rsidRPr="00D90BC5">
        <w:rPr>
          <w:lang w:val="en-AU"/>
        </w:rPr>
        <w:t xml:space="preserve">The Audit and Risk Committee, </w:t>
      </w:r>
      <w:r w:rsidR="004A2639">
        <w:rPr>
          <w:lang w:val="en-AU"/>
        </w:rPr>
        <w:t>operating</w:t>
      </w:r>
      <w:r w:rsidR="004A2639" w:rsidRPr="00D90BC5">
        <w:rPr>
          <w:lang w:val="en-AU"/>
        </w:rPr>
        <w:t xml:space="preserve"> </w:t>
      </w:r>
      <w:r w:rsidRPr="00D90BC5">
        <w:rPr>
          <w:lang w:val="en-AU"/>
        </w:rPr>
        <w:t xml:space="preserve">under the Audit and Risk Committee Charter, meets at least </w:t>
      </w:r>
      <w:r w:rsidR="00AD315B">
        <w:rPr>
          <w:lang w:val="en-AU"/>
        </w:rPr>
        <w:t>4</w:t>
      </w:r>
      <w:r w:rsidRPr="00D90BC5">
        <w:rPr>
          <w:lang w:val="en-AU"/>
        </w:rPr>
        <w:t xml:space="preserve"> times a year and oversees ACT Leave's risk management framework and internal and external audit functions. The Committee supports the Governing Board by providing independent oversight of ACT Leave's governance, risk management, compliance and assurance activities, and by monitoring the implementation of audit recommendations.</w:t>
      </w:r>
    </w:p>
    <w:p w14:paraId="42FDC206" w14:textId="77777777" w:rsidR="00D90BC5" w:rsidRPr="00D90BC5" w:rsidRDefault="00D90BC5" w:rsidP="00D90BC5">
      <w:pPr>
        <w:rPr>
          <w:lang w:val="en-AU"/>
        </w:rPr>
      </w:pPr>
      <w:r w:rsidRPr="00D90BC5">
        <w:rPr>
          <w:lang w:val="en-AU"/>
        </w:rPr>
        <w:t>Internal audit topics are discussed and determined by the Audit and Risk Committee based on risk assessments, potential or emerging issues in ACT Leave's operating environment, and ACT Leave's internal business priorities.</w:t>
      </w:r>
    </w:p>
    <w:p w14:paraId="0988CB6F" w14:textId="07335D91" w:rsidR="0003338F" w:rsidRDefault="00583F3E" w:rsidP="00F42139">
      <w:r w:rsidRPr="009A6C26">
        <w:t xml:space="preserve">During </w:t>
      </w:r>
      <w:r w:rsidR="000F3C03" w:rsidRPr="009A6C26">
        <w:t>2025-26</w:t>
      </w:r>
      <w:r w:rsidRPr="009A6C26">
        <w:t>,</w:t>
      </w:r>
      <w:r w:rsidR="00B25181" w:rsidRPr="009A6C26" w:rsidDel="006A5118">
        <w:t xml:space="preserve"> </w:t>
      </w:r>
      <w:r w:rsidR="00CD3A1D" w:rsidRPr="009A6C26">
        <w:t>ACT Leave's CRM system underwent annual security and penetration testing by an independent third-party and concluded with no major or critical issues to resolve.</w:t>
      </w:r>
      <w:r w:rsidR="00B25181" w:rsidRPr="009A6C26">
        <w:t xml:space="preserve"> As part of </w:t>
      </w:r>
      <w:r w:rsidR="00610E92" w:rsidRPr="009A6C26">
        <w:t xml:space="preserve">the </w:t>
      </w:r>
      <w:r w:rsidR="00480655" w:rsidRPr="009A6C26">
        <w:t xml:space="preserve">tax </w:t>
      </w:r>
      <w:r w:rsidR="00BC0B01" w:rsidRPr="009A6C26">
        <w:t>compliance review</w:t>
      </w:r>
      <w:r w:rsidR="00480655" w:rsidRPr="009A6C26">
        <w:t>, ACT Leave engaged with the Australian Taxation Office to perform</w:t>
      </w:r>
      <w:r w:rsidRPr="009A6C26">
        <w:t xml:space="preserve"> </w:t>
      </w:r>
      <w:r w:rsidR="00285740" w:rsidRPr="009A6C26">
        <w:t xml:space="preserve">a </w:t>
      </w:r>
      <w:r w:rsidR="00480655" w:rsidRPr="009A6C26">
        <w:t xml:space="preserve">Goods and Services Tax (GST) </w:t>
      </w:r>
      <w:r w:rsidR="00D45EB9">
        <w:t>health check</w:t>
      </w:r>
      <w:r w:rsidR="00480655" w:rsidRPr="009A6C26">
        <w:t xml:space="preserve"> </w:t>
      </w:r>
      <w:r w:rsidR="00EE1782">
        <w:t>and Fringe Bene</w:t>
      </w:r>
      <w:r w:rsidR="00654F23">
        <w:t xml:space="preserve">fits Tax (FBT) </w:t>
      </w:r>
      <w:r w:rsidR="00D45EB9">
        <w:t>peer review</w:t>
      </w:r>
      <w:r w:rsidR="00DE6EA4">
        <w:t xml:space="preserve"> and</w:t>
      </w:r>
      <w:r w:rsidR="00DE4480">
        <w:t xml:space="preserve"> </w:t>
      </w:r>
      <w:r w:rsidR="00654F23">
        <w:t>engaged</w:t>
      </w:r>
      <w:r w:rsidR="00886FA8">
        <w:t xml:space="preserve"> an independent and qualified consultant to </w:t>
      </w:r>
      <w:r w:rsidR="00030809">
        <w:t xml:space="preserve">review </w:t>
      </w:r>
      <w:r w:rsidR="00C73501">
        <w:t>its</w:t>
      </w:r>
      <w:r w:rsidR="00030809">
        <w:t xml:space="preserve"> </w:t>
      </w:r>
      <w:r w:rsidR="00030809">
        <w:lastRenderedPageBreak/>
        <w:t>compliance</w:t>
      </w:r>
      <w:r w:rsidR="00244593">
        <w:t xml:space="preserve"> with </w:t>
      </w:r>
      <w:r w:rsidR="00CA7BF9">
        <w:t xml:space="preserve">relevant taxation laws and </w:t>
      </w:r>
      <w:r w:rsidR="00BD5437">
        <w:t xml:space="preserve">regulations applicable to </w:t>
      </w:r>
      <w:r w:rsidR="0086230E">
        <w:t xml:space="preserve">payments of long service </w:t>
      </w:r>
      <w:r w:rsidR="00DD7ADF">
        <w:t>leave benefits</w:t>
      </w:r>
      <w:r w:rsidR="00FD5EDA">
        <w:t xml:space="preserve"> </w:t>
      </w:r>
      <w:r w:rsidR="00030809">
        <w:t>(PAYG</w:t>
      </w:r>
      <w:r w:rsidR="00DD7ADF">
        <w:t xml:space="preserve"> withholding tax requirements</w:t>
      </w:r>
      <w:r w:rsidR="00030809">
        <w:t xml:space="preserve">). </w:t>
      </w:r>
      <w:r w:rsidRPr="009A6C26">
        <w:t xml:space="preserve">The outcomes of </w:t>
      </w:r>
      <w:r w:rsidR="00480655" w:rsidRPr="009A6C26">
        <w:t xml:space="preserve">all </w:t>
      </w:r>
      <w:r w:rsidRPr="009A6C26">
        <w:t>the reviews were positive, with some audit findings raised and recommendations provided which have been accepted and are either complete or in the process of being addressed by management.</w:t>
      </w:r>
      <w:r w:rsidR="00260B80">
        <w:t xml:space="preserve"> </w:t>
      </w:r>
    </w:p>
    <w:p w14:paraId="0286B11A" w14:textId="77777777" w:rsidR="0003338F" w:rsidRDefault="002F47ED" w:rsidP="00F42139">
      <w:pPr>
        <w:rPr>
          <w:rFonts w:ascii="Segoe UI" w:eastAsia="Times New Roman" w:hAnsi="Segoe UI" w:cs="Segoe UI"/>
          <w:color w:val="auto"/>
          <w:sz w:val="21"/>
          <w:szCs w:val="21"/>
          <w:lang w:val="en-AU"/>
        </w:rPr>
      </w:pPr>
      <w:r>
        <w:t xml:space="preserve">ACT Leave also conducted a Benefit Claims Review to ensure </w:t>
      </w:r>
      <w:r w:rsidR="00B552ED">
        <w:t xml:space="preserve">long service leave claims are being </w:t>
      </w:r>
      <w:r w:rsidR="00BC39C3">
        <w:t>calculated and</w:t>
      </w:r>
      <w:r w:rsidR="00B552ED">
        <w:t xml:space="preserve"> processed</w:t>
      </w:r>
      <w:r>
        <w:t xml:space="preserve"> </w:t>
      </w:r>
      <w:r w:rsidR="002B64B4">
        <w:t xml:space="preserve">in line with the </w:t>
      </w:r>
      <w:r w:rsidR="002B64B4">
        <w:rPr>
          <w:i/>
          <w:iCs/>
        </w:rPr>
        <w:t>Long Service Leave (Portable Schemes) Act 2009.</w:t>
      </w:r>
      <w:r w:rsidR="002B64B4">
        <w:t xml:space="preserve"> </w:t>
      </w:r>
      <w:r w:rsidR="00260B80" w:rsidRPr="00260B80">
        <w:rPr>
          <w:lang w:val="en-AU"/>
        </w:rPr>
        <w:t>The findings and recommendations were reported to and considered by the Audit and Risk Committee.</w:t>
      </w:r>
      <w:r w:rsidR="00F42139" w:rsidRPr="00F42139">
        <w:rPr>
          <w:rFonts w:ascii="Segoe UI" w:eastAsia="Times New Roman" w:hAnsi="Segoe UI" w:cs="Segoe UI"/>
          <w:color w:val="auto"/>
          <w:sz w:val="21"/>
          <w:szCs w:val="21"/>
          <w:lang w:val="en-AU"/>
        </w:rPr>
        <w:t xml:space="preserve"> </w:t>
      </w:r>
    </w:p>
    <w:p w14:paraId="5E565139" w14:textId="764CFCAF" w:rsidR="00F42139" w:rsidRPr="00F42139" w:rsidRDefault="00F42139" w:rsidP="00F42139">
      <w:pPr>
        <w:rPr>
          <w:lang w:val="en-AU"/>
        </w:rPr>
      </w:pPr>
      <w:r w:rsidRPr="00F42139">
        <w:rPr>
          <w:lang w:val="en-AU"/>
        </w:rPr>
        <w:t>While no Work Health and Safety audits were undertaken during 2025-26, ACT Leave continued to implement recommendations arising from the Work Health and Safety System audit conducted in 2024-25.</w:t>
      </w:r>
    </w:p>
    <w:p w14:paraId="13142ECA" w14:textId="7E9E85DE" w:rsidR="00777AD4" w:rsidRPr="009A6C26" w:rsidRDefault="00620B92" w:rsidP="006E0242">
      <w:r>
        <w:t xml:space="preserve">For details of Audit and Risk Committee membership and meetings attended, please refer to the </w:t>
      </w:r>
      <w:r w:rsidR="00933AE5" w:rsidRPr="00933AE5">
        <w:t>Governing Board and Audit and Risk Committee meetings</w:t>
      </w:r>
      <w:r w:rsidR="00933AE5">
        <w:t xml:space="preserve"> </w:t>
      </w:r>
      <w:r>
        <w:t>tabl</w:t>
      </w:r>
      <w:r w:rsidRPr="00C900D5">
        <w:t xml:space="preserve">e </w:t>
      </w:r>
      <w:r w:rsidR="00933AE5" w:rsidRPr="00C900D5">
        <w:t>on</w:t>
      </w:r>
      <w:r w:rsidR="00C900D5">
        <w:t xml:space="preserve"> page 19</w:t>
      </w:r>
      <w:r>
        <w:t xml:space="preserve"> of this report.</w:t>
      </w:r>
    </w:p>
    <w:p w14:paraId="686E668D" w14:textId="5F4421C8" w:rsidR="00583F3E" w:rsidRPr="009A6C26" w:rsidRDefault="00813485" w:rsidP="006E0242">
      <w:pPr>
        <w:pStyle w:val="Heading2NoNumber"/>
        <w:rPr>
          <w:i/>
        </w:rPr>
      </w:pPr>
      <w:bookmarkStart w:id="38" w:name="_Toc428798635"/>
      <w:bookmarkStart w:id="39" w:name="_Toc19627244"/>
      <w:bookmarkStart w:id="40" w:name="_Toc171087042"/>
      <w:bookmarkStart w:id="41" w:name="_Toc240533491"/>
      <w:r w:rsidRPr="009A6C26">
        <w:t>B6.</w:t>
      </w:r>
      <w:r w:rsidR="00583F3E" w:rsidRPr="009A6C26">
        <w:t xml:space="preserve"> Fraud </w:t>
      </w:r>
      <w:bookmarkEnd w:id="38"/>
      <w:bookmarkEnd w:id="39"/>
      <w:bookmarkEnd w:id="40"/>
      <w:r w:rsidR="00C20047" w:rsidRPr="009A6C26">
        <w:t>p</w:t>
      </w:r>
      <w:r w:rsidR="00583F3E" w:rsidRPr="009A6C26">
        <w:t>revention</w:t>
      </w:r>
      <w:bookmarkEnd w:id="41"/>
    </w:p>
    <w:p w14:paraId="632B491B" w14:textId="70A2338C" w:rsidR="009E0F85" w:rsidRPr="009E0F85" w:rsidRDefault="00576CDA" w:rsidP="009E0F85">
      <w:pPr>
        <w:rPr>
          <w:lang w:val="en-AU"/>
        </w:rPr>
      </w:pPr>
      <w:r w:rsidRPr="009A6C26">
        <w:rPr>
          <w:lang w:val="en-GB"/>
        </w:rPr>
        <w:t>ACT Leave</w:t>
      </w:r>
      <w:r w:rsidR="00583F3E" w:rsidRPr="009A6C26">
        <w:rPr>
          <w:lang w:val="en-GB"/>
        </w:rPr>
        <w:t xml:space="preserve"> has a Fraud</w:t>
      </w:r>
      <w:r w:rsidR="00C3523E">
        <w:rPr>
          <w:lang w:val="en-GB"/>
        </w:rPr>
        <w:t xml:space="preserve"> </w:t>
      </w:r>
      <w:r w:rsidR="00583F3E" w:rsidRPr="009A6C26">
        <w:rPr>
          <w:lang w:val="en-GB"/>
        </w:rPr>
        <w:t xml:space="preserve">and </w:t>
      </w:r>
      <w:r w:rsidR="00C3523E">
        <w:rPr>
          <w:lang w:val="en-GB"/>
        </w:rPr>
        <w:t>Corruption</w:t>
      </w:r>
      <w:r w:rsidR="00583F3E" w:rsidRPr="009A6C26">
        <w:rPr>
          <w:lang w:val="en-GB"/>
        </w:rPr>
        <w:t xml:space="preserve"> Prevention Plan in place to manage fraud risks and any associated fraud investigation</w:t>
      </w:r>
      <w:r w:rsidR="00EF3ADB">
        <w:rPr>
          <w:lang w:val="en-GB"/>
        </w:rPr>
        <w:t>s</w:t>
      </w:r>
      <w:r w:rsidR="00583F3E" w:rsidRPr="009A6C26">
        <w:rPr>
          <w:lang w:val="en-GB"/>
        </w:rPr>
        <w:t xml:space="preserve"> and reporting. </w:t>
      </w:r>
      <w:r w:rsidR="003C187C" w:rsidRPr="009A6C26">
        <w:rPr>
          <w:lang w:val="en-GB"/>
        </w:rPr>
        <w:t>ACT Leave</w:t>
      </w:r>
      <w:r w:rsidR="00583F3E" w:rsidRPr="009A6C26">
        <w:t xml:space="preserve"> manages and controls risks </w:t>
      </w:r>
      <w:r w:rsidR="00B17EF5" w:rsidRPr="009A6C26">
        <w:t>ensuring</w:t>
      </w:r>
      <w:r w:rsidR="00190580" w:rsidRPr="009A6C26">
        <w:t xml:space="preserve"> that</w:t>
      </w:r>
      <w:r w:rsidR="00583F3E" w:rsidRPr="009A6C26" w:rsidDel="00190580">
        <w:t xml:space="preserve"> </w:t>
      </w:r>
      <w:r w:rsidR="003A5620" w:rsidRPr="009A6C26">
        <w:t xml:space="preserve">they </w:t>
      </w:r>
      <w:r w:rsidR="00583F3E" w:rsidRPr="009A6C26">
        <w:t xml:space="preserve">are identified and monitored regularly with appropriate mitigation actions undertaken to reduce the risks to an accepted level. </w:t>
      </w:r>
      <w:r w:rsidR="00190580" w:rsidRPr="009A6C26">
        <w:t xml:space="preserve">The Plan includes </w:t>
      </w:r>
      <w:r w:rsidR="00583F3E" w:rsidRPr="009A6C26">
        <w:t xml:space="preserve">a </w:t>
      </w:r>
      <w:proofErr w:type="spellStart"/>
      <w:r w:rsidR="00583F3E" w:rsidRPr="009A6C26">
        <w:t>formalised</w:t>
      </w:r>
      <w:proofErr w:type="spellEnd"/>
      <w:r w:rsidR="00583F3E" w:rsidRPr="009A6C26">
        <w:t xml:space="preserve">, integrated, and visible process to identify risk exposures across strategic, operational and financial activities and to provide the </w:t>
      </w:r>
      <w:r w:rsidR="004F07CA" w:rsidRPr="009A6C26">
        <w:t xml:space="preserve">Governing </w:t>
      </w:r>
      <w:r w:rsidR="00583F3E" w:rsidRPr="009A6C26">
        <w:t xml:space="preserve">Board and Audit </w:t>
      </w:r>
      <w:r w:rsidR="00A64149" w:rsidRPr="009A6C26">
        <w:t xml:space="preserve">and Risk </w:t>
      </w:r>
      <w:r w:rsidR="00583F3E" w:rsidRPr="009A6C26">
        <w:t xml:space="preserve">Committee with assurance that these exposures are </w:t>
      </w:r>
      <w:r w:rsidR="00EF3ADB">
        <w:t>sufficiently</w:t>
      </w:r>
      <w:r w:rsidR="00EF3ADB" w:rsidRPr="009A6C26">
        <w:t xml:space="preserve"> </w:t>
      </w:r>
      <w:r w:rsidR="00583F3E" w:rsidRPr="009A6C26">
        <w:t xml:space="preserve">monitored and controlled. With adequate controls in place, there were no material fraud risks identified, and </w:t>
      </w:r>
      <w:r w:rsidR="00583F3E" w:rsidRPr="009A6C26">
        <w:rPr>
          <w:lang w:val="en-GB"/>
        </w:rPr>
        <w:t xml:space="preserve">the overall fraud risk is considered low. </w:t>
      </w:r>
      <w:r w:rsidR="009E0F85" w:rsidRPr="009E0F85">
        <w:rPr>
          <w:lang w:val="en-AU"/>
        </w:rPr>
        <w:t>No reports or allegations of fraud or corruption were received during 2025-26 and, accordingly, no investigations were undertaken.</w:t>
      </w:r>
    </w:p>
    <w:p w14:paraId="5A01007F" w14:textId="22A4C640" w:rsidR="00347F05" w:rsidRPr="009A6C26" w:rsidRDefault="003568D4" w:rsidP="006E0242">
      <w:r w:rsidRPr="009A6C26">
        <w:t>ACT Leave</w:t>
      </w:r>
      <w:r w:rsidR="00583F3E" w:rsidRPr="009A6C26">
        <w:t xml:space="preserve"> also discusses fraud </w:t>
      </w:r>
      <w:r w:rsidR="006362BF" w:rsidRPr="009A6C26">
        <w:t xml:space="preserve">and corruption </w:t>
      </w:r>
      <w:r w:rsidR="00583F3E" w:rsidRPr="009A6C26">
        <w:t xml:space="preserve">risk factors with staff regularly </w:t>
      </w:r>
      <w:r w:rsidR="00A66A3C" w:rsidRPr="009A6C26">
        <w:t xml:space="preserve">across </w:t>
      </w:r>
      <w:r w:rsidR="00D47165" w:rsidRPr="009A6C26">
        <w:t>a</w:t>
      </w:r>
      <w:r w:rsidR="00A66A3C" w:rsidRPr="009A6C26">
        <w:t xml:space="preserve"> variety of forums</w:t>
      </w:r>
      <w:r w:rsidR="00304A30" w:rsidRPr="009A6C26">
        <w:t>,</w:t>
      </w:r>
      <w:r w:rsidR="00583F3E" w:rsidRPr="009A6C26">
        <w:t xml:space="preserve"> to promote awareness and prevention of fraud</w:t>
      </w:r>
      <w:r w:rsidR="004C4B94" w:rsidRPr="009A6C26">
        <w:t xml:space="preserve"> and corruption</w:t>
      </w:r>
      <w:r w:rsidR="00583F3E" w:rsidRPr="009A6C26">
        <w:t>.</w:t>
      </w:r>
      <w:r w:rsidR="008754F5" w:rsidRPr="009A6C26">
        <w:t xml:space="preserve"> </w:t>
      </w:r>
      <w:r w:rsidR="004C4B94" w:rsidRPr="009A6C26">
        <w:t xml:space="preserve">In </w:t>
      </w:r>
      <w:r w:rsidR="000F3C03" w:rsidRPr="009A6C26">
        <w:t>2025-26</w:t>
      </w:r>
      <w:r w:rsidR="004C4B94" w:rsidRPr="009A6C26">
        <w:t xml:space="preserve"> all ACT Leave staff attended </w:t>
      </w:r>
      <w:r w:rsidR="001F01EB" w:rsidRPr="009A6C26">
        <w:t xml:space="preserve">online </w:t>
      </w:r>
      <w:r w:rsidR="00A42D42" w:rsidRPr="009A6C26">
        <w:t>education session</w:t>
      </w:r>
      <w:r w:rsidR="00D45753" w:rsidRPr="009A6C26">
        <w:t>s</w:t>
      </w:r>
      <w:r w:rsidR="00A42D42" w:rsidRPr="009A6C26">
        <w:t xml:space="preserve"> conducted by </w:t>
      </w:r>
      <w:r w:rsidR="000465EF" w:rsidRPr="009A6C26">
        <w:t xml:space="preserve">the ACT Integrity </w:t>
      </w:r>
      <w:r w:rsidR="00DD64E3" w:rsidRPr="009A6C26">
        <w:t xml:space="preserve">Commission </w:t>
      </w:r>
      <w:r w:rsidR="002A6825" w:rsidRPr="009A6C26">
        <w:t>on</w:t>
      </w:r>
      <w:r w:rsidR="001F01EB" w:rsidRPr="009A6C26">
        <w:t xml:space="preserve"> </w:t>
      </w:r>
      <w:r w:rsidR="00F51ACF" w:rsidRPr="009A6C26">
        <w:t>Corruption Prevention and Education</w:t>
      </w:r>
      <w:r w:rsidR="00DD64E3" w:rsidRPr="009A6C26">
        <w:t>.</w:t>
      </w:r>
      <w:r w:rsidR="008754F5" w:rsidRPr="009A6C26">
        <w:t xml:space="preserve"> </w:t>
      </w:r>
    </w:p>
    <w:p w14:paraId="1C54D499" w14:textId="0EE82111" w:rsidR="00583F3E" w:rsidRPr="009A6C26" w:rsidRDefault="00583F3E" w:rsidP="006E0242">
      <w:r w:rsidRPr="009A6C26">
        <w:t xml:space="preserve">In addition, </w:t>
      </w:r>
      <w:r w:rsidR="003568D4" w:rsidRPr="009A6C26">
        <w:t>ACT Leave</w:t>
      </w:r>
      <w:r w:rsidRPr="009A6C26">
        <w:t xml:space="preserve"> </w:t>
      </w:r>
      <w:proofErr w:type="spellStart"/>
      <w:r w:rsidRPr="009A6C26">
        <w:t>minimises</w:t>
      </w:r>
      <w:proofErr w:type="spellEnd"/>
      <w:r w:rsidRPr="009A6C26">
        <w:t xml:space="preserve"> the opportunity for fraud by ensuring there is appropriate segregation of duties and financial </w:t>
      </w:r>
      <w:proofErr w:type="spellStart"/>
      <w:r w:rsidRPr="009A6C26">
        <w:t>authorisations</w:t>
      </w:r>
      <w:proofErr w:type="spellEnd"/>
      <w:r w:rsidRPr="009A6C26">
        <w:t xml:space="preserve"> </w:t>
      </w:r>
      <w:r w:rsidR="00823B91">
        <w:t>between</w:t>
      </w:r>
      <w:r w:rsidR="00823B91" w:rsidRPr="009A6C26">
        <w:t xml:space="preserve"> </w:t>
      </w:r>
      <w:r w:rsidRPr="009A6C26">
        <w:t xml:space="preserve">those who collect, and process monies received. </w:t>
      </w:r>
      <w:r w:rsidR="00C22DBF" w:rsidRPr="009A6C26">
        <w:t>ACT Leave</w:t>
      </w:r>
      <w:r w:rsidRPr="009A6C26">
        <w:t xml:space="preserve"> has also established other robust monitoring controls, such as regular bank, investment, lease liability, and asset register reconciliations to ensure assets are properly insured and accounted for. Covered under the Fidelity Indemnity Guarantee Agreement from the ACT Insurance Authority, the insurance policy covers </w:t>
      </w:r>
      <w:r w:rsidR="00C22DBF" w:rsidRPr="009A6C26">
        <w:t>ACT Leave</w:t>
      </w:r>
      <w:r w:rsidRPr="009A6C26">
        <w:t xml:space="preserve"> against claims for direct loss of money or goods </w:t>
      </w:r>
      <w:r w:rsidR="00C60DDD">
        <w:t>resulting from</w:t>
      </w:r>
      <w:r w:rsidRPr="009A6C26">
        <w:t xml:space="preserve"> acts of fraud or dishonesty by its employees. There were no such claims made during </w:t>
      </w:r>
      <w:r w:rsidR="000F3C03" w:rsidRPr="009A6C26">
        <w:t>2025-26</w:t>
      </w:r>
      <w:r w:rsidRPr="009A6C26">
        <w:t>.</w:t>
      </w:r>
    </w:p>
    <w:p w14:paraId="7D6CB5D7" w14:textId="6967BE27" w:rsidR="00583F3E" w:rsidRPr="009A6C26" w:rsidRDefault="00893536" w:rsidP="006E0242">
      <w:r w:rsidRPr="009A6C26">
        <w:t>ACT Leave</w:t>
      </w:r>
      <w:r w:rsidR="00583F3E" w:rsidRPr="009A6C26">
        <w:t xml:space="preserve">’s investment portfolios are held in pooled funds managed by Vanguard Australia. Vanguard Australia uses a separate custodian financial institution to hold these funds. </w:t>
      </w:r>
      <w:r w:rsidR="00D2366B" w:rsidRPr="009A6C26">
        <w:t>ACT Leave</w:t>
      </w:r>
      <w:r w:rsidR="00583F3E" w:rsidRPr="009A6C26">
        <w:t xml:space="preserve"> is provided with an annual audit report from Vanguard, conducted by an independent external auditor, to ensure its operating controls are effective in managing client assets. </w:t>
      </w:r>
    </w:p>
    <w:p w14:paraId="4E88E527" w14:textId="30436E63" w:rsidR="00583F3E" w:rsidRPr="009A6C26" w:rsidRDefault="00813485" w:rsidP="006E0242">
      <w:pPr>
        <w:pStyle w:val="Heading2NoNumber"/>
        <w:rPr>
          <w:i/>
        </w:rPr>
      </w:pPr>
      <w:bookmarkStart w:id="42" w:name="_Toc19627245"/>
      <w:bookmarkStart w:id="43" w:name="_Toc171087043"/>
      <w:bookmarkStart w:id="44" w:name="_Toc240533492"/>
      <w:r w:rsidRPr="009A6C26">
        <w:t>B7.</w:t>
      </w:r>
      <w:r w:rsidR="00583F3E" w:rsidRPr="009A6C26">
        <w:t xml:space="preserve"> </w:t>
      </w:r>
      <w:r w:rsidRPr="009A6C26">
        <w:t>F</w:t>
      </w:r>
      <w:r w:rsidR="00583F3E" w:rsidRPr="009A6C26">
        <w:t>reedom of information (FOI)</w:t>
      </w:r>
      <w:bookmarkEnd w:id="42"/>
      <w:bookmarkEnd w:id="43"/>
      <w:bookmarkEnd w:id="44"/>
    </w:p>
    <w:p w14:paraId="47D37D0C" w14:textId="1543DA3D" w:rsidR="00441334" w:rsidRDefault="00C47EAA" w:rsidP="006E0242">
      <w:r>
        <w:t>ACT Leave received</w:t>
      </w:r>
      <w:r w:rsidR="00583F3E" w:rsidRPr="009A6C26">
        <w:t xml:space="preserve"> </w:t>
      </w:r>
      <w:r w:rsidR="000662ED">
        <w:t xml:space="preserve">2 </w:t>
      </w:r>
      <w:r w:rsidR="00583F3E" w:rsidRPr="009A6C26">
        <w:t xml:space="preserve">FOI applications in </w:t>
      </w:r>
      <w:r w:rsidR="000F3C03" w:rsidRPr="009A6C26">
        <w:t>2025-26</w:t>
      </w:r>
      <w:r w:rsidR="0046070B">
        <w:t xml:space="preserve"> via the </w:t>
      </w:r>
      <w:r w:rsidR="00285433">
        <w:t>Chief Minister, Treasury and Economic Development Directorate, where ACT Leave’s FOI requests are coordinated</w:t>
      </w:r>
      <w:r w:rsidR="00583F3E" w:rsidRPr="009A6C26">
        <w:t xml:space="preserve">. </w:t>
      </w:r>
    </w:p>
    <w:p w14:paraId="640BE5F5" w14:textId="19EFEE82" w:rsidR="001C6C92" w:rsidRDefault="00C47EAA" w:rsidP="006E0242">
      <w:r>
        <w:t xml:space="preserve">In response to </w:t>
      </w:r>
      <w:r w:rsidR="00D8080A">
        <w:t>one</w:t>
      </w:r>
      <w:r w:rsidR="004B6C7E">
        <w:t xml:space="preserve"> </w:t>
      </w:r>
      <w:r>
        <w:t>application</w:t>
      </w:r>
      <w:r w:rsidR="0046070B">
        <w:t>,</w:t>
      </w:r>
      <w:r w:rsidR="00341438">
        <w:t xml:space="preserve"> </w:t>
      </w:r>
      <w:r w:rsidR="000662ED">
        <w:t>5</w:t>
      </w:r>
      <w:r w:rsidR="000F5A8C">
        <w:t xml:space="preserve"> documents were released in full, and </w:t>
      </w:r>
      <w:r w:rsidR="000662ED">
        <w:t>7</w:t>
      </w:r>
      <w:r w:rsidR="000F5A8C">
        <w:t xml:space="preserve"> documents were released in part, with exempt information redacted in accordance with the relevant legislative requirements.</w:t>
      </w:r>
      <w:r w:rsidDel="000F5A8C">
        <w:t xml:space="preserve"> </w:t>
      </w:r>
    </w:p>
    <w:p w14:paraId="17F22B05" w14:textId="438B1197" w:rsidR="00893DFB" w:rsidRDefault="001C6C92" w:rsidP="006E0242">
      <w:r>
        <w:t>T</w:t>
      </w:r>
      <w:r w:rsidR="008473CD">
        <w:t xml:space="preserve">he other </w:t>
      </w:r>
      <w:r w:rsidR="00B81993">
        <w:t xml:space="preserve">application </w:t>
      </w:r>
      <w:r w:rsidR="00A623DE">
        <w:t xml:space="preserve">was part of a </w:t>
      </w:r>
      <w:r w:rsidR="00CF7096">
        <w:t>request</w:t>
      </w:r>
      <w:r w:rsidR="00A623DE">
        <w:t xml:space="preserve"> for</w:t>
      </w:r>
      <w:r w:rsidR="00CF7096">
        <w:t xml:space="preserve"> information across the whole ACT public service</w:t>
      </w:r>
      <w:r w:rsidR="00B81993">
        <w:t xml:space="preserve">. </w:t>
      </w:r>
      <w:r w:rsidR="00400D42">
        <w:t xml:space="preserve">ACT Leave </w:t>
      </w:r>
      <w:r w:rsidR="007C1DCA">
        <w:t xml:space="preserve">did not </w:t>
      </w:r>
      <w:r w:rsidR="0073448F">
        <w:t>hold</w:t>
      </w:r>
      <w:r w:rsidR="007C1DCA">
        <w:t xml:space="preserve"> </w:t>
      </w:r>
      <w:r w:rsidR="0073448F">
        <w:t>a</w:t>
      </w:r>
      <w:r w:rsidR="007C1DCA">
        <w:t xml:space="preserve">ny </w:t>
      </w:r>
      <w:r w:rsidR="0073448F">
        <w:t>relevant</w:t>
      </w:r>
      <w:r w:rsidR="007C1DCA">
        <w:t xml:space="preserve"> </w:t>
      </w:r>
      <w:r w:rsidR="0073448F">
        <w:t>information.</w:t>
      </w:r>
    </w:p>
    <w:p w14:paraId="74CBE04F" w14:textId="1AC80AD8" w:rsidR="00583F3E" w:rsidRPr="009A6C26" w:rsidRDefault="00284A75" w:rsidP="006E0242">
      <w:r>
        <w:t xml:space="preserve">Both were </w:t>
      </w:r>
      <w:r w:rsidR="00E46DCB">
        <w:t xml:space="preserve">addressed within the timeframes. </w:t>
      </w:r>
      <w:r w:rsidR="00F1090C">
        <w:t>There were no fees charged.</w:t>
      </w:r>
      <w:r w:rsidR="00893DFB">
        <w:t xml:space="preserve"> The </w:t>
      </w:r>
      <w:r w:rsidR="009A5269">
        <w:t xml:space="preserve">decisions have been recorded on the </w:t>
      </w:r>
      <w:hyperlink r:id="rId52" w:history="1">
        <w:r w:rsidR="009A5269" w:rsidRPr="006B4601">
          <w:rPr>
            <w:rStyle w:val="Hyperlink"/>
            <w:color w:val="081DA4" w:themeColor="accent1"/>
          </w:rPr>
          <w:t>CMTEDD FOI Disclosure Log</w:t>
        </w:r>
      </w:hyperlink>
      <w:r w:rsidR="009A5269" w:rsidRPr="006B4601">
        <w:rPr>
          <w:color w:val="081DA4" w:themeColor="accent1"/>
        </w:rPr>
        <w:t>.</w:t>
      </w:r>
      <w:r w:rsidR="009A5269">
        <w:t xml:space="preserve"> </w:t>
      </w:r>
    </w:p>
    <w:p w14:paraId="4C691A0E" w14:textId="5B4B05B0" w:rsidR="00583F3E" w:rsidRPr="009A6C26" w:rsidRDefault="00813485" w:rsidP="006E0242">
      <w:pPr>
        <w:pStyle w:val="Heading2NoNumber"/>
        <w:rPr>
          <w:i/>
        </w:rPr>
      </w:pPr>
      <w:bookmarkStart w:id="45" w:name="_Toc19627246"/>
      <w:bookmarkStart w:id="46" w:name="_Toc171087044"/>
      <w:bookmarkStart w:id="47" w:name="_Toc240533493"/>
      <w:r w:rsidRPr="009A6C26">
        <w:lastRenderedPageBreak/>
        <w:t>B8.</w:t>
      </w:r>
      <w:r w:rsidR="00583F3E" w:rsidRPr="009A6C26">
        <w:t xml:space="preserve"> </w:t>
      </w:r>
      <w:r w:rsidRPr="009A6C26">
        <w:t>C</w:t>
      </w:r>
      <w:r w:rsidR="00583F3E" w:rsidRPr="009A6C26">
        <w:t>ommunity engagement and support</w:t>
      </w:r>
      <w:bookmarkEnd w:id="45"/>
      <w:bookmarkEnd w:id="46"/>
      <w:bookmarkEnd w:id="47"/>
    </w:p>
    <w:p w14:paraId="46EFDB88" w14:textId="3C93B3CD" w:rsidR="003C098D" w:rsidRDefault="003C098D" w:rsidP="003C098D">
      <w:bookmarkStart w:id="48" w:name="_Toc19627247"/>
      <w:bookmarkStart w:id="49" w:name="_Toc171087045"/>
      <w:r w:rsidRPr="003C098D">
        <w:t xml:space="preserve">Other than the </w:t>
      </w:r>
      <w:r w:rsidR="001F32D7">
        <w:t xml:space="preserve">stakeholder engagement, </w:t>
      </w:r>
      <w:r w:rsidRPr="003C098D">
        <w:t xml:space="preserve">compliance and education activities outlined in the </w:t>
      </w:r>
      <w:r w:rsidR="001F32D7">
        <w:t>s</w:t>
      </w:r>
      <w:r w:rsidR="006B5E6A">
        <w:t xml:space="preserve">takeholder engagement section (page 14) and the </w:t>
      </w:r>
      <w:r w:rsidR="001F32D7">
        <w:t>c</w:t>
      </w:r>
      <w:r w:rsidR="001F32D7" w:rsidRPr="003C098D">
        <w:t xml:space="preserve">ompliance </w:t>
      </w:r>
      <w:r w:rsidRPr="003C098D">
        <w:t xml:space="preserve">and </w:t>
      </w:r>
      <w:r w:rsidR="006B5E6A">
        <w:t>e</w:t>
      </w:r>
      <w:r w:rsidR="00B54FFD">
        <w:t>nforcement</w:t>
      </w:r>
      <w:r w:rsidR="006B5E6A" w:rsidRPr="003C098D">
        <w:t xml:space="preserve"> </w:t>
      </w:r>
      <w:r w:rsidRPr="003C098D">
        <w:t xml:space="preserve">section </w:t>
      </w:r>
      <w:r w:rsidRPr="00084140">
        <w:t>(page</w:t>
      </w:r>
      <w:r w:rsidR="00956F65" w:rsidRPr="00084140">
        <w:t>s</w:t>
      </w:r>
      <w:r w:rsidRPr="00084140">
        <w:t xml:space="preserve"> 3</w:t>
      </w:r>
      <w:r w:rsidR="00B54FFD" w:rsidRPr="00084140">
        <w:t>3</w:t>
      </w:r>
      <w:r w:rsidR="00956F65" w:rsidRPr="00084140">
        <w:t>-34</w:t>
      </w:r>
      <w:r w:rsidRPr="003C098D">
        <w:t>), ACT Leave did not undertake any major or significant community engagement activities during 2025-26 that informed the development of government policy or programs. ACT Leave did not administer or participate in any grants, financial assistance or sponsorship programs during the reporting period.</w:t>
      </w:r>
    </w:p>
    <w:p w14:paraId="2372B315" w14:textId="7757FF40" w:rsidR="00583F3E" w:rsidRPr="009A6C26" w:rsidRDefault="00813485" w:rsidP="006E0242">
      <w:pPr>
        <w:pStyle w:val="Heading2NoNumber"/>
        <w:rPr>
          <w:i/>
        </w:rPr>
      </w:pPr>
      <w:bookmarkStart w:id="50" w:name="_Toc240533494"/>
      <w:r w:rsidRPr="009A6C26">
        <w:t>B</w:t>
      </w:r>
      <w:r w:rsidR="00583F3E" w:rsidRPr="009A6C26">
        <w:t>9</w:t>
      </w:r>
      <w:r w:rsidRPr="009A6C26">
        <w:t xml:space="preserve">. </w:t>
      </w:r>
      <w:r w:rsidR="00583F3E" w:rsidRPr="009A6C26">
        <w:t xml:space="preserve">Aboriginal and Torres Strait Islander </w:t>
      </w:r>
      <w:r w:rsidRPr="009A6C26">
        <w:t>r</w:t>
      </w:r>
      <w:r w:rsidR="00583F3E" w:rsidRPr="009A6C26">
        <w:t>eporting</w:t>
      </w:r>
      <w:bookmarkEnd w:id="48"/>
      <w:bookmarkEnd w:id="49"/>
      <w:bookmarkEnd w:id="50"/>
    </w:p>
    <w:p w14:paraId="0E483680" w14:textId="55767E0B" w:rsidR="00CA2E21" w:rsidRPr="00862112" w:rsidRDefault="00CA2E21" w:rsidP="00B67C89">
      <w:pPr>
        <w:pStyle w:val="Heading3"/>
        <w:rPr>
          <w:lang w:val="en-AU"/>
        </w:rPr>
      </w:pPr>
      <w:r w:rsidRPr="00862112">
        <w:rPr>
          <w:lang w:val="en-AU"/>
        </w:rPr>
        <w:t xml:space="preserve">Organisational </w:t>
      </w:r>
      <w:r w:rsidR="000A094A">
        <w:rPr>
          <w:lang w:val="en-AU"/>
        </w:rPr>
        <w:t>c</w:t>
      </w:r>
      <w:r w:rsidRPr="00862112">
        <w:rPr>
          <w:lang w:val="en-AU"/>
        </w:rPr>
        <w:t>ontribution</w:t>
      </w:r>
    </w:p>
    <w:p w14:paraId="4235887D" w14:textId="79261C4E" w:rsidR="002A11B3" w:rsidRPr="00CA2E21" w:rsidRDefault="002A11B3" w:rsidP="000A094A">
      <w:pPr>
        <w:rPr>
          <w:lang w:val="en-AU"/>
        </w:rPr>
      </w:pPr>
      <w:r w:rsidRPr="00CA2E21">
        <w:rPr>
          <w:lang w:val="en-AU"/>
        </w:rPr>
        <w:t>ACT Leave is committed to supporting the objectives of the National Agreement on Closing the Gap and the ACT Aboriginal and Torres Strait Islander Agreement 2019-2028.</w:t>
      </w:r>
    </w:p>
    <w:p w14:paraId="4A168EE5" w14:textId="77777777" w:rsidR="00CA2E21" w:rsidRPr="00CA2E21" w:rsidRDefault="00CA2E21" w:rsidP="000A094A">
      <w:pPr>
        <w:rPr>
          <w:b/>
          <w:lang w:val="en-AU"/>
        </w:rPr>
      </w:pPr>
      <w:r w:rsidRPr="00CA2E21">
        <w:rPr>
          <w:lang w:val="en-AU"/>
        </w:rPr>
        <w:t>As the administrator of the ACT's portable long service leave schemes, ACT Leave's primary role is to provide portable long service leave services to employers and workers across covered industries. While ACT Leave does not have direct responsibility for delivering Closing the Gap targets or actions under the ACT Agreement, the organisation contributes to broader ACT Government obj</w:t>
      </w:r>
      <w:r w:rsidRPr="003A592D">
        <w:rPr>
          <w:lang w:val="en-AU"/>
        </w:rPr>
        <w:t>ectives through its governance, procurement, workforce and service delivery practices.</w:t>
      </w:r>
    </w:p>
    <w:p w14:paraId="737DE2C4" w14:textId="77777777" w:rsidR="00035909" w:rsidRDefault="00035909" w:rsidP="00035909">
      <w:pPr>
        <w:rPr>
          <w:b/>
          <w:lang w:val="en-AU"/>
        </w:rPr>
      </w:pPr>
      <w:r w:rsidRPr="00035909">
        <w:rPr>
          <w:lang w:val="en-AU"/>
        </w:rPr>
        <w:t>ACT Leave seeks to provide accessible, equitable and culturally responsive services, foster an inclusive workplace culture, and support whole-of-government efforts to improve outcomes for Aboriginal and Torres Strait Islander peoples.</w:t>
      </w:r>
    </w:p>
    <w:p w14:paraId="3E97332B" w14:textId="62084CF9" w:rsidR="00CA2E21" w:rsidRPr="00CA2E21" w:rsidRDefault="00CA2E21" w:rsidP="00B67C89">
      <w:pPr>
        <w:pStyle w:val="Heading3"/>
        <w:rPr>
          <w:lang w:val="en-AU"/>
        </w:rPr>
      </w:pPr>
      <w:r w:rsidRPr="00CA2E21">
        <w:rPr>
          <w:lang w:val="en-AU"/>
        </w:rPr>
        <w:t xml:space="preserve">Key </w:t>
      </w:r>
      <w:r w:rsidR="00B67C89">
        <w:rPr>
          <w:lang w:val="en-AU"/>
        </w:rPr>
        <w:t>a</w:t>
      </w:r>
      <w:r w:rsidRPr="00CA2E21">
        <w:rPr>
          <w:lang w:val="en-AU"/>
        </w:rPr>
        <w:t xml:space="preserve">ctivities and </w:t>
      </w:r>
      <w:r w:rsidR="00B67C89">
        <w:rPr>
          <w:lang w:val="en-AU"/>
        </w:rPr>
        <w:t>a</w:t>
      </w:r>
      <w:r w:rsidRPr="00CA2E21">
        <w:rPr>
          <w:lang w:val="en-AU"/>
        </w:rPr>
        <w:t>chievements</w:t>
      </w:r>
    </w:p>
    <w:p w14:paraId="4992C306" w14:textId="77777777" w:rsidR="00CA2E21" w:rsidRPr="00CA2E21" w:rsidRDefault="00CA2E21" w:rsidP="000A094A">
      <w:pPr>
        <w:rPr>
          <w:lang w:val="en-AU"/>
        </w:rPr>
      </w:pPr>
      <w:r w:rsidRPr="00CA2E21">
        <w:rPr>
          <w:lang w:val="en-AU"/>
        </w:rPr>
        <w:t>During 2025-26, ACT Leave:</w:t>
      </w:r>
    </w:p>
    <w:p w14:paraId="1E50A52F" w14:textId="77777777" w:rsidR="00CA2E21" w:rsidRPr="00CA2E21" w:rsidRDefault="00CA2E21" w:rsidP="000A630C">
      <w:pPr>
        <w:pStyle w:val="ListBullet"/>
      </w:pPr>
      <w:r w:rsidRPr="00CA2E21">
        <w:t>commenced the development of a Closing the Gap Strategy to guide the organisation's future contribution to the objectives of the National Agreement and the ACT Agreement</w:t>
      </w:r>
    </w:p>
    <w:p w14:paraId="16DDB40C" w14:textId="320DE622" w:rsidR="00CA2E21" w:rsidRPr="00CA2E21" w:rsidRDefault="00CA2E21" w:rsidP="000A630C">
      <w:pPr>
        <w:pStyle w:val="ListBullet"/>
      </w:pPr>
      <w:r w:rsidRPr="00CA2E21">
        <w:t xml:space="preserve">invested in cultural capability through Aboriginal and Torres Strait Islander cultural learning and training, including participation by staff in training delivered by CIT </w:t>
      </w:r>
      <w:proofErr w:type="spellStart"/>
      <w:r w:rsidRPr="00CA2E21">
        <w:t>Yurauna</w:t>
      </w:r>
      <w:proofErr w:type="spellEnd"/>
      <w:r w:rsidRPr="00CA2E21">
        <w:t xml:space="preserve">, completion of ACT Government Senior Executive Service </w:t>
      </w:r>
      <w:r w:rsidR="00E726BF">
        <w:t>C</w:t>
      </w:r>
      <w:r w:rsidRPr="00CA2E21">
        <w:t xml:space="preserve">ultural </w:t>
      </w:r>
      <w:r w:rsidR="00E726BF">
        <w:t>C</w:t>
      </w:r>
      <w:r w:rsidRPr="00CA2E21">
        <w:t xml:space="preserve">apability </w:t>
      </w:r>
      <w:r w:rsidR="00E726BF">
        <w:t>T</w:t>
      </w:r>
      <w:r w:rsidRPr="00CA2E21">
        <w:t xml:space="preserve">raining by the Chief Executive Officer, and attendance by the </w:t>
      </w:r>
      <w:r w:rsidR="00001BEC">
        <w:t xml:space="preserve">Governing Board’s </w:t>
      </w:r>
      <w:r w:rsidRPr="00CA2E21">
        <w:t>Deputy Chair at the ACT Government Statutory Office Holders Workshop</w:t>
      </w:r>
    </w:p>
    <w:p w14:paraId="5250FE22" w14:textId="1F636223" w:rsidR="00CA2E21" w:rsidRPr="00CA2E21" w:rsidRDefault="00CA2E21" w:rsidP="000A630C">
      <w:pPr>
        <w:pStyle w:val="ListBullet"/>
      </w:pPr>
      <w:r w:rsidRPr="00CA2E21">
        <w:t>strengthened organisational accountability and capability by including cultural capability measures and key performance indicators in the Chief Executive Officer's performance agreement, and commenc</w:t>
      </w:r>
      <w:r w:rsidR="00946EE0">
        <w:t>ed</w:t>
      </w:r>
      <w:r w:rsidRPr="00CA2E21">
        <w:t xml:space="preserve"> updates to position descriptions to include cultural capability expectations and reinforce employees' responsibility to uphold public service values and foster respectful, equitable, diverse, inclusive and culturally safe workplaces</w:t>
      </w:r>
    </w:p>
    <w:p w14:paraId="08324D06" w14:textId="57EFDC70" w:rsidR="00CA2E21" w:rsidRPr="00CA2E21" w:rsidRDefault="00CA2E21" w:rsidP="000A630C">
      <w:pPr>
        <w:pStyle w:val="ListBullet"/>
      </w:pPr>
      <w:r w:rsidRPr="00CA2E21">
        <w:t>applied ACT Government procurement policies and supported Aboriginal and Torres Strait Islander businesses through procurement activities, including engaging OnPoint365 Pty Ltd to provide scribing services</w:t>
      </w:r>
      <w:r w:rsidR="00DD15BD">
        <w:t xml:space="preserve"> to support 5 recruitment processes</w:t>
      </w:r>
      <w:r w:rsidRPr="00CA2E21">
        <w:t>, continu</w:t>
      </w:r>
      <w:r w:rsidR="006219CE">
        <w:t>ed</w:t>
      </w:r>
      <w:r w:rsidRPr="00CA2E21">
        <w:t xml:space="preserve"> the engagement of </w:t>
      </w:r>
      <w:proofErr w:type="spellStart"/>
      <w:r w:rsidRPr="00CA2E21">
        <w:t>Kamberra</w:t>
      </w:r>
      <w:proofErr w:type="spellEnd"/>
      <w:r w:rsidRPr="00CA2E21">
        <w:t xml:space="preserve"> Indigenous Cleaning for office cleaning services, and purchasing eligible goods through Complete Office Supplies under the Whole-of-Government procurement arrangement in support of the Aboriginal and Torres Strait Islander Procurement Policy</w:t>
      </w:r>
    </w:p>
    <w:p w14:paraId="7C842277" w14:textId="77777777" w:rsidR="00B67C89" w:rsidRDefault="00CA2E21" w:rsidP="000A630C">
      <w:pPr>
        <w:pStyle w:val="ListBullet"/>
      </w:pPr>
      <w:r w:rsidRPr="00CA2E21">
        <w:t>considered opportunities to strengthen organisational values, workforce capability and stakeholder engagement practices to better support Aboriginal and Torres Strait Islander peoples.</w:t>
      </w:r>
    </w:p>
    <w:p w14:paraId="7A9328FD" w14:textId="77777777" w:rsidR="001E0A5E" w:rsidRDefault="001E0A5E">
      <w:pPr>
        <w:spacing w:before="120" w:after="120" w:line="240" w:lineRule="auto"/>
        <w:rPr>
          <w:rFonts w:ascii="Arial" w:eastAsiaTheme="majorEastAsia" w:hAnsi="Arial" w:cstheme="majorBidi"/>
          <w:b/>
          <w:spacing w:val="4"/>
          <w:sz w:val="24"/>
          <w:szCs w:val="24"/>
          <w:lang w:val="en-AU" w:eastAsia="en-US"/>
        </w:rPr>
      </w:pPr>
      <w:r>
        <w:rPr>
          <w:lang w:val="en-AU"/>
        </w:rPr>
        <w:br w:type="page"/>
      </w:r>
    </w:p>
    <w:p w14:paraId="7AC4D5F3" w14:textId="1DE879BE" w:rsidR="00CA2E21" w:rsidRPr="00B67C89" w:rsidRDefault="00CA2E21" w:rsidP="00B67C89">
      <w:pPr>
        <w:pStyle w:val="Heading3"/>
        <w:rPr>
          <w:rFonts w:eastAsiaTheme="minorEastAsia"/>
          <w:lang w:val="en-AU"/>
        </w:rPr>
      </w:pPr>
      <w:r w:rsidRPr="00B67C89">
        <w:rPr>
          <w:lang w:val="en-AU"/>
        </w:rPr>
        <w:lastRenderedPageBreak/>
        <w:t xml:space="preserve">Contribution to Closing the Gap </w:t>
      </w:r>
      <w:r w:rsidR="00B67C89">
        <w:rPr>
          <w:lang w:val="en-AU"/>
        </w:rPr>
        <w:t>p</w:t>
      </w:r>
      <w:r w:rsidRPr="00B67C89">
        <w:rPr>
          <w:lang w:val="en-AU"/>
        </w:rPr>
        <w:t xml:space="preserve">riority </w:t>
      </w:r>
      <w:r w:rsidR="00B67C89">
        <w:rPr>
          <w:lang w:val="en-AU"/>
        </w:rPr>
        <w:t>r</w:t>
      </w:r>
      <w:r w:rsidRPr="00B67C89">
        <w:rPr>
          <w:lang w:val="en-AU"/>
        </w:rPr>
        <w:t>eforms</w:t>
      </w:r>
    </w:p>
    <w:p w14:paraId="1D7B612C" w14:textId="77777777" w:rsidR="0038668E" w:rsidRPr="0038668E" w:rsidRDefault="0038668E" w:rsidP="0038668E">
      <w:pPr>
        <w:rPr>
          <w:lang w:val="en-AU"/>
        </w:rPr>
      </w:pPr>
      <w:r w:rsidRPr="0038668E">
        <w:rPr>
          <w:lang w:val="en-AU"/>
        </w:rPr>
        <w:t>The activities undertaken during 2025-26 contributed to the following Closing the Gap Priority Reforms:</w:t>
      </w:r>
    </w:p>
    <w:p w14:paraId="63C5FF2E" w14:textId="443AD40A" w:rsidR="0047389B" w:rsidRPr="00174444" w:rsidRDefault="0047389B" w:rsidP="0038668E">
      <w:pPr>
        <w:rPr>
          <w:b/>
          <w:lang w:val="en-AU"/>
        </w:rPr>
      </w:pPr>
      <w:r w:rsidRPr="00174444">
        <w:rPr>
          <w:b/>
          <w:bCs/>
          <w:lang w:val="en-AU"/>
        </w:rPr>
        <w:t xml:space="preserve">Priority Reform 1: </w:t>
      </w:r>
      <w:r w:rsidR="00174444">
        <w:rPr>
          <w:b/>
          <w:bCs/>
        </w:rPr>
        <w:t>P</w:t>
      </w:r>
      <w:r w:rsidR="00174444" w:rsidRPr="00174444">
        <w:rPr>
          <w:b/>
          <w:bCs/>
        </w:rPr>
        <w:t>artnerships and shared decision-making</w:t>
      </w:r>
    </w:p>
    <w:p w14:paraId="3B9421B7" w14:textId="74B1ECC2" w:rsidR="00174444" w:rsidRPr="001373BC" w:rsidRDefault="001373BC" w:rsidP="000A630C">
      <w:pPr>
        <w:pStyle w:val="ListBullet"/>
      </w:pPr>
      <w:r w:rsidRPr="001373BC">
        <w:t>ACT Leave did not establish formal partnerships or shared decision-making arrangements under Priority Reform 1 during the reporting period.</w:t>
      </w:r>
    </w:p>
    <w:p w14:paraId="214BA742" w14:textId="77777777" w:rsidR="0038668E" w:rsidRPr="0038668E" w:rsidRDefault="0038668E" w:rsidP="0038668E">
      <w:pPr>
        <w:rPr>
          <w:lang w:val="en-AU"/>
        </w:rPr>
      </w:pPr>
      <w:r w:rsidRPr="0038668E">
        <w:rPr>
          <w:b/>
          <w:bCs/>
          <w:lang w:val="en-AU"/>
        </w:rPr>
        <w:t>Priority Reform 2: Strengthening the community-controlled sector</w:t>
      </w:r>
    </w:p>
    <w:p w14:paraId="7592885D" w14:textId="0D091F36" w:rsidR="0047389B" w:rsidRPr="0047389B" w:rsidRDefault="0047389B" w:rsidP="000A630C">
      <w:pPr>
        <w:pStyle w:val="ListBullet"/>
      </w:pPr>
      <w:r w:rsidRPr="0047389B">
        <w:t>ACT Leave supported Aboriginal and Torres Strait Islander-owned businesses through procurement activities and the application of the Aboriginal and Torres Strait Islander Procurement Policy.</w:t>
      </w:r>
    </w:p>
    <w:p w14:paraId="66F7D095" w14:textId="77777777" w:rsidR="0038668E" w:rsidRPr="0038668E" w:rsidRDefault="0038668E" w:rsidP="0038668E">
      <w:pPr>
        <w:rPr>
          <w:lang w:val="en-AU"/>
        </w:rPr>
      </w:pPr>
      <w:r w:rsidRPr="0038668E">
        <w:rPr>
          <w:b/>
          <w:bCs/>
          <w:lang w:val="en-AU"/>
        </w:rPr>
        <w:t>Priority Reform 3: Transforming government organisations</w:t>
      </w:r>
    </w:p>
    <w:p w14:paraId="5F1062CF" w14:textId="40BD9858" w:rsidR="0047389B" w:rsidRDefault="0047389B" w:rsidP="000A630C">
      <w:pPr>
        <w:pStyle w:val="ListBullet"/>
      </w:pPr>
      <w:r w:rsidRPr="0047389B">
        <w:t>ACT Leave contributed to organisational transformation through cultural capability training, leadership accountability measures, workforce initiatives, and consideration of organisational values and workplace practices that support a culturally safe and inclusive workplace.</w:t>
      </w:r>
    </w:p>
    <w:p w14:paraId="30DFF5B1" w14:textId="431D88A8" w:rsidR="0038668E" w:rsidRPr="0038668E" w:rsidRDefault="0038668E" w:rsidP="0038668E">
      <w:pPr>
        <w:rPr>
          <w:lang w:val="en-AU"/>
        </w:rPr>
      </w:pPr>
      <w:r w:rsidRPr="0038668E">
        <w:rPr>
          <w:b/>
          <w:bCs/>
          <w:lang w:val="en-AU"/>
        </w:rPr>
        <w:t>Priority Reform 4: Shared access to data and information</w:t>
      </w:r>
    </w:p>
    <w:p w14:paraId="7F0AEC74" w14:textId="77777777" w:rsidR="00AB413B" w:rsidRPr="00E1621B" w:rsidRDefault="00AB413B" w:rsidP="000A630C">
      <w:pPr>
        <w:pStyle w:val="ListBullet"/>
        <w:rPr>
          <w:b/>
        </w:rPr>
      </w:pPr>
      <w:r w:rsidRPr="00AB413B">
        <w:t>ACT Leave identified future improvements to data collection and reporting processes to better understand participation, establish baseline information, and support evidence-based decision-making.</w:t>
      </w:r>
    </w:p>
    <w:p w14:paraId="3CCDB4AC" w14:textId="77777777" w:rsidR="00CA2E21" w:rsidRPr="00CA2E21" w:rsidRDefault="00CA2E21" w:rsidP="00446127">
      <w:pPr>
        <w:rPr>
          <w:lang w:val="en-AU"/>
        </w:rPr>
      </w:pPr>
      <w:r w:rsidRPr="00CA2E21">
        <w:rPr>
          <w:lang w:val="en-AU"/>
        </w:rPr>
        <w:t>ACT Leave did not receive any specific recommendations or findings arising from Closing the Gap review, evaluation or accountability processes during the reporting period.</w:t>
      </w:r>
    </w:p>
    <w:p w14:paraId="18A6EC84" w14:textId="51D001AB" w:rsidR="00CA2E21" w:rsidRPr="00CA2E21" w:rsidRDefault="00CA2E21" w:rsidP="00446127">
      <w:pPr>
        <w:pStyle w:val="Heading3"/>
        <w:rPr>
          <w:lang w:val="en-AU"/>
        </w:rPr>
      </w:pPr>
      <w:r w:rsidRPr="00CA2E21">
        <w:rPr>
          <w:lang w:val="en-AU"/>
        </w:rPr>
        <w:t xml:space="preserve">Future </w:t>
      </w:r>
      <w:r w:rsidR="000834DA">
        <w:rPr>
          <w:lang w:val="en-AU"/>
        </w:rPr>
        <w:t>f</w:t>
      </w:r>
      <w:r w:rsidRPr="00CA2E21">
        <w:rPr>
          <w:lang w:val="en-AU"/>
        </w:rPr>
        <w:t>ocus</w:t>
      </w:r>
    </w:p>
    <w:p w14:paraId="3A565749" w14:textId="77777777" w:rsidR="00944E79" w:rsidRPr="00944E79" w:rsidRDefault="00944E79" w:rsidP="00944E79">
      <w:pPr>
        <w:rPr>
          <w:lang w:val="en-AU"/>
        </w:rPr>
      </w:pPr>
      <w:r w:rsidRPr="00944E79">
        <w:rPr>
          <w:lang w:val="en-AU"/>
        </w:rPr>
        <w:t>ACT Leave will continue to progress development of its Closing the Gap Strategy and identify opportunities to strengthen the organisation's contribution to the objectives of the National Agreement and the ACT Agreement.</w:t>
      </w:r>
    </w:p>
    <w:p w14:paraId="3700EFA7" w14:textId="40D6B56E" w:rsidR="000E06BD" w:rsidRPr="00944E79" w:rsidRDefault="000E06BD" w:rsidP="000E06BD">
      <w:pPr>
        <w:rPr>
          <w:lang w:val="en-AU"/>
        </w:rPr>
      </w:pPr>
      <w:r w:rsidRPr="000E06BD">
        <w:rPr>
          <w:lang w:val="en-AU"/>
        </w:rPr>
        <w:t xml:space="preserve">Future areas of focus include finalising and implementing </w:t>
      </w:r>
      <w:r w:rsidR="00944E79" w:rsidRPr="00944E79">
        <w:rPr>
          <w:lang w:val="en-AU"/>
        </w:rPr>
        <w:t>the</w:t>
      </w:r>
      <w:r w:rsidRPr="000E06BD">
        <w:rPr>
          <w:lang w:val="en-AU"/>
        </w:rPr>
        <w:t xml:space="preserve"> </w:t>
      </w:r>
      <w:r w:rsidR="007909DB">
        <w:rPr>
          <w:lang w:val="en-AU"/>
        </w:rPr>
        <w:t xml:space="preserve">ACT Leave </w:t>
      </w:r>
      <w:r w:rsidRPr="000E06BD">
        <w:rPr>
          <w:lang w:val="en-AU"/>
        </w:rPr>
        <w:t>Closing the Gap Strategy, strengthening cultural capability across the organisation, embedding inclusive workplace practices, improving data collection and reporting capabilities, and enhancing organisational understanding of participation and outcomes to support evidence-based decision-making and continuous improvement.</w:t>
      </w:r>
    </w:p>
    <w:p w14:paraId="277F7022" w14:textId="00AE00E9" w:rsidR="0010366B" w:rsidRPr="009A6C26" w:rsidRDefault="00813485" w:rsidP="006E0242">
      <w:pPr>
        <w:pStyle w:val="Heading2NoNumber"/>
      </w:pPr>
      <w:bookmarkStart w:id="51" w:name="_Toc240533495"/>
      <w:r w:rsidRPr="009A6C26">
        <w:t xml:space="preserve">B10. </w:t>
      </w:r>
      <w:r w:rsidR="0010366B" w:rsidRPr="009A6C26">
        <w:t xml:space="preserve">Disability </w:t>
      </w:r>
      <w:r w:rsidR="00C17602" w:rsidRPr="009A6C26">
        <w:t>inclusion reporting</w:t>
      </w:r>
      <w:bookmarkStart w:id="52" w:name="_Toc171087046"/>
      <w:bookmarkStart w:id="53" w:name="_Toc428798636"/>
      <w:bookmarkStart w:id="54" w:name="_Toc19627248"/>
      <w:bookmarkEnd w:id="51"/>
    </w:p>
    <w:p w14:paraId="34316D12" w14:textId="447EC9D2" w:rsidR="001C7EE9" w:rsidRDefault="001C7EE9" w:rsidP="001C7EE9">
      <w:r w:rsidRPr="001C7EE9">
        <w:t xml:space="preserve">ACT Leave is committed to fostering an inclusive and accessible workplace and service environment for people with </w:t>
      </w:r>
      <w:r w:rsidR="00A05762" w:rsidRPr="001C7EE9">
        <w:t>disabilities</w:t>
      </w:r>
      <w:r w:rsidRPr="001C7EE9">
        <w:t xml:space="preserve">. During 2025-26, ACT Leave supported disability inclusion through its service delivery, workplace practices and continued to identify opportunities to strengthen </w:t>
      </w:r>
      <w:r w:rsidR="002825B5">
        <w:t>accessi</w:t>
      </w:r>
      <w:r w:rsidR="00B74289">
        <w:t>bility and</w:t>
      </w:r>
      <w:r w:rsidRPr="001C7EE9">
        <w:t xml:space="preserve"> inclusion across the organisation.</w:t>
      </w:r>
    </w:p>
    <w:p w14:paraId="4B413D3E" w14:textId="77777777" w:rsidR="00696C5E" w:rsidRDefault="00696C5E" w:rsidP="001C7EE9">
      <w:pPr>
        <w:pStyle w:val="Heading2NoNumber"/>
        <w:spacing w:before="0" w:line="280" w:lineRule="atLeast"/>
        <w:rPr>
          <w:rFonts w:asciiTheme="majorHAnsi" w:eastAsiaTheme="minorHAnsi" w:hAnsiTheme="majorHAnsi" w:cs="Times New Roman"/>
          <w:b w:val="0"/>
          <w:bCs/>
          <w:color w:val="000000" w:themeColor="text1"/>
          <w:spacing w:val="0"/>
          <w:sz w:val="20"/>
          <w:szCs w:val="20"/>
        </w:rPr>
      </w:pPr>
      <w:bookmarkStart w:id="55" w:name="_Toc240533496"/>
      <w:r w:rsidRPr="00696C5E">
        <w:rPr>
          <w:rFonts w:asciiTheme="majorHAnsi" w:eastAsiaTheme="minorHAnsi" w:hAnsiTheme="majorHAnsi" w:cs="Times New Roman"/>
          <w:b w:val="0"/>
          <w:bCs/>
          <w:color w:val="000000" w:themeColor="text1"/>
          <w:spacing w:val="0"/>
          <w:sz w:val="20"/>
          <w:szCs w:val="20"/>
        </w:rPr>
        <w:t>As a small statutory authority, ACT Leave's approach to disability inclusion focuses on reducing barriers to participation, supporting accessibility and inclusion, and ensuring people with disability can access services, information and employment opportunities on an equitable basis. At this stage, ACT Leave does not maintain a standalone Disability Inclusion Plan and instead aligns with relevant ACT Government disability inclusion policies, frameworks and workplace practices.</w:t>
      </w:r>
      <w:bookmarkEnd w:id="55"/>
    </w:p>
    <w:p w14:paraId="447C0F41" w14:textId="23FD6610" w:rsidR="006F06B3" w:rsidRPr="009B3E51" w:rsidRDefault="006F06B3" w:rsidP="001C7EE9">
      <w:pPr>
        <w:pStyle w:val="Heading2NoNumber"/>
        <w:spacing w:before="0" w:line="280" w:lineRule="atLeast"/>
        <w:rPr>
          <w:rFonts w:asciiTheme="majorHAnsi" w:eastAsiaTheme="minorHAnsi" w:hAnsiTheme="majorHAnsi" w:cs="Times New Roman"/>
          <w:b w:val="0"/>
          <w:color w:val="000000" w:themeColor="text1"/>
          <w:spacing w:val="0"/>
          <w:sz w:val="20"/>
          <w:szCs w:val="20"/>
        </w:rPr>
      </w:pPr>
      <w:bookmarkStart w:id="56" w:name="_Toc240533497"/>
      <w:r w:rsidRPr="009B3E51">
        <w:rPr>
          <w:rFonts w:asciiTheme="majorHAnsi" w:eastAsiaTheme="minorHAnsi" w:hAnsiTheme="majorHAnsi" w:cs="Times New Roman"/>
          <w:b w:val="0"/>
          <w:color w:val="000000" w:themeColor="text1"/>
          <w:spacing w:val="0"/>
          <w:sz w:val="20"/>
          <w:szCs w:val="20"/>
        </w:rPr>
        <w:t>Measures undertaken during the reporting period included:</w:t>
      </w:r>
      <w:bookmarkEnd w:id="56"/>
    </w:p>
    <w:p w14:paraId="6662032F" w14:textId="445F4988" w:rsidR="006F06B3" w:rsidRPr="009B3E51" w:rsidRDefault="006F06B3" w:rsidP="000A630C">
      <w:pPr>
        <w:pStyle w:val="ListBullet"/>
      </w:pPr>
      <w:r w:rsidRPr="009B3E51">
        <w:t>providing multiple channels for clients and employers to access ACT Leave's services, including online, telephone and in-person options</w:t>
      </w:r>
    </w:p>
    <w:p w14:paraId="197EF5F1" w14:textId="77777777" w:rsidR="00E55621" w:rsidRPr="00E55621" w:rsidRDefault="00E55621" w:rsidP="000A630C">
      <w:pPr>
        <w:pStyle w:val="ListBullet"/>
      </w:pPr>
      <w:r w:rsidRPr="00E55621">
        <w:t>supporting accessibility within ACT Leave's office environment, including access to nearby disability parking and making reasonable workplace adjustments to accommodate individual needs where required</w:t>
      </w:r>
    </w:p>
    <w:p w14:paraId="6264468E" w14:textId="21311064" w:rsidR="006F06B3" w:rsidRPr="009B3E51" w:rsidRDefault="006F06B3" w:rsidP="000A630C">
      <w:pPr>
        <w:pStyle w:val="ListBullet"/>
      </w:pPr>
      <w:r w:rsidRPr="009B3E51">
        <w:lastRenderedPageBreak/>
        <w:t>developing guidance, correspondence and information materials in plain English and formats that can be readily translated or adapted to support accessibility</w:t>
      </w:r>
    </w:p>
    <w:p w14:paraId="7B8B872D" w14:textId="77777777" w:rsidR="00664A06" w:rsidRDefault="009B3E51" w:rsidP="000A630C">
      <w:pPr>
        <w:pStyle w:val="ListBullet"/>
      </w:pPr>
      <w:r w:rsidRPr="009B3E51">
        <w:t>offering flexible working arrangements, including hybrid working options, to support diverse employee needs</w:t>
      </w:r>
      <w:r w:rsidR="00664A06">
        <w:t xml:space="preserve">. </w:t>
      </w:r>
    </w:p>
    <w:p w14:paraId="4EA543DF" w14:textId="41E4A49A" w:rsidR="00E55E85" w:rsidRDefault="006F06B3" w:rsidP="007579E1">
      <w:r w:rsidRPr="009B3E51">
        <w:t xml:space="preserve">ACT Leave did not lead or administer any disability-specific programs, grants, assistance or sponsorship initiatives during 2025-26. </w:t>
      </w:r>
    </w:p>
    <w:p w14:paraId="2016E6FF" w14:textId="77777777" w:rsidR="00F31551" w:rsidRDefault="00F31551" w:rsidP="00F31551">
      <w:pPr>
        <w:rPr>
          <w:b/>
        </w:rPr>
      </w:pPr>
      <w:r w:rsidRPr="00F31551">
        <w:t>ACT Leave will continue to support the objectives of the ACT Government's disability inclusion framework and consider opportunities to further strengthen accessibility and inclusion within its workplace and services as part of ongoing organisational planning and continuous improvement activities.</w:t>
      </w:r>
    </w:p>
    <w:p w14:paraId="3AD2A163" w14:textId="2712D842" w:rsidR="00813485" w:rsidRPr="009A6C26" w:rsidRDefault="0010366B" w:rsidP="006E0242">
      <w:pPr>
        <w:pStyle w:val="Heading2NoNumber"/>
      </w:pPr>
      <w:bookmarkStart w:id="57" w:name="_Toc240533498"/>
      <w:r w:rsidRPr="009A6C26">
        <w:t xml:space="preserve">B11. </w:t>
      </w:r>
      <w:r w:rsidR="00813485" w:rsidRPr="009A6C26">
        <w:t>Multiculturalism reporting</w:t>
      </w:r>
      <w:bookmarkEnd w:id="52"/>
      <w:bookmarkEnd w:id="57"/>
    </w:p>
    <w:p w14:paraId="0D35FFE2" w14:textId="273DC3FF" w:rsidR="00C6004C" w:rsidRPr="00C6004C" w:rsidRDefault="00C6004C" w:rsidP="00C6004C">
      <w:pPr>
        <w:rPr>
          <w:lang w:val="en-AU"/>
        </w:rPr>
      </w:pPr>
      <w:r w:rsidRPr="00C6004C">
        <w:rPr>
          <w:lang w:val="en-AU"/>
        </w:rPr>
        <w:t>ACT Leave is committed to providing accessible and inclusive services that support the needs of Canberra's culturally and linguistically diverse community. Through its administration of portable long service leave schemes, ACT Leave seeks to ensure all workers and employers can access information, services and entitlements regardless of their cultural or linguistic background.</w:t>
      </w:r>
    </w:p>
    <w:p w14:paraId="26764B68" w14:textId="77777777" w:rsidR="00F94086" w:rsidRPr="00F94086" w:rsidRDefault="00F94086" w:rsidP="00F94086">
      <w:pPr>
        <w:rPr>
          <w:lang w:val="en-AU"/>
        </w:rPr>
      </w:pPr>
      <w:r w:rsidRPr="00F94086">
        <w:rPr>
          <w:lang w:val="en-AU"/>
        </w:rPr>
        <w:t>ACT Leave did not undertake formal consultation with the Ministerial Advisory Council for Multiculturalism during 2025-26. As a small statutory authority, ACT Leave supports whole-of-government multicultural objectives through its service delivery, stakeholder engagement and communication activities and draws on relevant ACT Government policies and guidance to inform its approach.</w:t>
      </w:r>
    </w:p>
    <w:p w14:paraId="6BA64775" w14:textId="77777777" w:rsidR="00C6004C" w:rsidRPr="00C6004C" w:rsidRDefault="00C6004C" w:rsidP="00C6004C">
      <w:pPr>
        <w:rPr>
          <w:lang w:val="en-AU"/>
        </w:rPr>
      </w:pPr>
      <w:r w:rsidRPr="00C6004C">
        <w:rPr>
          <w:lang w:val="en-AU"/>
        </w:rPr>
        <w:t xml:space="preserve">During 2025-26, ACT Leave supported the principles of the </w:t>
      </w:r>
      <w:r w:rsidRPr="00C6004C">
        <w:rPr>
          <w:i/>
          <w:iCs/>
          <w:lang w:val="en-AU"/>
        </w:rPr>
        <w:t>Multiculturalism Act 2023</w:t>
      </w:r>
      <w:r w:rsidRPr="00C6004C">
        <w:rPr>
          <w:lang w:val="en-AU"/>
        </w:rPr>
        <w:t xml:space="preserve"> through its communication, engagement and service delivery practices. Key initiatives included:</w:t>
      </w:r>
    </w:p>
    <w:p w14:paraId="35EE5D1A" w14:textId="6C131326" w:rsidR="00DC0060" w:rsidRPr="00DC0060" w:rsidRDefault="00DC0060" w:rsidP="000A630C">
      <w:pPr>
        <w:pStyle w:val="ListBullet"/>
      </w:pPr>
      <w:r w:rsidRPr="00DC0060">
        <w:t>ensuring staff are aware of the ACT Government Language Services Policy and understand how to access interpreter services when required</w:t>
      </w:r>
    </w:p>
    <w:p w14:paraId="147676E7" w14:textId="51117868" w:rsidR="00DC0060" w:rsidRPr="00DC0060" w:rsidRDefault="00DC0060" w:rsidP="000A630C">
      <w:pPr>
        <w:pStyle w:val="ListBullet"/>
      </w:pPr>
      <w:r w:rsidRPr="00DC0060">
        <w:t>supporting the appropriate use of interpreters and translators in the delivery of services to people who communicate in a language other than English</w:t>
      </w:r>
    </w:p>
    <w:p w14:paraId="1FBC4833" w14:textId="411152A2" w:rsidR="00DC0060" w:rsidRPr="00DC0060" w:rsidRDefault="00DC0060" w:rsidP="000A630C">
      <w:pPr>
        <w:pStyle w:val="ListBullet"/>
      </w:pPr>
      <w:r w:rsidRPr="00DC0060">
        <w:t>preparing communication materials in plain English to improve accessibility and understanding for diverse audiences</w:t>
      </w:r>
    </w:p>
    <w:p w14:paraId="152A7C8F" w14:textId="07764643" w:rsidR="00DC0060" w:rsidRPr="00DC0060" w:rsidRDefault="00DC0060" w:rsidP="000A630C">
      <w:pPr>
        <w:pStyle w:val="ListBullet"/>
      </w:pPr>
      <w:r w:rsidRPr="00DC0060">
        <w:t>incorporating visual elements, including images and animated videos, to support communication and reduce reliance on text-heavy content</w:t>
      </w:r>
    </w:p>
    <w:p w14:paraId="19F93DFD" w14:textId="3B2455CC" w:rsidR="00DC0060" w:rsidRPr="00DC0060" w:rsidRDefault="00DC0060" w:rsidP="000A630C">
      <w:pPr>
        <w:pStyle w:val="ListBullet"/>
      </w:pPr>
      <w:r w:rsidRPr="00DC0060">
        <w:t>using translation services and the National Interpreter Symbol on communication materials, including QR codes directing users to ACT Leave's website, which can be translated into more than 30 languages</w:t>
      </w:r>
    </w:p>
    <w:p w14:paraId="49BA38EC" w14:textId="77777777" w:rsidR="00BA4F57" w:rsidRPr="00BA4F57" w:rsidRDefault="00BA4F57" w:rsidP="000A630C">
      <w:pPr>
        <w:pStyle w:val="ListBullet"/>
      </w:pPr>
      <w:r w:rsidRPr="00BA4F57">
        <w:t>translating Services Industry Scheme employer and worker educational materials into Simplified Chinese and Vietnamese to improve access to information for culturally and linguistically diverse employers and workers in the services industry</w:t>
      </w:r>
    </w:p>
    <w:p w14:paraId="6C08CDC2" w14:textId="4FD1820C" w:rsidR="0010343D" w:rsidRPr="00DC0060" w:rsidRDefault="00DC0060" w:rsidP="000A630C">
      <w:pPr>
        <w:pStyle w:val="ListBullet"/>
      </w:pPr>
      <w:r w:rsidRPr="00DC0060">
        <w:t>promoting equitable access to portable long service leave information and entitlements for all eligible workers and employers, regardless of cultural or linguistic background.</w:t>
      </w:r>
      <w:r w:rsidR="0045550D" w:rsidRPr="009A6C26">
        <w:t xml:space="preserve"> </w:t>
      </w:r>
    </w:p>
    <w:p w14:paraId="7DE8CFA2" w14:textId="77777777" w:rsidR="00CE7445" w:rsidRPr="00CE7445" w:rsidRDefault="00CE7445" w:rsidP="00CE7445">
      <w:pPr>
        <w:rPr>
          <w:lang w:val="en-AU"/>
        </w:rPr>
      </w:pPr>
      <w:r w:rsidRPr="00CE7445">
        <w:rPr>
          <w:lang w:val="en-AU"/>
        </w:rPr>
        <w:t>These activities support ACT Leave's commitment to inclusive service delivery and align with the principles of the Charter for Multiculturalism by recognising and valuing cultural and linguistic diversity, promoting equitable access to services and information, and supporting a workplace and community built on mutual respect, understanding and inclusion. ACT Leave is committed to ensuring workers and employers can access information and services in a manner that meets their needs and helps reduce barriers to participation. This commitment is also reflected in ACT Leave's workforce, with 48.8% of employees identifying as being from culturally and linguistically diverse backgrounds during the reporting period.</w:t>
      </w:r>
    </w:p>
    <w:p w14:paraId="4A805F87" w14:textId="4D8AB63F" w:rsidR="00561981" w:rsidRPr="009A6C26" w:rsidRDefault="00561981" w:rsidP="006E0242">
      <w:pPr>
        <w:pStyle w:val="Heading2NoNumber"/>
      </w:pPr>
      <w:bookmarkStart w:id="58" w:name="_Toc240533499"/>
      <w:r w:rsidRPr="009A6C26">
        <w:lastRenderedPageBreak/>
        <w:t>B12. Period Products and Facilities (Access) Act reporting</w:t>
      </w:r>
      <w:bookmarkEnd w:id="58"/>
    </w:p>
    <w:p w14:paraId="233FE310" w14:textId="7FD3A389" w:rsidR="002E14AC" w:rsidRPr="009A6C26" w:rsidRDefault="006E073C" w:rsidP="006E0242">
      <w:bookmarkStart w:id="59" w:name="_Toc171087047"/>
      <w:r w:rsidRPr="009A6C26">
        <w:t xml:space="preserve">ACT Leave has appropriate </w:t>
      </w:r>
      <w:r w:rsidR="0032243E">
        <w:t xml:space="preserve">workplace </w:t>
      </w:r>
      <w:r w:rsidR="00EF4A5F">
        <w:t xml:space="preserve">amenities </w:t>
      </w:r>
      <w:r w:rsidR="00632DAB">
        <w:t>including</w:t>
      </w:r>
      <w:r w:rsidR="00EF4A5F" w:rsidRPr="009A6C26">
        <w:t xml:space="preserve"> </w:t>
      </w:r>
      <w:r w:rsidRPr="009A6C26">
        <w:t>toilets, sanitary waste</w:t>
      </w:r>
      <w:r w:rsidR="00632DAB">
        <w:t xml:space="preserve"> disposal arrangement</w:t>
      </w:r>
      <w:r w:rsidR="00257ED1">
        <w:t>s</w:t>
      </w:r>
      <w:r w:rsidRPr="009A6C26">
        <w:t>, handwashing facilities</w:t>
      </w:r>
      <w:r w:rsidR="001E3389">
        <w:t xml:space="preserve"> and period products</w:t>
      </w:r>
      <w:r w:rsidR="00217C86">
        <w:t>,</w:t>
      </w:r>
      <w:r w:rsidRPr="009A6C26">
        <w:t xml:space="preserve"> </w:t>
      </w:r>
      <w:r w:rsidR="00716C12" w:rsidRPr="009A6C26">
        <w:t xml:space="preserve">available </w:t>
      </w:r>
      <w:r w:rsidRPr="009A6C26">
        <w:t>in a way that respects the dignity of the person</w:t>
      </w:r>
      <w:r w:rsidR="004F1126" w:rsidRPr="009A6C26">
        <w:t>.</w:t>
      </w:r>
    </w:p>
    <w:p w14:paraId="61AD65CD" w14:textId="6CD138EC" w:rsidR="00BB5EE4" w:rsidRPr="009A6C26" w:rsidRDefault="00BB5EE4" w:rsidP="006E0242">
      <w:r w:rsidRPr="009A6C26">
        <w:t>The ACTPS Employment Portal includes detailed information about Menstruation and Menopause Leave and flexible working arrangements for ACTPS staff.</w:t>
      </w:r>
    </w:p>
    <w:p w14:paraId="5E6B8D5F" w14:textId="2E1A109C" w:rsidR="00583F3E" w:rsidRPr="009A6C26" w:rsidRDefault="00813485" w:rsidP="006E0242">
      <w:pPr>
        <w:pStyle w:val="Heading2NoNumber"/>
        <w:rPr>
          <w:i/>
        </w:rPr>
      </w:pPr>
      <w:bookmarkStart w:id="60" w:name="_Toc240533500"/>
      <w:r w:rsidRPr="009A6C26">
        <w:t>B1</w:t>
      </w:r>
      <w:r w:rsidR="00561981" w:rsidRPr="009A6C26">
        <w:t>3</w:t>
      </w:r>
      <w:r w:rsidRPr="009A6C26">
        <w:t>.</w:t>
      </w:r>
      <w:r w:rsidR="00583F3E" w:rsidRPr="009A6C26">
        <w:t xml:space="preserve"> Work </w:t>
      </w:r>
      <w:r w:rsidR="009A71D1" w:rsidRPr="009A6C26">
        <w:t>h</w:t>
      </w:r>
      <w:r w:rsidR="00583F3E" w:rsidRPr="009A6C26">
        <w:t xml:space="preserve">ealth and </w:t>
      </w:r>
      <w:bookmarkEnd w:id="53"/>
      <w:bookmarkEnd w:id="54"/>
      <w:bookmarkEnd w:id="59"/>
      <w:r w:rsidR="009A71D1" w:rsidRPr="009A6C26">
        <w:t>s</w:t>
      </w:r>
      <w:r w:rsidR="00583F3E" w:rsidRPr="009A6C26">
        <w:t>afety</w:t>
      </w:r>
      <w:bookmarkEnd w:id="60"/>
    </w:p>
    <w:p w14:paraId="5F1B5067" w14:textId="14BE67BB" w:rsidR="00583F3E" w:rsidRPr="009A6C26" w:rsidRDefault="5148B162" w:rsidP="006E0242">
      <w:r w:rsidRPr="009A6C26">
        <w:t>ACT Leave</w:t>
      </w:r>
      <w:r w:rsidR="00583F3E" w:rsidRPr="009A6C26">
        <w:t xml:space="preserve"> is </w:t>
      </w:r>
      <w:r w:rsidR="00AA5F13" w:rsidRPr="009A6C26">
        <w:t>committed to providing a safe</w:t>
      </w:r>
      <w:r w:rsidR="00583F3E" w:rsidRPr="009A6C26">
        <w:t xml:space="preserve"> and </w:t>
      </w:r>
      <w:r w:rsidR="00AA5F13" w:rsidRPr="009A6C26">
        <w:t xml:space="preserve">healthy workplace, </w:t>
      </w:r>
      <w:r w:rsidR="00EF301B" w:rsidRPr="009A6C26">
        <w:t>supporting the</w:t>
      </w:r>
      <w:r w:rsidR="00AA5F13" w:rsidRPr="009A6C26">
        <w:t xml:space="preserve"> health, safety and wellbeing</w:t>
      </w:r>
      <w:r w:rsidR="00583F3E" w:rsidRPr="009A6C26">
        <w:rPr>
          <w:i/>
        </w:rPr>
        <w:t xml:space="preserve"> </w:t>
      </w:r>
      <w:r w:rsidR="00EF301B" w:rsidRPr="009A6C26">
        <w:rPr>
          <w:iCs/>
        </w:rPr>
        <w:t>of all employees.</w:t>
      </w:r>
      <w:r w:rsidR="00402D8B" w:rsidRPr="009A6C26">
        <w:rPr>
          <w:iCs/>
        </w:rPr>
        <w:t xml:space="preserve"> The organisation </w:t>
      </w:r>
      <w:r w:rsidR="00583F3E" w:rsidRPr="009A6C26">
        <w:t xml:space="preserve">receives </w:t>
      </w:r>
      <w:r w:rsidR="00FE6E1C" w:rsidRPr="009A6C26">
        <w:t xml:space="preserve">guidance </w:t>
      </w:r>
      <w:r w:rsidR="00583F3E" w:rsidRPr="009A6C26">
        <w:t xml:space="preserve">and advice from the Chief Minister, Treasury and Economic Development Directorate (CMTEDD) for all injury management and work safety </w:t>
      </w:r>
      <w:r w:rsidR="007E7D2C" w:rsidRPr="009A6C26">
        <w:t>matters</w:t>
      </w:r>
      <w:r w:rsidR="00583F3E" w:rsidRPr="009A6C26">
        <w:t xml:space="preserve">. </w:t>
      </w:r>
    </w:p>
    <w:p w14:paraId="5367DDCB" w14:textId="2556AD40" w:rsidR="004D01D2" w:rsidRPr="009A6C26" w:rsidRDefault="004D01D2" w:rsidP="007D4944">
      <w:pPr>
        <w:pStyle w:val="Heading3NoNumber"/>
        <w:rPr>
          <w:rFonts w:cs="Arial"/>
        </w:rPr>
      </w:pPr>
      <w:r w:rsidRPr="009A6C26">
        <w:rPr>
          <w:rFonts w:cs="Arial"/>
        </w:rPr>
        <w:t>WHS incidents</w:t>
      </w:r>
    </w:p>
    <w:p w14:paraId="793842D8" w14:textId="77777777" w:rsidR="007E13FD" w:rsidRPr="007E13FD" w:rsidRDefault="007E13FD" w:rsidP="007E13FD">
      <w:pPr>
        <w:rPr>
          <w:lang w:val="en-AU"/>
        </w:rPr>
      </w:pPr>
      <w:r w:rsidRPr="007E13FD">
        <w:rPr>
          <w:lang w:val="en-AU"/>
        </w:rPr>
        <w:t xml:space="preserve">During the reporting period, there were no serious injuries, illnesses or dangerous incidents requiring notification to the regulator under section 38 of the </w:t>
      </w:r>
      <w:r w:rsidRPr="007E13FD">
        <w:rPr>
          <w:i/>
          <w:iCs/>
          <w:lang w:val="en-AU"/>
        </w:rPr>
        <w:t>Work Health and Safety Act 2011</w:t>
      </w:r>
      <w:r w:rsidRPr="007E13FD">
        <w:rPr>
          <w:lang w:val="en-AU"/>
        </w:rPr>
        <w:t>. There were also no improvement, prohibition or non-disturbance notices issued under Part 10 of the Act during 2025-26.</w:t>
      </w:r>
    </w:p>
    <w:p w14:paraId="2F2E6689" w14:textId="4838E64B" w:rsidR="00CB583B" w:rsidRPr="007E13FD" w:rsidRDefault="00CB583B" w:rsidP="007E13FD">
      <w:pPr>
        <w:rPr>
          <w:lang w:val="en-AU"/>
        </w:rPr>
      </w:pPr>
      <w:r w:rsidRPr="00CB583B">
        <w:rPr>
          <w:lang w:val="en-AU"/>
        </w:rPr>
        <w:t xml:space="preserve">ACT Leave did not receive any findings from the regulator relating to failures to comply with safety duties, improvement notices, prohibition notices, non-disturbance notices or enforceable undertakings under the </w:t>
      </w:r>
      <w:r w:rsidRPr="00CB583B">
        <w:rPr>
          <w:i/>
          <w:iCs/>
          <w:lang w:val="en-AU"/>
        </w:rPr>
        <w:t>Work Health and Safety Act 2011</w:t>
      </w:r>
      <w:r w:rsidRPr="00CB583B">
        <w:rPr>
          <w:lang w:val="en-AU"/>
        </w:rPr>
        <w:t xml:space="preserve"> during 2025-26. ACT Leave also did not enter into any enforceable undertakings under Part 11 of the Act.</w:t>
      </w:r>
    </w:p>
    <w:p w14:paraId="22CCDEFA" w14:textId="1874263E" w:rsidR="004D01D2" w:rsidRPr="009A6C26" w:rsidRDefault="004D01D2" w:rsidP="007D4944">
      <w:pPr>
        <w:pStyle w:val="Heading3NoNumber"/>
        <w:rPr>
          <w:rFonts w:cs="Arial"/>
        </w:rPr>
      </w:pPr>
      <w:r w:rsidRPr="009A6C26">
        <w:rPr>
          <w:rFonts w:cs="Arial"/>
        </w:rPr>
        <w:t>Staff capability</w:t>
      </w:r>
    </w:p>
    <w:p w14:paraId="07877400" w14:textId="6FC8E9DE" w:rsidR="00493F22" w:rsidRDefault="00D07F61" w:rsidP="00D07F61">
      <w:pPr>
        <w:rPr>
          <w:lang w:val="en-AU"/>
        </w:rPr>
      </w:pPr>
      <w:r w:rsidRPr="00D07F61">
        <w:rPr>
          <w:lang w:val="en-AU"/>
        </w:rPr>
        <w:t xml:space="preserve">ACT Leave maintains a strong focus on building workplace capability in health and safety. Staff undertake designated workplace health and safety roles, including First Aid Officers, Mental Health First Aid Officers, Fire Wardens, Health and Safety Representatives and Respect, Equity and Diversity Officers, supported by an active Work Health and Safety (WHS) Committee comprising </w:t>
      </w:r>
      <w:r w:rsidR="00493F22">
        <w:rPr>
          <w:lang w:val="en-AU"/>
        </w:rPr>
        <w:t xml:space="preserve">Executive, management and </w:t>
      </w:r>
      <w:r w:rsidRPr="00D07F61">
        <w:rPr>
          <w:lang w:val="en-AU"/>
        </w:rPr>
        <w:t xml:space="preserve">staff representatives. </w:t>
      </w:r>
    </w:p>
    <w:p w14:paraId="4F372CE9" w14:textId="31C94C87" w:rsidR="00D07F61" w:rsidRPr="00D07F61" w:rsidRDefault="00D07F61" w:rsidP="00D07F61">
      <w:pPr>
        <w:rPr>
          <w:lang w:val="en-AU"/>
        </w:rPr>
      </w:pPr>
      <w:r w:rsidRPr="00D07F61">
        <w:rPr>
          <w:lang w:val="en-AU"/>
        </w:rPr>
        <w:t xml:space="preserve">The WHS Committee and Health and Safety Representatives provide workplace health and safety training, guidance and awareness activities for staff. The WHS Committee received dedicated training in January 2025 to ensure members understood their role and responsibilities, and officers maintain the qualifications and certifications required for their designated roles. ACT Leave had </w:t>
      </w:r>
      <w:r w:rsidR="00C3628C">
        <w:rPr>
          <w:lang w:val="en-AU"/>
        </w:rPr>
        <w:t>2</w:t>
      </w:r>
      <w:r w:rsidRPr="00D07F61">
        <w:rPr>
          <w:lang w:val="en-AU"/>
        </w:rPr>
        <w:t xml:space="preserve"> elected Health and Safety Representatives during 2025-26 and does not maintain dedicated full-time WHS positions, with WHS responsibilities incorporated into existing roles across the organisation.</w:t>
      </w:r>
    </w:p>
    <w:p w14:paraId="32FC0073" w14:textId="6168AFD9" w:rsidR="001F73ED" w:rsidRPr="009A6C26" w:rsidRDefault="009A4147" w:rsidP="007D4944">
      <w:pPr>
        <w:pStyle w:val="Heading3NoNumber"/>
        <w:rPr>
          <w:rFonts w:cs="Arial"/>
        </w:rPr>
      </w:pPr>
      <w:r w:rsidRPr="009A6C26">
        <w:rPr>
          <w:rFonts w:cs="Arial"/>
        </w:rPr>
        <w:t>Maintaining a safe workplace</w:t>
      </w:r>
    </w:p>
    <w:p w14:paraId="328AB1DA" w14:textId="77777777" w:rsidR="00061583" w:rsidRDefault="00323E00" w:rsidP="00CF17D1">
      <w:r w:rsidRPr="009A6C26">
        <w:t>Work health and safety matters are discussed</w:t>
      </w:r>
      <w:r w:rsidR="00583F3E" w:rsidRPr="009A6C26">
        <w:t xml:space="preserve"> </w:t>
      </w:r>
      <w:r w:rsidRPr="009A6C26">
        <w:t>at</w:t>
      </w:r>
      <w:r w:rsidR="00583F3E" w:rsidRPr="009A6C26" w:rsidDel="00F523FC">
        <w:t xml:space="preserve"> </w:t>
      </w:r>
      <w:r w:rsidR="00F523FC" w:rsidRPr="009A6C26">
        <w:t xml:space="preserve">monthly </w:t>
      </w:r>
      <w:r w:rsidR="00583F3E" w:rsidRPr="009A6C26">
        <w:t>staff meetings</w:t>
      </w:r>
      <w:r w:rsidR="00D520DF" w:rsidRPr="009A6C26">
        <w:t>,</w:t>
      </w:r>
      <w:r w:rsidR="00583F3E" w:rsidRPr="009A6C26">
        <w:t xml:space="preserve"> and </w:t>
      </w:r>
      <w:r w:rsidR="00DB68B0" w:rsidRPr="009A6C26">
        <w:t>WHS</w:t>
      </w:r>
      <w:r w:rsidR="00583F3E" w:rsidRPr="009A6C26">
        <w:t xml:space="preserve"> reporting is a </w:t>
      </w:r>
      <w:r w:rsidR="00A004CA" w:rsidRPr="009A6C26">
        <w:t xml:space="preserve">standing </w:t>
      </w:r>
      <w:r w:rsidR="00583F3E" w:rsidRPr="009A6C26">
        <w:t xml:space="preserve">agenda item for each Governing Board meeting. </w:t>
      </w:r>
      <w:r w:rsidR="00E56CAD" w:rsidRPr="009A6C26">
        <w:t>All n</w:t>
      </w:r>
      <w:r w:rsidR="003E115B" w:rsidRPr="009A6C26">
        <w:t xml:space="preserve">ew staff </w:t>
      </w:r>
      <w:r w:rsidR="00E56CAD" w:rsidRPr="009A6C26">
        <w:t>undertake</w:t>
      </w:r>
      <w:r w:rsidR="003E115B" w:rsidRPr="009A6C26">
        <w:t xml:space="preserve"> </w:t>
      </w:r>
      <w:r w:rsidR="00E56CAD" w:rsidRPr="009A6C26">
        <w:t xml:space="preserve">a </w:t>
      </w:r>
      <w:r w:rsidR="008A6373" w:rsidRPr="009A6C26">
        <w:t>face-to-face</w:t>
      </w:r>
      <w:r w:rsidR="00E56CAD" w:rsidRPr="009A6C26">
        <w:t>,</w:t>
      </w:r>
      <w:r w:rsidR="008A6373" w:rsidRPr="009A6C26">
        <w:t xml:space="preserve"> </w:t>
      </w:r>
      <w:r w:rsidR="00581A7E" w:rsidRPr="009A6C26">
        <w:t>on-site</w:t>
      </w:r>
      <w:r w:rsidR="0058735E" w:rsidRPr="009A6C26">
        <w:t xml:space="preserve"> </w:t>
      </w:r>
      <w:r w:rsidR="002A1EBD" w:rsidRPr="009A6C26">
        <w:t xml:space="preserve">WHS </w:t>
      </w:r>
      <w:r w:rsidR="00F446BC" w:rsidRPr="009A6C26">
        <w:t>induction</w:t>
      </w:r>
      <w:r w:rsidR="00FE24E2" w:rsidRPr="009A6C26">
        <w:t xml:space="preserve">, where they are </w:t>
      </w:r>
      <w:r w:rsidR="002A1EBD" w:rsidRPr="009A6C26">
        <w:t>briefed on</w:t>
      </w:r>
      <w:r w:rsidR="00FE24E2" w:rsidRPr="009A6C26">
        <w:t xml:space="preserve"> ACT Leave’s </w:t>
      </w:r>
      <w:r w:rsidR="008B3D8A" w:rsidRPr="009A6C26">
        <w:t xml:space="preserve">processes and </w:t>
      </w:r>
      <w:r w:rsidR="002A043F" w:rsidRPr="009A6C26">
        <w:t>provided with</w:t>
      </w:r>
      <w:r w:rsidR="008B3D8A" w:rsidRPr="009A6C26">
        <w:t xml:space="preserve"> a tour of the office</w:t>
      </w:r>
      <w:r w:rsidR="002A043F" w:rsidRPr="009A6C26">
        <w:t xml:space="preserve">, including </w:t>
      </w:r>
      <w:r w:rsidR="002749EB" w:rsidRPr="009A6C26">
        <w:t xml:space="preserve">evacuation procedures, </w:t>
      </w:r>
      <w:r w:rsidR="00E23D98" w:rsidRPr="009A6C26">
        <w:t xml:space="preserve">and the location of </w:t>
      </w:r>
      <w:r w:rsidR="000D035D" w:rsidRPr="009A6C26">
        <w:t>emergency equipment such as first aid kits, fire extinguishers,</w:t>
      </w:r>
      <w:r w:rsidR="003E7ECA" w:rsidRPr="009A6C26">
        <w:t xml:space="preserve"> </w:t>
      </w:r>
      <w:r w:rsidR="008214DF" w:rsidRPr="009A6C26">
        <w:t xml:space="preserve">and </w:t>
      </w:r>
      <w:r w:rsidR="003E7ECA" w:rsidRPr="009A6C26">
        <w:t>the defibrillator</w:t>
      </w:r>
      <w:r w:rsidR="008214DF" w:rsidRPr="009A6C26">
        <w:t>.</w:t>
      </w:r>
      <w:r w:rsidR="000D035D" w:rsidRPr="009A6C26">
        <w:t xml:space="preserve"> </w:t>
      </w:r>
    </w:p>
    <w:p w14:paraId="137F77A2" w14:textId="7DCADECF" w:rsidR="00583F3E" w:rsidRPr="009A6C26" w:rsidRDefault="00583F3E" w:rsidP="006E0242">
      <w:r w:rsidRPr="009A6C26">
        <w:t xml:space="preserve">Physical inspections of the office environment are </w:t>
      </w:r>
      <w:r w:rsidR="00001C77" w:rsidRPr="009A6C26">
        <w:t xml:space="preserve">conducted </w:t>
      </w:r>
      <w:r w:rsidRPr="009A6C26">
        <w:t xml:space="preserve">quarterly by members of the </w:t>
      </w:r>
      <w:r w:rsidR="00604F0D" w:rsidRPr="009A6C26">
        <w:t>WHS</w:t>
      </w:r>
      <w:r w:rsidRPr="009A6C26">
        <w:t xml:space="preserve"> Committee.</w:t>
      </w:r>
      <w:r w:rsidR="07004A77" w:rsidRPr="009A6C26">
        <w:t xml:space="preserve"> Staff working under hybrid working arrangement</w:t>
      </w:r>
      <w:r w:rsidR="00AB7E95" w:rsidRPr="009A6C26">
        <w:t>s</w:t>
      </w:r>
      <w:r w:rsidR="07004A77" w:rsidRPr="009A6C26">
        <w:t xml:space="preserve"> </w:t>
      </w:r>
      <w:r w:rsidR="30A58C27" w:rsidRPr="009A6C26">
        <w:t xml:space="preserve">are required to complete a </w:t>
      </w:r>
      <w:r w:rsidR="00AB7E95" w:rsidRPr="009A6C26">
        <w:t xml:space="preserve">Working </w:t>
      </w:r>
      <w:r w:rsidR="00F43EE2" w:rsidRPr="009A6C26">
        <w:t>from</w:t>
      </w:r>
      <w:r w:rsidR="00AB7E95" w:rsidRPr="009A6C26">
        <w:t xml:space="preserve"> Home Checklist </w:t>
      </w:r>
      <w:r w:rsidR="30A58C27" w:rsidRPr="009A6C26">
        <w:t xml:space="preserve">and </w:t>
      </w:r>
      <w:r w:rsidR="00C7737C" w:rsidRPr="009A6C26">
        <w:t>to</w:t>
      </w:r>
      <w:r w:rsidR="30A58C27" w:rsidRPr="009A6C26">
        <w:t xml:space="preserve"> </w:t>
      </w:r>
      <w:r w:rsidR="6D65E6EF" w:rsidRPr="009A6C26">
        <w:t xml:space="preserve">manage any risks </w:t>
      </w:r>
      <w:r w:rsidR="3303FB97" w:rsidRPr="009A6C26">
        <w:t xml:space="preserve">identified </w:t>
      </w:r>
      <w:r w:rsidR="6D65E6EF" w:rsidRPr="009A6C26">
        <w:t xml:space="preserve">in their home environment, with assistance and </w:t>
      </w:r>
      <w:r w:rsidR="004A038B" w:rsidRPr="009A6C26">
        <w:t>advice</w:t>
      </w:r>
      <w:r w:rsidR="6D65E6EF" w:rsidRPr="009A6C26">
        <w:t xml:space="preserve"> </w:t>
      </w:r>
      <w:r w:rsidR="23DA0183" w:rsidRPr="009A6C26">
        <w:t xml:space="preserve">provided by ACT Leave as </w:t>
      </w:r>
      <w:r w:rsidR="007C09D1" w:rsidRPr="009A6C26">
        <w:t>appropriate</w:t>
      </w:r>
      <w:r w:rsidR="23DA0183" w:rsidRPr="009A6C26">
        <w:t>.</w:t>
      </w:r>
      <w:r w:rsidR="6D65E6EF" w:rsidRPr="009A6C26">
        <w:t xml:space="preserve"> </w:t>
      </w:r>
    </w:p>
    <w:p w14:paraId="7CAFE22E" w14:textId="77777777" w:rsidR="00385807" w:rsidRPr="006D0BEB" w:rsidRDefault="00385807" w:rsidP="00385807">
      <w:pPr>
        <w:rPr>
          <w:lang w:val="en-AU"/>
        </w:rPr>
      </w:pPr>
      <w:r w:rsidRPr="006D0BEB">
        <w:rPr>
          <w:b/>
          <w:bCs/>
          <w:lang w:val="en-AU"/>
        </w:rPr>
        <w:t>Injury prevention and wellbeing initiatives</w:t>
      </w:r>
    </w:p>
    <w:p w14:paraId="058B5F39" w14:textId="77777777" w:rsidR="00F2551F" w:rsidRPr="00F2551F" w:rsidRDefault="00F2551F" w:rsidP="00F2551F">
      <w:pPr>
        <w:rPr>
          <w:lang w:val="en-AU"/>
        </w:rPr>
      </w:pPr>
      <w:r w:rsidRPr="00F2551F">
        <w:rPr>
          <w:lang w:val="en-AU"/>
        </w:rPr>
        <w:t xml:space="preserve">Injury prevention and wellbeing initiatives implemented during 2025-26 included Mental Health Training for Managers, WHS awareness communications through the ACT Leave Loop newsletter, workplace inspections, </w:t>
      </w:r>
      <w:r w:rsidRPr="00F2551F">
        <w:rPr>
          <w:lang w:val="en-AU"/>
        </w:rPr>
        <w:lastRenderedPageBreak/>
        <w:t>psychosocial risk management activities, and access to employee wellbeing services through the Employee Assistance Program and other mental health support programs.</w:t>
      </w:r>
    </w:p>
    <w:p w14:paraId="79355516" w14:textId="503ED4A8" w:rsidR="00630C81" w:rsidRDefault="00630C81" w:rsidP="007D4944">
      <w:pPr>
        <w:pStyle w:val="Heading3NoNumber"/>
      </w:pPr>
      <w:r>
        <w:t>Managing WHS risk</w:t>
      </w:r>
    </w:p>
    <w:p w14:paraId="3985B6D0" w14:textId="77777777" w:rsidR="00D63773" w:rsidRPr="008F49BA" w:rsidRDefault="01E04082" w:rsidP="00D63773">
      <w:pPr>
        <w:rPr>
          <w:lang w:val="en-AU" w:eastAsia="en-US"/>
        </w:rPr>
      </w:pPr>
      <w:r w:rsidRPr="008F49BA">
        <w:rPr>
          <w:lang w:val="en-AU" w:eastAsia="en-US"/>
        </w:rPr>
        <w:t xml:space="preserve">As part of its Risk Management Framework, ACT Leave </w:t>
      </w:r>
      <w:r w:rsidR="001F3715" w:rsidRPr="008F49BA">
        <w:rPr>
          <w:lang w:val="en-AU" w:eastAsia="en-US"/>
        </w:rPr>
        <w:t>maintains a dedicated</w:t>
      </w:r>
      <w:r w:rsidRPr="008F49BA">
        <w:rPr>
          <w:lang w:val="en-AU" w:eastAsia="en-US"/>
        </w:rPr>
        <w:t xml:space="preserve"> W</w:t>
      </w:r>
      <w:r w:rsidR="00700D33" w:rsidRPr="008F49BA">
        <w:rPr>
          <w:lang w:val="en-AU" w:eastAsia="en-US"/>
        </w:rPr>
        <w:t>HS</w:t>
      </w:r>
      <w:r w:rsidRPr="008F49BA">
        <w:rPr>
          <w:lang w:val="en-AU" w:eastAsia="en-US"/>
        </w:rPr>
        <w:t xml:space="preserve"> Risk Register to document and mitigate WHS risks</w:t>
      </w:r>
      <w:r w:rsidR="002F275D" w:rsidRPr="008F49BA">
        <w:rPr>
          <w:lang w:val="en-AU" w:eastAsia="en-US"/>
        </w:rPr>
        <w:t>.</w:t>
      </w:r>
      <w:r w:rsidR="5B3FAE61" w:rsidRPr="008F49BA">
        <w:rPr>
          <w:lang w:val="en-AU" w:eastAsia="en-US"/>
        </w:rPr>
        <w:t xml:space="preserve"> </w:t>
      </w:r>
      <w:r w:rsidR="002F275D" w:rsidRPr="008F49BA">
        <w:rPr>
          <w:lang w:val="en-AU" w:eastAsia="en-US"/>
        </w:rPr>
        <w:t xml:space="preserve">The register is </w:t>
      </w:r>
      <w:r w:rsidR="5B3FAE61" w:rsidRPr="008F49BA">
        <w:rPr>
          <w:lang w:val="en-AU" w:eastAsia="en-US"/>
        </w:rPr>
        <w:t xml:space="preserve">reviewed on a quarterly basis by the </w:t>
      </w:r>
      <w:r w:rsidR="002E0F47" w:rsidRPr="008F49BA">
        <w:rPr>
          <w:lang w:val="en-AU" w:eastAsia="en-US"/>
        </w:rPr>
        <w:t xml:space="preserve">WHS </w:t>
      </w:r>
      <w:r w:rsidR="5B3FAE61" w:rsidRPr="008F49BA">
        <w:rPr>
          <w:lang w:val="en-AU" w:eastAsia="en-US"/>
        </w:rPr>
        <w:t xml:space="preserve">Committee and </w:t>
      </w:r>
      <w:r w:rsidR="00A65FE6" w:rsidRPr="008F49BA">
        <w:rPr>
          <w:lang w:val="en-AU" w:eastAsia="en-US"/>
        </w:rPr>
        <w:t xml:space="preserve">the </w:t>
      </w:r>
      <w:r w:rsidR="00604B6B" w:rsidRPr="008F49BA">
        <w:rPr>
          <w:lang w:val="en-AU" w:eastAsia="en-US"/>
        </w:rPr>
        <w:t>Chief Executive Officer</w:t>
      </w:r>
      <w:r w:rsidR="00A65FE6" w:rsidRPr="008F49BA">
        <w:rPr>
          <w:lang w:val="en-AU" w:eastAsia="en-US"/>
        </w:rPr>
        <w:t xml:space="preserve">, with risks reported to the Governing Board </w:t>
      </w:r>
      <w:r w:rsidR="0032431E" w:rsidRPr="008F49BA">
        <w:rPr>
          <w:lang w:val="en-AU" w:eastAsia="en-US"/>
        </w:rPr>
        <w:t>as required</w:t>
      </w:r>
      <w:r w:rsidR="5B3FAE61" w:rsidRPr="008F49BA">
        <w:rPr>
          <w:lang w:val="en-AU" w:eastAsia="en-US"/>
        </w:rPr>
        <w:t>.</w:t>
      </w:r>
      <w:r w:rsidR="6634EE36" w:rsidRPr="008F49BA">
        <w:rPr>
          <w:lang w:val="en-AU" w:eastAsia="en-US"/>
        </w:rPr>
        <w:t xml:space="preserve"> </w:t>
      </w:r>
      <w:r w:rsidR="00477726" w:rsidRPr="008F49BA">
        <w:rPr>
          <w:lang w:val="en-AU" w:eastAsia="en-US"/>
        </w:rPr>
        <w:t xml:space="preserve">The key </w:t>
      </w:r>
      <w:r w:rsidR="00AE1EE9" w:rsidRPr="008F49BA">
        <w:rPr>
          <w:lang w:val="en-AU" w:eastAsia="en-US"/>
        </w:rPr>
        <w:t>WHS risks currently being managed by ACT Leave inclu</w:t>
      </w:r>
      <w:r w:rsidR="00BC6389" w:rsidRPr="008F49BA">
        <w:rPr>
          <w:lang w:val="en-AU" w:eastAsia="en-US"/>
        </w:rPr>
        <w:t xml:space="preserve">de </w:t>
      </w:r>
      <w:r w:rsidR="0092195F" w:rsidRPr="008F49BA">
        <w:rPr>
          <w:lang w:val="en-AU" w:eastAsia="en-US"/>
        </w:rPr>
        <w:t xml:space="preserve">physical </w:t>
      </w:r>
      <w:r w:rsidR="00517E38" w:rsidRPr="008F49BA">
        <w:rPr>
          <w:lang w:val="en-AU" w:eastAsia="en-US"/>
        </w:rPr>
        <w:t>hazards</w:t>
      </w:r>
      <w:r w:rsidR="00C63860" w:rsidRPr="008F49BA">
        <w:rPr>
          <w:lang w:val="en-AU" w:eastAsia="en-US"/>
        </w:rPr>
        <w:t xml:space="preserve">, psychosocial </w:t>
      </w:r>
      <w:r w:rsidR="00E416BD" w:rsidRPr="008F49BA">
        <w:rPr>
          <w:lang w:val="en-AU" w:eastAsia="en-US"/>
        </w:rPr>
        <w:t>hazards</w:t>
      </w:r>
      <w:r w:rsidR="00D63773" w:rsidRPr="008F49BA">
        <w:rPr>
          <w:lang w:val="en-AU" w:eastAsia="en-US"/>
        </w:rPr>
        <w:t xml:space="preserve"> and </w:t>
      </w:r>
      <w:r w:rsidR="00F262DD" w:rsidRPr="008F49BA">
        <w:rPr>
          <w:lang w:val="en-AU" w:eastAsia="en-US"/>
        </w:rPr>
        <w:t>transmissible illness</w:t>
      </w:r>
      <w:r w:rsidR="00D26A01" w:rsidRPr="008F49BA">
        <w:rPr>
          <w:lang w:val="en-AU" w:eastAsia="en-US"/>
        </w:rPr>
        <w:t>.</w:t>
      </w:r>
    </w:p>
    <w:p w14:paraId="59C325F3" w14:textId="24E9B48D" w:rsidR="00533B2A" w:rsidRPr="008F49BA" w:rsidRDefault="008F49BA" w:rsidP="00533B2A">
      <w:pPr>
        <w:rPr>
          <w:lang w:val="en-AU" w:eastAsia="en-US"/>
        </w:rPr>
      </w:pPr>
      <w:r w:rsidRPr="008F49BA">
        <w:rPr>
          <w:lang w:val="en-AU" w:eastAsia="en-US"/>
        </w:rPr>
        <w:t>No</w:t>
      </w:r>
      <w:r w:rsidR="00533B2A" w:rsidRPr="008F49BA">
        <w:rPr>
          <w:lang w:val="en-AU" w:eastAsia="en-US"/>
        </w:rPr>
        <w:t xml:space="preserve"> formal Work Health and Safety audits</w:t>
      </w:r>
      <w:r w:rsidRPr="008F49BA">
        <w:rPr>
          <w:lang w:val="en-AU" w:eastAsia="en-US"/>
        </w:rPr>
        <w:t xml:space="preserve"> were undertaken during 2025-26</w:t>
      </w:r>
      <w:r w:rsidR="003D11CD">
        <w:rPr>
          <w:lang w:val="en-AU" w:eastAsia="en-US"/>
        </w:rPr>
        <w:t>, however</w:t>
      </w:r>
      <w:r w:rsidR="00533B2A" w:rsidRPr="008F49BA">
        <w:rPr>
          <w:lang w:val="en-AU" w:eastAsia="en-US"/>
        </w:rPr>
        <w:t xml:space="preserve"> ACT Leave continued to implement recommendations arising from the Work Health and Safety System Audit completed in the previous reporting period. Progress against audit recommendations was monitored throughout the year and reported to the Audit and Risk Committee as part of its oversight of ACT Leave's workplace health and safety framework. </w:t>
      </w:r>
      <w:r w:rsidRPr="008F49BA">
        <w:rPr>
          <w:lang w:val="en-AU" w:eastAsia="en-US"/>
        </w:rPr>
        <w:t>Actions</w:t>
      </w:r>
      <w:r w:rsidR="00533B2A" w:rsidRPr="008F49BA">
        <w:rPr>
          <w:lang w:val="en-AU" w:eastAsia="en-US"/>
        </w:rPr>
        <w:t xml:space="preserve"> focused on strengthening workplace health and safety governance, risk management and psychosocial wellbeing arrangements.</w:t>
      </w:r>
    </w:p>
    <w:p w14:paraId="4CB57546" w14:textId="69850063" w:rsidR="00583F3E" w:rsidRPr="00D63773" w:rsidRDefault="00165B48" w:rsidP="006E0242">
      <w:pPr>
        <w:rPr>
          <w:lang w:val="en-AU" w:eastAsia="en-US"/>
        </w:rPr>
      </w:pPr>
      <w:r w:rsidRPr="008F49BA">
        <w:rPr>
          <w:lang w:val="en-AU" w:eastAsia="en-US"/>
        </w:rPr>
        <w:t>Physical hazards are managed through regular workplace inspections, hazard reporting and corrective maintenance activities. Psychosocial hazards are managed through the Psychosocial Wellbeing Policy, mental health training, access to the Employee Assistance Program and ongoing wellbeing initiatives. Transmissible illness risks are managed through workplace hygiene practices, flexible working arrangements and support for employees to remain away from the workplace when unwell.</w:t>
      </w:r>
    </w:p>
    <w:p w14:paraId="1E568C97" w14:textId="49A525B5" w:rsidR="00583F3E" w:rsidRPr="009A6C26" w:rsidRDefault="00813485" w:rsidP="006E0242">
      <w:pPr>
        <w:pStyle w:val="Heading2NoNumber"/>
      </w:pPr>
      <w:bookmarkStart w:id="61" w:name="_Toc428798637"/>
      <w:bookmarkStart w:id="62" w:name="_Toc19627249"/>
      <w:bookmarkStart w:id="63" w:name="_Toc171087048"/>
      <w:bookmarkStart w:id="64" w:name="_Toc240533501"/>
      <w:r w:rsidRPr="009A6C26">
        <w:t>B1</w:t>
      </w:r>
      <w:r w:rsidR="00091248" w:rsidRPr="009A6C26">
        <w:t>4</w:t>
      </w:r>
      <w:r w:rsidRPr="009A6C26">
        <w:t xml:space="preserve">. </w:t>
      </w:r>
      <w:bookmarkEnd w:id="61"/>
      <w:bookmarkEnd w:id="62"/>
      <w:bookmarkEnd w:id="63"/>
      <w:r w:rsidR="00583F3E" w:rsidRPr="009A6C26">
        <w:t xml:space="preserve">Human </w:t>
      </w:r>
      <w:r w:rsidR="0091105B" w:rsidRPr="009A6C26">
        <w:t>r</w:t>
      </w:r>
      <w:r w:rsidR="00583F3E" w:rsidRPr="009A6C26">
        <w:t xml:space="preserve">esources </w:t>
      </w:r>
      <w:r w:rsidR="0091105B" w:rsidRPr="009A6C26">
        <w:t>m</w:t>
      </w:r>
      <w:r w:rsidR="00583F3E" w:rsidRPr="009A6C26">
        <w:t>anagement</w:t>
      </w:r>
      <w:bookmarkEnd w:id="64"/>
    </w:p>
    <w:p w14:paraId="1CC4E013" w14:textId="6D4051C4" w:rsidR="00167688" w:rsidRPr="009A6C26" w:rsidRDefault="00167688" w:rsidP="006E0242">
      <w:r w:rsidRPr="009A6C26">
        <w:t xml:space="preserve">ACT Leave’s staff are employed under the </w:t>
      </w:r>
      <w:r w:rsidRPr="009A6C26">
        <w:rPr>
          <w:i/>
        </w:rPr>
        <w:t>Public Sector Management Act 1994</w:t>
      </w:r>
      <w:r w:rsidRPr="009A6C26">
        <w:t xml:space="preserve"> and are officers of the ACT Public Service. The Registrar is also the Chief Executive Officer of ACT Leave and a non-voting member of ACT Leave’s Governing Board. Under the </w:t>
      </w:r>
      <w:r w:rsidR="009E18EA" w:rsidRPr="002C52B0">
        <w:t>Act</w:t>
      </w:r>
      <w:r w:rsidRPr="009E18EA">
        <w:rPr>
          <w:iCs/>
        </w:rPr>
        <w:t>,</w:t>
      </w:r>
      <w:r w:rsidRPr="009A6C26">
        <w:t xml:space="preserve"> members of the Governing Board are appointed by the responsible Minister, and comprise </w:t>
      </w:r>
      <w:r w:rsidR="00C3628C">
        <w:t>2</w:t>
      </w:r>
      <w:r w:rsidRPr="009A6C26">
        <w:t xml:space="preserve"> independent members, </w:t>
      </w:r>
      <w:r w:rsidR="00C3628C">
        <w:t>2</w:t>
      </w:r>
      <w:r w:rsidRPr="009A6C26">
        <w:t xml:space="preserve"> members representing employer organisations and </w:t>
      </w:r>
      <w:r w:rsidR="00C3628C">
        <w:t>2</w:t>
      </w:r>
      <w:r w:rsidRPr="009A6C26">
        <w:t xml:space="preserve"> members representing employee organisations. Refer to B1. Organisational Overview for ACT Leave’s organisation structure</w:t>
      </w:r>
      <w:r w:rsidR="00084E77" w:rsidRPr="009A6C26">
        <w:t>.</w:t>
      </w:r>
    </w:p>
    <w:p w14:paraId="19C55463" w14:textId="77777777" w:rsidR="00FE710B" w:rsidRPr="009A6C26" w:rsidRDefault="00FE710B" w:rsidP="007D4944">
      <w:pPr>
        <w:pStyle w:val="Heading3NoNumber"/>
        <w:rPr>
          <w:rFonts w:cs="Arial"/>
        </w:rPr>
      </w:pPr>
      <w:r w:rsidRPr="009A6C26">
        <w:rPr>
          <w:rFonts w:cs="Arial"/>
        </w:rPr>
        <w:t xml:space="preserve">Workforce </w:t>
      </w:r>
    </w:p>
    <w:p w14:paraId="5EEBD0B9" w14:textId="6CD61C20" w:rsidR="008945D3" w:rsidRPr="009A6C26" w:rsidRDefault="00C35643" w:rsidP="006E0242">
      <w:pPr>
        <w:rPr>
          <w:lang w:val="en-GB"/>
        </w:rPr>
      </w:pPr>
      <w:r w:rsidRPr="009A6C26">
        <w:rPr>
          <w:lang w:val="en-GB"/>
        </w:rPr>
        <w:t xml:space="preserve">The </w:t>
      </w:r>
      <w:r w:rsidR="24935503" w:rsidRPr="009A6C26">
        <w:rPr>
          <w:lang w:val="en-GB"/>
        </w:rPr>
        <w:t>ACT Leave</w:t>
      </w:r>
      <w:r w:rsidR="00583F3E" w:rsidRPr="009A6C26">
        <w:rPr>
          <w:lang w:val="en-GB"/>
        </w:rPr>
        <w:t xml:space="preserve"> workforce comprised </w:t>
      </w:r>
      <w:r w:rsidR="00706411">
        <w:rPr>
          <w:color w:val="auto"/>
          <w:lang w:val="en-GB"/>
        </w:rPr>
        <w:t>4</w:t>
      </w:r>
      <w:r w:rsidR="003033CA">
        <w:rPr>
          <w:color w:val="auto"/>
          <w:lang w:val="en-GB"/>
        </w:rPr>
        <w:t>2</w:t>
      </w:r>
      <w:r w:rsidR="00706411">
        <w:rPr>
          <w:color w:val="auto"/>
          <w:lang w:val="en-GB"/>
        </w:rPr>
        <w:t>.</w:t>
      </w:r>
      <w:r w:rsidR="003033CA">
        <w:rPr>
          <w:color w:val="auto"/>
          <w:lang w:val="en-GB"/>
        </w:rPr>
        <w:t>8</w:t>
      </w:r>
      <w:r w:rsidR="00583F3E" w:rsidRPr="009A6C26">
        <w:rPr>
          <w:lang w:val="en-GB"/>
        </w:rPr>
        <w:t xml:space="preserve"> full-time equivalent (FTE) staff during </w:t>
      </w:r>
      <w:r w:rsidR="000F3C03" w:rsidRPr="009A6C26">
        <w:rPr>
          <w:lang w:val="en-GB"/>
        </w:rPr>
        <w:t>2025-26</w:t>
      </w:r>
      <w:r w:rsidR="00583F3E" w:rsidRPr="009A6C26">
        <w:t>.</w:t>
      </w:r>
      <w:r w:rsidR="00583F3E" w:rsidRPr="009A6C26">
        <w:rPr>
          <w:lang w:val="en-GB"/>
        </w:rPr>
        <w:t xml:space="preserve"> As a small agency, </w:t>
      </w:r>
      <w:r w:rsidR="0E8AEFBA" w:rsidRPr="009A6C26">
        <w:rPr>
          <w:lang w:val="en-GB"/>
        </w:rPr>
        <w:t>ACT Leave</w:t>
      </w:r>
      <w:r w:rsidR="00583F3E" w:rsidRPr="009A6C26">
        <w:rPr>
          <w:lang w:val="en-GB"/>
        </w:rPr>
        <w:t xml:space="preserve"> constantly monitors its workload and productivity to ensure there are adequate resources </w:t>
      </w:r>
      <w:r w:rsidR="000B42D2" w:rsidRPr="009A6C26">
        <w:rPr>
          <w:lang w:val="en-GB"/>
        </w:rPr>
        <w:t xml:space="preserve">in place, </w:t>
      </w:r>
      <w:r w:rsidR="00583F3E" w:rsidRPr="009A6C26">
        <w:rPr>
          <w:lang w:val="en-GB"/>
        </w:rPr>
        <w:t xml:space="preserve">and </w:t>
      </w:r>
      <w:r w:rsidR="210B7949" w:rsidRPr="009A6C26">
        <w:rPr>
          <w:lang w:val="en-GB"/>
        </w:rPr>
        <w:t xml:space="preserve">that </w:t>
      </w:r>
      <w:r w:rsidR="00583F3E" w:rsidRPr="009A6C26">
        <w:rPr>
          <w:lang w:val="en-GB"/>
        </w:rPr>
        <w:t xml:space="preserve">staffing levels are appropriate to carry out required work and meet </w:t>
      </w:r>
      <w:r w:rsidR="000B42D2" w:rsidRPr="009A6C26">
        <w:rPr>
          <w:lang w:val="en-GB"/>
        </w:rPr>
        <w:t xml:space="preserve">established </w:t>
      </w:r>
      <w:r w:rsidR="00583F3E" w:rsidRPr="009A6C26">
        <w:rPr>
          <w:lang w:val="en-GB"/>
        </w:rPr>
        <w:t>performance targets.</w:t>
      </w:r>
      <w:r w:rsidR="004E07A3" w:rsidRPr="009A6C26">
        <w:rPr>
          <w:lang w:val="en-GB"/>
        </w:rPr>
        <w:t xml:space="preserve"> </w:t>
      </w:r>
    </w:p>
    <w:p w14:paraId="1D5F0DAA" w14:textId="18A862C6" w:rsidR="00B1237B" w:rsidRDefault="00360739" w:rsidP="006E0242">
      <w:r w:rsidRPr="009A6C26">
        <w:rPr>
          <w:lang w:val="en-GB"/>
        </w:rPr>
        <w:t xml:space="preserve">Over </w:t>
      </w:r>
      <w:r w:rsidR="000F3C03" w:rsidRPr="009A6C26">
        <w:rPr>
          <w:lang w:val="en-GB"/>
        </w:rPr>
        <w:t>2025-26</w:t>
      </w:r>
      <w:r w:rsidRPr="009A6C26">
        <w:rPr>
          <w:lang w:val="en-GB"/>
        </w:rPr>
        <w:t xml:space="preserve"> t</w:t>
      </w:r>
      <w:r w:rsidR="00C97475" w:rsidRPr="009A6C26">
        <w:rPr>
          <w:lang w:val="en-GB"/>
        </w:rPr>
        <w:t xml:space="preserve">here was an increase in the number </w:t>
      </w:r>
      <w:r w:rsidR="004E07A3" w:rsidRPr="009A6C26">
        <w:rPr>
          <w:lang w:val="en-GB"/>
        </w:rPr>
        <w:t>of</w:t>
      </w:r>
      <w:r w:rsidR="00C97475" w:rsidRPr="009A6C26">
        <w:rPr>
          <w:lang w:val="en-GB"/>
        </w:rPr>
        <w:t xml:space="preserve"> </w:t>
      </w:r>
      <w:r w:rsidR="000B42D2" w:rsidRPr="009A6C26">
        <w:rPr>
          <w:lang w:val="en-GB"/>
        </w:rPr>
        <w:t>C</w:t>
      </w:r>
      <w:r w:rsidR="00C97475" w:rsidRPr="009A6C26">
        <w:rPr>
          <w:lang w:val="en-GB"/>
        </w:rPr>
        <w:t xml:space="preserve">ompliance </w:t>
      </w:r>
      <w:r w:rsidR="002F754E">
        <w:rPr>
          <w:lang w:val="en-GB"/>
        </w:rPr>
        <w:t>and Client Services staff</w:t>
      </w:r>
      <w:r w:rsidR="00C97475" w:rsidRPr="009A6C26">
        <w:rPr>
          <w:lang w:val="en-GB"/>
        </w:rPr>
        <w:t xml:space="preserve"> </w:t>
      </w:r>
      <w:r w:rsidR="004E07A3" w:rsidRPr="009A6C26">
        <w:rPr>
          <w:lang w:val="en-GB"/>
        </w:rPr>
        <w:t xml:space="preserve">to </w:t>
      </w:r>
      <w:r w:rsidR="000B42D2" w:rsidRPr="009A6C26">
        <w:rPr>
          <w:lang w:val="en-GB"/>
        </w:rPr>
        <w:t>manage the increased workload associated with the introduction of the</w:t>
      </w:r>
      <w:r w:rsidR="004E07A3" w:rsidRPr="009A6C26">
        <w:rPr>
          <w:lang w:val="en-GB"/>
        </w:rPr>
        <w:t xml:space="preserve"> Service</w:t>
      </w:r>
      <w:r w:rsidR="000B42D2" w:rsidRPr="009A6C26">
        <w:rPr>
          <w:lang w:val="en-GB"/>
        </w:rPr>
        <w:t>s</w:t>
      </w:r>
      <w:r w:rsidR="004E07A3" w:rsidRPr="009A6C26">
        <w:rPr>
          <w:lang w:val="en-GB"/>
        </w:rPr>
        <w:t xml:space="preserve"> Industry</w:t>
      </w:r>
      <w:r w:rsidRPr="009A6C26">
        <w:rPr>
          <w:lang w:val="en-GB"/>
        </w:rPr>
        <w:t xml:space="preserve"> Scheme</w:t>
      </w:r>
      <w:r w:rsidR="002F754E">
        <w:rPr>
          <w:lang w:val="en-GB"/>
        </w:rPr>
        <w:t xml:space="preserve"> and the ongoing </w:t>
      </w:r>
      <w:r w:rsidR="002F754E" w:rsidRPr="002F754E">
        <w:t>engagement with employers to prepare them to enter the scheme on 1 January 2027</w:t>
      </w:r>
      <w:r w:rsidR="002F754E">
        <w:t xml:space="preserve">. The Corporate Services team also increased to assist with corporate functions and legislative compliance. </w:t>
      </w:r>
      <w:r w:rsidR="00B1237B" w:rsidRPr="00B1237B">
        <w:t xml:space="preserve">ACT Leave established an ICT and Security team with the </w:t>
      </w:r>
      <w:r w:rsidR="0032798E">
        <w:t>appointment</w:t>
      </w:r>
      <w:r w:rsidR="00B1237B" w:rsidRPr="00B1237B">
        <w:t xml:space="preserve"> of a Chief Information Officer, ICT Security Manager and a</w:t>
      </w:r>
      <w:r w:rsidR="001539F4">
        <w:t>n</w:t>
      </w:r>
      <w:r w:rsidR="00B1237B" w:rsidRPr="00B1237B">
        <w:t xml:space="preserve"> ICT Business Support and Reporting Officer under the corporate services function to manage and administer its business systems and enhance ACT Leave's security posture across the security domains</w:t>
      </w:r>
      <w:r w:rsidR="00E157EC">
        <w:t xml:space="preserve"> –</w:t>
      </w:r>
      <w:r w:rsidR="00B1237B" w:rsidRPr="00B1237B">
        <w:t xml:space="preserve"> information, physical</w:t>
      </w:r>
      <w:r w:rsidR="00015BE9">
        <w:t>, governance</w:t>
      </w:r>
      <w:r w:rsidR="00B1237B" w:rsidRPr="00B1237B">
        <w:t xml:space="preserve"> and personnel.</w:t>
      </w:r>
    </w:p>
    <w:p w14:paraId="7D449875" w14:textId="471B55DE" w:rsidR="00836474" w:rsidRDefault="00836474" w:rsidP="00836474">
      <w:pPr>
        <w:pStyle w:val="Heading4"/>
      </w:pPr>
      <w:r>
        <w:t>Workforce planning</w:t>
      </w:r>
    </w:p>
    <w:p w14:paraId="4685E79A" w14:textId="23F43DEF" w:rsidR="00836474" w:rsidRPr="00836474" w:rsidRDefault="00836474" w:rsidP="00836474">
      <w:pPr>
        <w:rPr>
          <w:lang w:val="en-AU"/>
        </w:rPr>
      </w:pPr>
      <w:r w:rsidRPr="00836474">
        <w:rPr>
          <w:lang w:val="en-AU"/>
        </w:rPr>
        <w:t xml:space="preserve">ACT Leave undertakes workforce planning activities to ensure the organisation has the capability and capacity required to deliver its strategic objectives and respond to changing operational demands. </w:t>
      </w:r>
      <w:r w:rsidR="00987C9D">
        <w:rPr>
          <w:lang w:val="en-AU"/>
        </w:rPr>
        <w:t>During 2025-26</w:t>
      </w:r>
      <w:r w:rsidR="007E53DC">
        <w:rPr>
          <w:lang w:val="en-AU"/>
        </w:rPr>
        <w:t>, w</w:t>
      </w:r>
      <w:r w:rsidR="007E53DC" w:rsidRPr="00836474">
        <w:rPr>
          <w:lang w:val="en-AU"/>
        </w:rPr>
        <w:t xml:space="preserve">orkforce </w:t>
      </w:r>
      <w:r w:rsidRPr="00836474">
        <w:rPr>
          <w:lang w:val="en-AU"/>
        </w:rPr>
        <w:t xml:space="preserve">planning </w:t>
      </w:r>
      <w:r w:rsidR="00132C00">
        <w:rPr>
          <w:lang w:val="en-AU"/>
        </w:rPr>
        <w:t xml:space="preserve">was guided by the Workforce Review, which assessed organisational structure, capability and resourcing requirements to </w:t>
      </w:r>
      <w:r w:rsidR="00B75DA6">
        <w:rPr>
          <w:lang w:val="en-AU"/>
        </w:rPr>
        <w:t xml:space="preserve">support ACT Leave’s strategic and operational priorities. Workforce planning activities focused on </w:t>
      </w:r>
      <w:r w:rsidRPr="00836474">
        <w:rPr>
          <w:lang w:val="en-AU"/>
        </w:rPr>
        <w:t>supporting implementation of the Services Industry Scheme, strengthening organisational capability in information technology and cyber security, and ensuring sufficient resources were in place to meet increasing compliance, client service and corporate governance requirements.</w:t>
      </w:r>
    </w:p>
    <w:p w14:paraId="1A12D2F1" w14:textId="77777777" w:rsidR="00836474" w:rsidRPr="00836474" w:rsidRDefault="00836474" w:rsidP="00836474">
      <w:pPr>
        <w:rPr>
          <w:lang w:val="en-AU"/>
        </w:rPr>
      </w:pPr>
      <w:r w:rsidRPr="00836474">
        <w:rPr>
          <w:lang w:val="en-AU"/>
        </w:rPr>
        <w:lastRenderedPageBreak/>
        <w:t>ACT Leave regularly reviews workforce composition, succession risks, recruitment needs and capability requirements to support business continuity and delivery of key priorities.</w:t>
      </w:r>
    </w:p>
    <w:p w14:paraId="5FED3404" w14:textId="26D75870" w:rsidR="00F979B6" w:rsidRPr="009A6C26" w:rsidRDefault="00F73F55" w:rsidP="006E0242">
      <w:r w:rsidRPr="009A6C26">
        <w:rPr>
          <w:lang w:val="en-GB"/>
        </w:rPr>
        <w:t xml:space="preserve">Figure </w:t>
      </w:r>
      <w:r w:rsidR="007319F9" w:rsidRPr="009A6C26">
        <w:rPr>
          <w:lang w:val="en-GB"/>
        </w:rPr>
        <w:t>9</w:t>
      </w:r>
      <w:r w:rsidRPr="009A6C26">
        <w:rPr>
          <w:lang w:val="en-GB"/>
        </w:rPr>
        <w:t xml:space="preserve">: </w:t>
      </w:r>
      <w:r w:rsidR="00393B7F" w:rsidRPr="009A6C26">
        <w:rPr>
          <w:lang w:val="en-GB"/>
        </w:rPr>
        <w:t xml:space="preserve">ACT Leave resourcing </w:t>
      </w:r>
      <w:r w:rsidR="00C61306" w:rsidRPr="009A6C26">
        <w:rPr>
          <w:lang w:val="en-GB"/>
        </w:rPr>
        <w:t xml:space="preserve">by function </w:t>
      </w:r>
      <w:r w:rsidR="000F3C03" w:rsidRPr="009A6C26">
        <w:rPr>
          <w:lang w:val="en-GB"/>
        </w:rPr>
        <w:t>2025-26</w:t>
      </w:r>
      <w:r w:rsidR="005B5AC9" w:rsidRPr="009A6C26">
        <w:rPr>
          <w:lang w:val="en-GB"/>
        </w:rPr>
        <w:t xml:space="preserve"> </w:t>
      </w:r>
    </w:p>
    <w:p w14:paraId="19007A46" w14:textId="3B0E0B33" w:rsidR="003874B2" w:rsidRDefault="003874B2" w:rsidP="006E0242">
      <w:r>
        <w:rPr>
          <w:noProof/>
        </w:rPr>
        <w:drawing>
          <wp:inline distT="0" distB="0" distL="0" distR="0" wp14:anchorId="24D078B9" wp14:editId="44ADDC5E">
            <wp:extent cx="6534150" cy="2748280"/>
            <wp:effectExtent l="0" t="0" r="0" b="0"/>
            <wp:docPr id="1983631586" name="Chart 1" descr="Bar graph showing the allocation of full-time equivalent (FTE) staff across ACT Leave business areas in July 2025 and June 2026. Client Services increased from 11.1 FTE in July 2025 to 12.5 FTE in June 2026. Benefits decreased from 6.5 FTE to 5.5 FTE. Compliance increased from 8.0 FTE to 10.0 FTE. Finance decreased from 4.6 FTE to 3.8 FTE. Corporate Services increased from 4.0 FTE to 6.0 FTE. Executive staffing remained unchanged at 5.0 FTE. Overall, the graph shows growth in Client Services, Compliance and Corporate Services staffing, reductions in Benefits and Finance staffing, and stable Executive staffing between July 2025 and June 2026.">
              <a:extLst xmlns:a="http://schemas.openxmlformats.org/drawingml/2006/main">
                <a:ext uri="{FF2B5EF4-FFF2-40B4-BE49-F238E27FC236}">
                  <a16:creationId xmlns:a16="http://schemas.microsoft.com/office/drawing/2014/main" id="{DDF7B570-8371-36B3-1AB9-B40C850651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57F6ABE" w14:textId="19ACE601" w:rsidR="00DB27E5" w:rsidRPr="009A6C26" w:rsidRDefault="008A29A8" w:rsidP="006E0242">
      <w:r w:rsidRPr="009A6C26">
        <w:t xml:space="preserve">Image description: Figure 9 is a bar graph that gives a breakdown of </w:t>
      </w:r>
      <w:r w:rsidR="002955E4" w:rsidRPr="009A6C26">
        <w:t>the</w:t>
      </w:r>
      <w:r w:rsidRPr="009A6C26">
        <w:t xml:space="preserve"> number of </w:t>
      </w:r>
      <w:r w:rsidR="00E25D5B" w:rsidRPr="009A6C26">
        <w:t xml:space="preserve">full time equivalent (FTE) staff </w:t>
      </w:r>
      <w:r w:rsidR="003747B1" w:rsidRPr="009A6C26">
        <w:t xml:space="preserve">in </w:t>
      </w:r>
      <w:r w:rsidR="00323AE3" w:rsidRPr="009A6C26">
        <w:t>Client Services, Benefits, Compliance, Finance, Corporate</w:t>
      </w:r>
      <w:r w:rsidRPr="009A6C26">
        <w:t xml:space="preserve"> </w:t>
      </w:r>
      <w:r w:rsidR="002955E4" w:rsidRPr="009A6C26">
        <w:t>Services</w:t>
      </w:r>
      <w:r w:rsidRPr="009A6C26">
        <w:t xml:space="preserve"> and </w:t>
      </w:r>
      <w:r w:rsidR="00323AE3" w:rsidRPr="009A6C26">
        <w:t xml:space="preserve">Executive teams in </w:t>
      </w:r>
      <w:r w:rsidR="00C700F7" w:rsidRPr="009A6C26">
        <w:t>July 202</w:t>
      </w:r>
      <w:r w:rsidR="00B1237B">
        <w:t>5</w:t>
      </w:r>
      <w:r w:rsidRPr="009A6C26">
        <w:t xml:space="preserve"> and </w:t>
      </w:r>
      <w:r w:rsidR="00C700F7" w:rsidRPr="009A6C26">
        <w:t>June</w:t>
      </w:r>
      <w:r w:rsidRPr="009A6C26">
        <w:t xml:space="preserve"> 202</w:t>
      </w:r>
      <w:r w:rsidR="00B1237B">
        <w:t>6</w:t>
      </w:r>
      <w:r w:rsidR="00C700F7" w:rsidRPr="009A6C26">
        <w:t>.</w:t>
      </w:r>
      <w:r w:rsidRPr="009A6C26">
        <w:t xml:space="preserve"> The data is summarised in the following table: </w:t>
      </w:r>
    </w:p>
    <w:tbl>
      <w:tblPr>
        <w:tblStyle w:val="ACTLeavetable"/>
        <w:tblW w:w="5000" w:type="pct"/>
        <w:tblLook w:val="04A0" w:firstRow="1" w:lastRow="0" w:firstColumn="1" w:lastColumn="0" w:noHBand="0" w:noVBand="1"/>
      </w:tblPr>
      <w:tblGrid>
        <w:gridCol w:w="1309"/>
        <w:gridCol w:w="1606"/>
        <w:gridCol w:w="1407"/>
        <w:gridCol w:w="1407"/>
        <w:gridCol w:w="1407"/>
        <w:gridCol w:w="1407"/>
        <w:gridCol w:w="1553"/>
      </w:tblGrid>
      <w:tr w:rsidR="00871404" w:rsidRPr="009A6C26" w14:paraId="464B269C" w14:textId="77777777" w:rsidTr="00B1237B">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48" w:type="pct"/>
            <w:noWrap/>
            <w:hideMark/>
          </w:tcPr>
          <w:p w14:paraId="02D52DEE" w14:textId="1583F4B9" w:rsidR="00871404" w:rsidRPr="009A6C26" w:rsidRDefault="00721561" w:rsidP="003D09D7">
            <w:pPr>
              <w:spacing w:before="30" w:after="30"/>
            </w:pPr>
            <w:r w:rsidRPr="009A6C26">
              <w:br w:type="page"/>
            </w:r>
          </w:p>
        </w:tc>
        <w:tc>
          <w:tcPr>
            <w:tcW w:w="795" w:type="pct"/>
            <w:noWrap/>
            <w:hideMark/>
          </w:tcPr>
          <w:p w14:paraId="474FA4E1" w14:textId="77777777" w:rsidR="00871404" w:rsidRPr="009A6C26" w:rsidRDefault="00871404"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Client Services</w:t>
            </w:r>
          </w:p>
        </w:tc>
        <w:tc>
          <w:tcPr>
            <w:tcW w:w="697" w:type="pct"/>
            <w:noWrap/>
            <w:hideMark/>
          </w:tcPr>
          <w:p w14:paraId="55752607" w14:textId="77777777" w:rsidR="00871404" w:rsidRPr="009A6C26" w:rsidRDefault="00871404"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Benefits</w:t>
            </w:r>
          </w:p>
        </w:tc>
        <w:tc>
          <w:tcPr>
            <w:tcW w:w="697" w:type="pct"/>
            <w:noWrap/>
            <w:hideMark/>
          </w:tcPr>
          <w:p w14:paraId="0A40C6AB" w14:textId="77777777" w:rsidR="00871404" w:rsidRPr="009A6C26" w:rsidRDefault="00871404"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Compliance</w:t>
            </w:r>
          </w:p>
        </w:tc>
        <w:tc>
          <w:tcPr>
            <w:tcW w:w="697" w:type="pct"/>
            <w:noWrap/>
            <w:hideMark/>
          </w:tcPr>
          <w:p w14:paraId="721245B7" w14:textId="77777777" w:rsidR="00871404" w:rsidRPr="009A6C26" w:rsidRDefault="00871404"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Finance</w:t>
            </w:r>
          </w:p>
        </w:tc>
        <w:tc>
          <w:tcPr>
            <w:tcW w:w="697" w:type="pct"/>
            <w:noWrap/>
            <w:hideMark/>
          </w:tcPr>
          <w:p w14:paraId="42097524" w14:textId="77777777" w:rsidR="00871404" w:rsidRPr="009A6C26" w:rsidRDefault="00871404"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Corporate</w:t>
            </w:r>
          </w:p>
        </w:tc>
        <w:tc>
          <w:tcPr>
            <w:tcW w:w="769" w:type="pct"/>
            <w:noWrap/>
            <w:hideMark/>
          </w:tcPr>
          <w:p w14:paraId="7FDFC310" w14:textId="77777777" w:rsidR="00871404" w:rsidRPr="009A6C26" w:rsidRDefault="00871404"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Executive</w:t>
            </w:r>
          </w:p>
        </w:tc>
      </w:tr>
      <w:tr w:rsidR="00B1237B" w:rsidRPr="009A6C26" w14:paraId="5CBB1E63" w14:textId="77777777" w:rsidTr="00B1237B">
        <w:trPr>
          <w:trHeight w:val="192"/>
        </w:trPr>
        <w:tc>
          <w:tcPr>
            <w:cnfStyle w:val="001000000000" w:firstRow="0" w:lastRow="0" w:firstColumn="1" w:lastColumn="0" w:oddVBand="0" w:evenVBand="0" w:oddHBand="0" w:evenHBand="0" w:firstRowFirstColumn="0" w:firstRowLastColumn="0" w:lastRowFirstColumn="0" w:lastRowLastColumn="0"/>
            <w:tcW w:w="648" w:type="pct"/>
            <w:noWrap/>
            <w:hideMark/>
          </w:tcPr>
          <w:p w14:paraId="4C151ACB" w14:textId="03C87EC4" w:rsidR="00B1237B" w:rsidRPr="009A6C26" w:rsidRDefault="00B1237B" w:rsidP="003D09D7">
            <w:pPr>
              <w:spacing w:before="30" w:after="30"/>
            </w:pPr>
            <w:r w:rsidRPr="009A6C26">
              <w:t>Jul-2</w:t>
            </w:r>
            <w:r>
              <w:t>5</w:t>
            </w:r>
          </w:p>
        </w:tc>
        <w:tc>
          <w:tcPr>
            <w:tcW w:w="795" w:type="pct"/>
            <w:noWrap/>
            <w:hideMark/>
          </w:tcPr>
          <w:p w14:paraId="60B1BBB4" w14:textId="4B761E9B" w:rsidR="00B1237B" w:rsidRPr="009A6C26" w:rsidRDefault="00B1237B"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11.1</w:t>
            </w:r>
          </w:p>
        </w:tc>
        <w:tc>
          <w:tcPr>
            <w:tcW w:w="697" w:type="pct"/>
            <w:noWrap/>
            <w:hideMark/>
          </w:tcPr>
          <w:p w14:paraId="1D7AE00E" w14:textId="2AB296D4" w:rsidR="00B1237B" w:rsidRPr="009A6C26" w:rsidRDefault="00B1237B"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6.5</w:t>
            </w:r>
          </w:p>
        </w:tc>
        <w:tc>
          <w:tcPr>
            <w:tcW w:w="697" w:type="pct"/>
            <w:noWrap/>
            <w:hideMark/>
          </w:tcPr>
          <w:p w14:paraId="0DF22FA3" w14:textId="60180E65" w:rsidR="00B1237B" w:rsidRPr="009A6C26" w:rsidRDefault="00B1237B"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8</w:t>
            </w:r>
          </w:p>
        </w:tc>
        <w:tc>
          <w:tcPr>
            <w:tcW w:w="697" w:type="pct"/>
            <w:noWrap/>
            <w:hideMark/>
          </w:tcPr>
          <w:p w14:paraId="1F1A3CAF" w14:textId="47F76303" w:rsidR="00B1237B" w:rsidRPr="009A6C26" w:rsidRDefault="00B1237B"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4.6</w:t>
            </w:r>
          </w:p>
        </w:tc>
        <w:tc>
          <w:tcPr>
            <w:tcW w:w="697" w:type="pct"/>
            <w:noWrap/>
            <w:hideMark/>
          </w:tcPr>
          <w:p w14:paraId="4C96CF74" w14:textId="6939834C" w:rsidR="00B1237B" w:rsidRPr="009A6C26" w:rsidRDefault="00B1237B"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4</w:t>
            </w:r>
          </w:p>
        </w:tc>
        <w:tc>
          <w:tcPr>
            <w:tcW w:w="769" w:type="pct"/>
            <w:noWrap/>
            <w:hideMark/>
          </w:tcPr>
          <w:p w14:paraId="50A172BA" w14:textId="5F4035C6" w:rsidR="00B1237B" w:rsidRPr="009A6C26" w:rsidRDefault="00B1237B"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5</w:t>
            </w:r>
          </w:p>
        </w:tc>
      </w:tr>
      <w:tr w:rsidR="00871404" w:rsidRPr="009A6C26" w14:paraId="4BD33CBF" w14:textId="77777777" w:rsidTr="00B1237B">
        <w:trPr>
          <w:cnfStyle w:val="000000010000" w:firstRow="0" w:lastRow="0" w:firstColumn="0" w:lastColumn="0" w:oddVBand="0" w:evenVBand="0" w:oddHBand="0" w:evenHBand="1"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648" w:type="pct"/>
            <w:noWrap/>
            <w:hideMark/>
          </w:tcPr>
          <w:p w14:paraId="1189AD7C" w14:textId="743D4961" w:rsidR="00871404" w:rsidRPr="009A6C26" w:rsidRDefault="00871404" w:rsidP="003D09D7">
            <w:pPr>
              <w:spacing w:before="30" w:after="30"/>
            </w:pPr>
            <w:r w:rsidRPr="009A6C26">
              <w:t>Jun-2</w:t>
            </w:r>
            <w:r w:rsidR="00B1237B">
              <w:t>6</w:t>
            </w:r>
          </w:p>
        </w:tc>
        <w:tc>
          <w:tcPr>
            <w:tcW w:w="795" w:type="pct"/>
            <w:noWrap/>
          </w:tcPr>
          <w:p w14:paraId="69D128A3" w14:textId="09D9C2F8" w:rsidR="00871404" w:rsidRPr="002F754E" w:rsidRDefault="006D4E92" w:rsidP="003D09D7">
            <w:pPr>
              <w:spacing w:before="30" w:after="30"/>
              <w:cnfStyle w:val="000000010000" w:firstRow="0" w:lastRow="0" w:firstColumn="0" w:lastColumn="0" w:oddVBand="0" w:evenVBand="0" w:oddHBand="0" w:evenHBand="1" w:firstRowFirstColumn="0" w:firstRowLastColumn="0" w:lastRowFirstColumn="0" w:lastRowLastColumn="0"/>
            </w:pPr>
            <w:r>
              <w:t>11.5</w:t>
            </w:r>
          </w:p>
        </w:tc>
        <w:tc>
          <w:tcPr>
            <w:tcW w:w="697" w:type="pct"/>
            <w:noWrap/>
          </w:tcPr>
          <w:p w14:paraId="1810F711" w14:textId="013B80D7" w:rsidR="00871404" w:rsidRPr="002F754E" w:rsidRDefault="006D4E92" w:rsidP="003D09D7">
            <w:pPr>
              <w:spacing w:before="30" w:after="30"/>
              <w:cnfStyle w:val="000000010000" w:firstRow="0" w:lastRow="0" w:firstColumn="0" w:lastColumn="0" w:oddVBand="0" w:evenVBand="0" w:oddHBand="0" w:evenHBand="1" w:firstRowFirstColumn="0" w:firstRowLastColumn="0" w:lastRowFirstColumn="0" w:lastRowLastColumn="0"/>
            </w:pPr>
            <w:r>
              <w:t>6.5</w:t>
            </w:r>
          </w:p>
        </w:tc>
        <w:tc>
          <w:tcPr>
            <w:tcW w:w="697" w:type="pct"/>
            <w:noWrap/>
          </w:tcPr>
          <w:p w14:paraId="5DE318B2" w14:textId="5491EC21" w:rsidR="00871404" w:rsidRPr="009A6C26" w:rsidRDefault="00B32A3E" w:rsidP="003D09D7">
            <w:pPr>
              <w:spacing w:before="30" w:after="30"/>
              <w:cnfStyle w:val="000000010000" w:firstRow="0" w:lastRow="0" w:firstColumn="0" w:lastColumn="0" w:oddVBand="0" w:evenVBand="0" w:oddHBand="0" w:evenHBand="1" w:firstRowFirstColumn="0" w:firstRowLastColumn="0" w:lastRowFirstColumn="0" w:lastRowLastColumn="0"/>
            </w:pPr>
            <w:r>
              <w:t>10</w:t>
            </w:r>
          </w:p>
        </w:tc>
        <w:tc>
          <w:tcPr>
            <w:tcW w:w="697" w:type="pct"/>
            <w:noWrap/>
          </w:tcPr>
          <w:p w14:paraId="6C37567A" w14:textId="49661CCD" w:rsidR="00871404" w:rsidRPr="009A6C26" w:rsidRDefault="00B32A3E" w:rsidP="003D09D7">
            <w:pPr>
              <w:spacing w:before="30" w:after="30"/>
              <w:cnfStyle w:val="000000010000" w:firstRow="0" w:lastRow="0" w:firstColumn="0" w:lastColumn="0" w:oddVBand="0" w:evenVBand="0" w:oddHBand="0" w:evenHBand="1" w:firstRowFirstColumn="0" w:firstRowLastColumn="0" w:lastRowFirstColumn="0" w:lastRowLastColumn="0"/>
            </w:pPr>
            <w:r>
              <w:t>3.8</w:t>
            </w:r>
          </w:p>
        </w:tc>
        <w:tc>
          <w:tcPr>
            <w:tcW w:w="697" w:type="pct"/>
            <w:noWrap/>
          </w:tcPr>
          <w:p w14:paraId="21FD8327" w14:textId="6D6BC0EF" w:rsidR="00871404" w:rsidRPr="009A6C26" w:rsidRDefault="00B32A3E" w:rsidP="003D09D7">
            <w:pPr>
              <w:spacing w:before="30" w:after="30"/>
              <w:cnfStyle w:val="000000010000" w:firstRow="0" w:lastRow="0" w:firstColumn="0" w:lastColumn="0" w:oddVBand="0" w:evenVBand="0" w:oddHBand="0" w:evenHBand="1" w:firstRowFirstColumn="0" w:firstRowLastColumn="0" w:lastRowFirstColumn="0" w:lastRowLastColumn="0"/>
            </w:pPr>
            <w:r>
              <w:t>6</w:t>
            </w:r>
          </w:p>
        </w:tc>
        <w:tc>
          <w:tcPr>
            <w:tcW w:w="769" w:type="pct"/>
            <w:noWrap/>
          </w:tcPr>
          <w:p w14:paraId="159D3A53" w14:textId="59D57035" w:rsidR="00871404" w:rsidRPr="009A6C26" w:rsidRDefault="00B32A3E" w:rsidP="003D09D7">
            <w:pPr>
              <w:spacing w:before="30" w:after="30"/>
              <w:cnfStyle w:val="000000010000" w:firstRow="0" w:lastRow="0" w:firstColumn="0" w:lastColumn="0" w:oddVBand="0" w:evenVBand="0" w:oddHBand="0" w:evenHBand="1" w:firstRowFirstColumn="0" w:firstRowLastColumn="0" w:lastRowFirstColumn="0" w:lastRowLastColumn="0"/>
            </w:pPr>
            <w:r>
              <w:t>5</w:t>
            </w:r>
          </w:p>
        </w:tc>
      </w:tr>
    </w:tbl>
    <w:p w14:paraId="457EAF8A" w14:textId="0610F9FF" w:rsidR="00A63B4C" w:rsidRPr="009A6C26" w:rsidRDefault="005B5933" w:rsidP="00C0790F">
      <w:pPr>
        <w:pStyle w:val="Heading3NoNumber"/>
        <w:rPr>
          <w:rFonts w:cs="Arial"/>
        </w:rPr>
      </w:pPr>
      <w:r w:rsidRPr="009A6C26">
        <w:rPr>
          <w:rFonts w:cs="Arial"/>
        </w:rPr>
        <w:t>Staff profile</w:t>
      </w:r>
    </w:p>
    <w:p w14:paraId="4B129EF7" w14:textId="27224795" w:rsidR="00CD2791" w:rsidRPr="009A6C26" w:rsidRDefault="00CD2791" w:rsidP="006E0242">
      <w:r w:rsidRPr="009A6C26">
        <w:t xml:space="preserve">ACT Leave employed </w:t>
      </w:r>
      <w:r w:rsidR="00D07B35">
        <w:t>42.</w:t>
      </w:r>
      <w:r w:rsidR="004B1E0C">
        <w:t>8</w:t>
      </w:r>
      <w:r w:rsidRPr="009A6C26">
        <w:t xml:space="preserve"> Full Time Equivalent (FTE) </w:t>
      </w:r>
      <w:r w:rsidR="00754A19" w:rsidRPr="009A6C26">
        <w:t>p</w:t>
      </w:r>
      <w:r w:rsidRPr="009A6C26">
        <w:t>ermanent staff (with headcount of 4</w:t>
      </w:r>
      <w:r w:rsidR="00B32A3E">
        <w:t>3</w:t>
      </w:r>
      <w:r w:rsidRPr="009A6C26">
        <w:t>) as at 30 June 202</w:t>
      </w:r>
      <w:r w:rsidR="00D07B35">
        <w:t>6</w:t>
      </w:r>
      <w:r w:rsidRPr="009A6C26">
        <w:t xml:space="preserve"> with the staff profile as shown in the tables below:</w:t>
      </w:r>
    </w:p>
    <w:p w14:paraId="246941C6" w14:textId="09142AB2" w:rsidR="00CD2791" w:rsidRPr="009A6C26" w:rsidRDefault="00CD2791" w:rsidP="00FE505F">
      <w:pPr>
        <w:pStyle w:val="Heading4"/>
        <w:rPr>
          <w:rFonts w:cs="Arial"/>
        </w:rPr>
      </w:pPr>
      <w:r w:rsidRPr="009A6C26">
        <w:rPr>
          <w:rFonts w:cs="Arial"/>
        </w:rPr>
        <w:t xml:space="preserve">Full time equivalent (FTE) </w:t>
      </w:r>
      <w:r w:rsidR="00894D6E" w:rsidRPr="009A6C26">
        <w:rPr>
          <w:rFonts w:cs="Arial"/>
        </w:rPr>
        <w:t>and</w:t>
      </w:r>
      <w:r w:rsidRPr="009A6C26">
        <w:rPr>
          <w:rFonts w:cs="Arial"/>
        </w:rPr>
        <w:t xml:space="preserve"> headcount by gender</w:t>
      </w:r>
    </w:p>
    <w:tbl>
      <w:tblPr>
        <w:tblStyle w:val="ACTLeavetable"/>
        <w:tblW w:w="5000" w:type="pct"/>
        <w:tblLook w:val="04A0" w:firstRow="1" w:lastRow="0" w:firstColumn="1" w:lastColumn="0" w:noHBand="0" w:noVBand="1"/>
      </w:tblPr>
      <w:tblGrid>
        <w:gridCol w:w="3638"/>
        <w:gridCol w:w="1615"/>
        <w:gridCol w:w="1615"/>
        <w:gridCol w:w="1615"/>
        <w:gridCol w:w="1613"/>
      </w:tblGrid>
      <w:tr w:rsidR="008E6E5B" w:rsidRPr="009A6C26" w14:paraId="37839E5E" w14:textId="77777777" w:rsidTr="003D09D7">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801" w:type="pct"/>
            <w:vAlign w:val="center"/>
            <w:hideMark/>
          </w:tcPr>
          <w:p w14:paraId="750D0CD0" w14:textId="77777777" w:rsidR="00CD2791" w:rsidRPr="009A6C26" w:rsidRDefault="00CD2791" w:rsidP="003D09D7">
            <w:pPr>
              <w:spacing w:before="30" w:after="30"/>
            </w:pPr>
            <w:r w:rsidRPr="009A6C26">
              <w:t> </w:t>
            </w:r>
          </w:p>
        </w:tc>
        <w:tc>
          <w:tcPr>
            <w:tcW w:w="800" w:type="pct"/>
            <w:vAlign w:val="center"/>
            <w:hideMark/>
          </w:tcPr>
          <w:p w14:paraId="10B17722"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Female</w:t>
            </w:r>
          </w:p>
        </w:tc>
        <w:tc>
          <w:tcPr>
            <w:tcW w:w="800" w:type="pct"/>
            <w:vAlign w:val="center"/>
            <w:hideMark/>
          </w:tcPr>
          <w:p w14:paraId="033418AA"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Male</w:t>
            </w:r>
          </w:p>
        </w:tc>
        <w:tc>
          <w:tcPr>
            <w:tcW w:w="800" w:type="pct"/>
            <w:vAlign w:val="center"/>
          </w:tcPr>
          <w:p w14:paraId="00A2E5E9" w14:textId="360C6B5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Non-binary</w:t>
            </w:r>
          </w:p>
        </w:tc>
        <w:tc>
          <w:tcPr>
            <w:tcW w:w="800" w:type="pct"/>
            <w:vAlign w:val="center"/>
          </w:tcPr>
          <w:p w14:paraId="045ADF50"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Total</w:t>
            </w:r>
          </w:p>
        </w:tc>
      </w:tr>
      <w:tr w:rsidR="00AC5724" w:rsidRPr="009A6C26" w14:paraId="593E2251" w14:textId="77777777" w:rsidTr="007040D2">
        <w:trPr>
          <w:cantSplit w:val="0"/>
          <w:trHeight w:val="96"/>
        </w:trPr>
        <w:tc>
          <w:tcPr>
            <w:cnfStyle w:val="001000000000" w:firstRow="0" w:lastRow="0" w:firstColumn="1" w:lastColumn="0" w:oddVBand="0" w:evenVBand="0" w:oddHBand="0" w:evenHBand="0" w:firstRowFirstColumn="0" w:firstRowLastColumn="0" w:lastRowFirstColumn="0" w:lastRowLastColumn="0"/>
            <w:tcW w:w="1801" w:type="pct"/>
            <w:vAlign w:val="center"/>
            <w:hideMark/>
          </w:tcPr>
          <w:p w14:paraId="7E07A667" w14:textId="77777777" w:rsidR="00CD2791" w:rsidRPr="009A6C26" w:rsidRDefault="00CD2791" w:rsidP="003D09D7">
            <w:pPr>
              <w:spacing w:before="30" w:after="30"/>
            </w:pPr>
            <w:r w:rsidRPr="009A6C26">
              <w:t>FTE by gender</w:t>
            </w:r>
          </w:p>
        </w:tc>
        <w:tc>
          <w:tcPr>
            <w:tcW w:w="800" w:type="pct"/>
            <w:vAlign w:val="center"/>
            <w:hideMark/>
          </w:tcPr>
          <w:p w14:paraId="0687B2AF" w14:textId="0EC8A1D2" w:rsidR="00CD2791" w:rsidRPr="009A6C26" w:rsidRDefault="008054AD" w:rsidP="003D09D7">
            <w:pPr>
              <w:spacing w:before="30" w:after="30"/>
              <w:cnfStyle w:val="000000000000" w:firstRow="0" w:lastRow="0" w:firstColumn="0" w:lastColumn="0" w:oddVBand="0" w:evenVBand="0" w:oddHBand="0" w:evenHBand="0" w:firstRowFirstColumn="0" w:firstRowLastColumn="0" w:lastRowFirstColumn="0" w:lastRowLastColumn="0"/>
              <w:rPr>
                <w:color w:val="000000"/>
              </w:rPr>
            </w:pPr>
            <w:r>
              <w:rPr>
                <w:color w:val="000000"/>
              </w:rPr>
              <w:t>26.8</w:t>
            </w:r>
          </w:p>
        </w:tc>
        <w:tc>
          <w:tcPr>
            <w:tcW w:w="800" w:type="pct"/>
            <w:vAlign w:val="center"/>
            <w:hideMark/>
          </w:tcPr>
          <w:p w14:paraId="1EDEA164" w14:textId="7C9FB5A4" w:rsidR="00CD2791" w:rsidRPr="009A6C26" w:rsidRDefault="008054AD" w:rsidP="003D09D7">
            <w:pPr>
              <w:spacing w:before="30" w:after="30"/>
              <w:cnfStyle w:val="000000000000" w:firstRow="0" w:lastRow="0" w:firstColumn="0" w:lastColumn="0" w:oddVBand="0" w:evenVBand="0" w:oddHBand="0" w:evenHBand="0" w:firstRowFirstColumn="0" w:firstRowLastColumn="0" w:lastRowFirstColumn="0" w:lastRowLastColumn="0"/>
              <w:rPr>
                <w:color w:val="000000"/>
              </w:rPr>
            </w:pPr>
            <w:r>
              <w:t>16</w:t>
            </w:r>
            <w:r w:rsidR="00CD2791" w:rsidRPr="009A6C26">
              <w:t>.0</w:t>
            </w:r>
          </w:p>
        </w:tc>
        <w:tc>
          <w:tcPr>
            <w:tcW w:w="800" w:type="pct"/>
            <w:vAlign w:val="center"/>
          </w:tcPr>
          <w:p w14:paraId="5DE24D8C"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0.0</w:t>
            </w:r>
          </w:p>
        </w:tc>
        <w:tc>
          <w:tcPr>
            <w:tcW w:w="800" w:type="pct"/>
            <w:vAlign w:val="center"/>
          </w:tcPr>
          <w:p w14:paraId="4DC5D3FE" w14:textId="6A73261D" w:rsidR="00CD2791" w:rsidRPr="009A6C26" w:rsidRDefault="008054AD" w:rsidP="003D09D7">
            <w:pPr>
              <w:spacing w:before="30" w:after="30"/>
              <w:cnfStyle w:val="000000000000" w:firstRow="0" w:lastRow="0" w:firstColumn="0" w:lastColumn="0" w:oddVBand="0" w:evenVBand="0" w:oddHBand="0" w:evenHBand="0" w:firstRowFirstColumn="0" w:firstRowLastColumn="0" w:lastRowFirstColumn="0" w:lastRowLastColumn="0"/>
              <w:rPr>
                <w:color w:val="000000"/>
              </w:rPr>
            </w:pPr>
            <w:r>
              <w:t>42.8</w:t>
            </w:r>
          </w:p>
        </w:tc>
      </w:tr>
      <w:tr w:rsidR="00F855C4" w:rsidRPr="009A6C26" w14:paraId="763A16E3" w14:textId="77777777" w:rsidTr="007040D2">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801" w:type="pct"/>
            <w:vAlign w:val="center"/>
            <w:hideMark/>
          </w:tcPr>
          <w:p w14:paraId="15A7F43C" w14:textId="77777777" w:rsidR="00CD2791" w:rsidRPr="009A6C26" w:rsidRDefault="00CD2791" w:rsidP="003D09D7">
            <w:pPr>
              <w:spacing w:before="30" w:after="30"/>
            </w:pPr>
            <w:r w:rsidRPr="009A6C26">
              <w:t>Headcount by gender</w:t>
            </w:r>
          </w:p>
        </w:tc>
        <w:tc>
          <w:tcPr>
            <w:tcW w:w="800" w:type="pct"/>
            <w:vAlign w:val="center"/>
            <w:hideMark/>
          </w:tcPr>
          <w:p w14:paraId="67516920" w14:textId="6A021093" w:rsidR="00CD2791" w:rsidRPr="009A6C26" w:rsidRDefault="008054AD" w:rsidP="003D09D7">
            <w:pPr>
              <w:spacing w:before="30" w:after="30"/>
              <w:cnfStyle w:val="000000010000" w:firstRow="0" w:lastRow="0" w:firstColumn="0" w:lastColumn="0" w:oddVBand="0" w:evenVBand="0" w:oddHBand="0" w:evenHBand="1" w:firstRowFirstColumn="0" w:firstRowLastColumn="0" w:lastRowFirstColumn="0" w:lastRowLastColumn="0"/>
              <w:rPr>
                <w:color w:val="000000"/>
              </w:rPr>
            </w:pPr>
            <w:r>
              <w:t>27</w:t>
            </w:r>
          </w:p>
        </w:tc>
        <w:tc>
          <w:tcPr>
            <w:tcW w:w="800" w:type="pct"/>
            <w:vAlign w:val="center"/>
            <w:hideMark/>
          </w:tcPr>
          <w:p w14:paraId="393AEDD5" w14:textId="19152AFB" w:rsidR="00CD2791" w:rsidRPr="009A6C26" w:rsidRDefault="008054AD" w:rsidP="003D09D7">
            <w:pPr>
              <w:spacing w:before="30" w:after="30"/>
              <w:cnfStyle w:val="000000010000" w:firstRow="0" w:lastRow="0" w:firstColumn="0" w:lastColumn="0" w:oddVBand="0" w:evenVBand="0" w:oddHBand="0" w:evenHBand="1" w:firstRowFirstColumn="0" w:firstRowLastColumn="0" w:lastRowFirstColumn="0" w:lastRowLastColumn="0"/>
              <w:rPr>
                <w:color w:val="000000"/>
              </w:rPr>
            </w:pPr>
            <w:r>
              <w:t>16</w:t>
            </w:r>
          </w:p>
        </w:tc>
        <w:tc>
          <w:tcPr>
            <w:tcW w:w="800" w:type="pct"/>
            <w:vAlign w:val="center"/>
          </w:tcPr>
          <w:p w14:paraId="24C2CBDD" w14:textId="1EB32F20"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0</w:t>
            </w:r>
          </w:p>
        </w:tc>
        <w:tc>
          <w:tcPr>
            <w:tcW w:w="800" w:type="pct"/>
            <w:vAlign w:val="center"/>
          </w:tcPr>
          <w:p w14:paraId="60139BB3" w14:textId="091BD5D1" w:rsidR="00CD2791" w:rsidRPr="009A6C26" w:rsidRDefault="008054AD" w:rsidP="003D09D7">
            <w:pPr>
              <w:spacing w:before="30" w:after="30"/>
              <w:cnfStyle w:val="000000010000" w:firstRow="0" w:lastRow="0" w:firstColumn="0" w:lastColumn="0" w:oddVBand="0" w:evenVBand="0" w:oddHBand="0" w:evenHBand="1" w:firstRowFirstColumn="0" w:firstRowLastColumn="0" w:lastRowFirstColumn="0" w:lastRowLastColumn="0"/>
              <w:rPr>
                <w:color w:val="000000"/>
              </w:rPr>
            </w:pPr>
            <w:r>
              <w:t>43</w:t>
            </w:r>
          </w:p>
        </w:tc>
      </w:tr>
      <w:tr w:rsidR="00AC5724" w:rsidRPr="009A6C26" w14:paraId="0066CC7D" w14:textId="77777777" w:rsidTr="007040D2">
        <w:trPr>
          <w:cantSplit w:val="0"/>
          <w:trHeight w:val="96"/>
        </w:trPr>
        <w:tc>
          <w:tcPr>
            <w:cnfStyle w:val="001000000000" w:firstRow="0" w:lastRow="0" w:firstColumn="1" w:lastColumn="0" w:oddVBand="0" w:evenVBand="0" w:oddHBand="0" w:evenHBand="0" w:firstRowFirstColumn="0" w:firstRowLastColumn="0" w:lastRowFirstColumn="0" w:lastRowLastColumn="0"/>
            <w:tcW w:w="1801" w:type="pct"/>
            <w:vAlign w:val="center"/>
            <w:hideMark/>
          </w:tcPr>
          <w:p w14:paraId="6BB69104" w14:textId="77777777" w:rsidR="00CD2791" w:rsidRPr="009A6C26" w:rsidRDefault="00CD2791" w:rsidP="003D09D7">
            <w:pPr>
              <w:spacing w:before="30" w:after="30"/>
            </w:pPr>
            <w:r w:rsidRPr="009A6C26">
              <w:t>% of workforce</w:t>
            </w:r>
          </w:p>
        </w:tc>
        <w:tc>
          <w:tcPr>
            <w:tcW w:w="800" w:type="pct"/>
            <w:vAlign w:val="center"/>
            <w:hideMark/>
          </w:tcPr>
          <w:p w14:paraId="55E62516" w14:textId="59B7E0D9" w:rsidR="00CD2791" w:rsidRPr="009A6C26" w:rsidRDefault="008054AD" w:rsidP="003D09D7">
            <w:pPr>
              <w:spacing w:before="30" w:after="30"/>
              <w:cnfStyle w:val="000000000000" w:firstRow="0" w:lastRow="0" w:firstColumn="0" w:lastColumn="0" w:oddVBand="0" w:evenVBand="0" w:oddHBand="0" w:evenHBand="0" w:firstRowFirstColumn="0" w:firstRowLastColumn="0" w:lastRowFirstColumn="0" w:lastRowLastColumn="0"/>
            </w:pPr>
            <w:r>
              <w:t>62.8%</w:t>
            </w:r>
          </w:p>
        </w:tc>
        <w:tc>
          <w:tcPr>
            <w:tcW w:w="800" w:type="pct"/>
            <w:vAlign w:val="center"/>
            <w:hideMark/>
          </w:tcPr>
          <w:p w14:paraId="7929A6B6" w14:textId="534F2151" w:rsidR="00CD2791" w:rsidRPr="009A6C26" w:rsidRDefault="008054AD" w:rsidP="003D09D7">
            <w:pPr>
              <w:spacing w:before="30" w:after="30"/>
              <w:cnfStyle w:val="000000000000" w:firstRow="0" w:lastRow="0" w:firstColumn="0" w:lastColumn="0" w:oddVBand="0" w:evenVBand="0" w:oddHBand="0" w:evenHBand="0" w:firstRowFirstColumn="0" w:firstRowLastColumn="0" w:lastRowFirstColumn="0" w:lastRowLastColumn="0"/>
            </w:pPr>
            <w:r>
              <w:t>37.2%</w:t>
            </w:r>
          </w:p>
        </w:tc>
        <w:tc>
          <w:tcPr>
            <w:tcW w:w="800" w:type="pct"/>
            <w:vAlign w:val="center"/>
          </w:tcPr>
          <w:p w14:paraId="4DED9FA2"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0.0%</w:t>
            </w:r>
          </w:p>
        </w:tc>
        <w:tc>
          <w:tcPr>
            <w:tcW w:w="800" w:type="pct"/>
            <w:vAlign w:val="center"/>
          </w:tcPr>
          <w:p w14:paraId="3011EC15"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100%</w:t>
            </w:r>
          </w:p>
        </w:tc>
      </w:tr>
    </w:tbl>
    <w:p w14:paraId="4BD4B26E" w14:textId="77777777" w:rsidR="00853ACF" w:rsidRDefault="00853ACF" w:rsidP="00FE505F">
      <w:pPr>
        <w:pStyle w:val="Heading4"/>
        <w:rPr>
          <w:rFonts w:cs="Arial"/>
        </w:rPr>
      </w:pPr>
    </w:p>
    <w:p w14:paraId="305C5BD1" w14:textId="77777777" w:rsidR="00853ACF" w:rsidRDefault="00853ACF">
      <w:pPr>
        <w:spacing w:before="120" w:after="120" w:line="240" w:lineRule="auto"/>
        <w:rPr>
          <w:rFonts w:ascii="Arial" w:eastAsiaTheme="majorEastAsia" w:hAnsi="Arial" w:cs="Arial"/>
          <w:b/>
          <w:iCs/>
          <w:lang w:val="en-AU" w:eastAsia="en-US"/>
        </w:rPr>
      </w:pPr>
      <w:r>
        <w:rPr>
          <w:rFonts w:cs="Arial"/>
        </w:rPr>
        <w:br w:type="page"/>
      </w:r>
    </w:p>
    <w:p w14:paraId="5DD75399" w14:textId="39CE09D7" w:rsidR="00CD2791" w:rsidRPr="009A6C26" w:rsidRDefault="00CD2791" w:rsidP="00FE505F">
      <w:pPr>
        <w:pStyle w:val="Heading4"/>
        <w:rPr>
          <w:rFonts w:cs="Arial"/>
        </w:rPr>
      </w:pPr>
      <w:r w:rsidRPr="009A6C26">
        <w:rPr>
          <w:rFonts w:cs="Arial"/>
        </w:rPr>
        <w:lastRenderedPageBreak/>
        <w:t>Headcount by classification and gender</w:t>
      </w:r>
    </w:p>
    <w:tbl>
      <w:tblPr>
        <w:tblStyle w:val="ACTLeavetable"/>
        <w:tblW w:w="5021" w:type="pct"/>
        <w:tblLook w:val="04A0" w:firstRow="1" w:lastRow="0" w:firstColumn="1" w:lastColumn="0" w:noHBand="0" w:noVBand="1"/>
      </w:tblPr>
      <w:tblGrid>
        <w:gridCol w:w="3600"/>
        <w:gridCol w:w="1635"/>
        <w:gridCol w:w="1635"/>
        <w:gridCol w:w="1634"/>
        <w:gridCol w:w="1634"/>
      </w:tblGrid>
      <w:tr w:rsidR="00AC5724" w:rsidRPr="009A6C26" w14:paraId="0195D81A" w14:textId="77777777" w:rsidTr="007040D2">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hideMark/>
          </w:tcPr>
          <w:p w14:paraId="28AF0CC5" w14:textId="77777777" w:rsidR="00CD2791" w:rsidRPr="009A6C26" w:rsidRDefault="00CD2791" w:rsidP="003D09D7">
            <w:pPr>
              <w:spacing w:before="30" w:after="30"/>
            </w:pPr>
            <w:r w:rsidRPr="009A6C26">
              <w:t>Classification group</w:t>
            </w:r>
          </w:p>
        </w:tc>
        <w:tc>
          <w:tcPr>
            <w:tcW w:w="806" w:type="pct"/>
            <w:vAlign w:val="center"/>
            <w:hideMark/>
          </w:tcPr>
          <w:p w14:paraId="5E89A287"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Female</w:t>
            </w:r>
          </w:p>
        </w:tc>
        <w:tc>
          <w:tcPr>
            <w:tcW w:w="806" w:type="pct"/>
            <w:vAlign w:val="center"/>
            <w:hideMark/>
          </w:tcPr>
          <w:p w14:paraId="612D0163"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Male</w:t>
            </w:r>
          </w:p>
        </w:tc>
        <w:tc>
          <w:tcPr>
            <w:tcW w:w="806" w:type="pct"/>
            <w:vAlign w:val="center"/>
          </w:tcPr>
          <w:p w14:paraId="169B25D5"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Non-binary</w:t>
            </w:r>
          </w:p>
        </w:tc>
        <w:tc>
          <w:tcPr>
            <w:tcW w:w="806" w:type="pct"/>
            <w:vAlign w:val="center"/>
            <w:hideMark/>
          </w:tcPr>
          <w:p w14:paraId="59072150"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Total</w:t>
            </w:r>
          </w:p>
        </w:tc>
      </w:tr>
      <w:tr w:rsidR="00CD2791" w:rsidRPr="009A6C26" w14:paraId="14A86BC7" w14:textId="77777777" w:rsidTr="007040D2">
        <w:trPr>
          <w:cantSplit w:val="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hideMark/>
          </w:tcPr>
          <w:p w14:paraId="6C900F58" w14:textId="77777777" w:rsidR="00CD2791" w:rsidRPr="009A6C26" w:rsidRDefault="00CD2791" w:rsidP="00230A09">
            <w:pPr>
              <w:spacing w:before="30" w:after="30"/>
              <w:jc w:val="both"/>
            </w:pPr>
            <w:r w:rsidRPr="009A6C26">
              <w:t>Administrative Officers</w:t>
            </w:r>
          </w:p>
        </w:tc>
        <w:tc>
          <w:tcPr>
            <w:tcW w:w="806" w:type="pct"/>
            <w:vAlign w:val="center"/>
            <w:hideMark/>
          </w:tcPr>
          <w:p w14:paraId="6DA9A21F" w14:textId="0688C6FC" w:rsidR="00CD2791" w:rsidRPr="009A6C26" w:rsidRDefault="003928C1" w:rsidP="003D09D7">
            <w:pPr>
              <w:spacing w:before="30" w:after="30"/>
              <w:cnfStyle w:val="000000000000" w:firstRow="0" w:lastRow="0" w:firstColumn="0" w:lastColumn="0" w:oddVBand="0" w:evenVBand="0" w:oddHBand="0" w:evenHBand="0" w:firstRowFirstColumn="0" w:firstRowLastColumn="0" w:lastRowFirstColumn="0" w:lastRowLastColumn="0"/>
              <w:rPr>
                <w:color w:val="000000"/>
              </w:rPr>
            </w:pPr>
            <w:r>
              <w:t>21</w:t>
            </w:r>
          </w:p>
        </w:tc>
        <w:tc>
          <w:tcPr>
            <w:tcW w:w="806" w:type="pct"/>
            <w:vAlign w:val="center"/>
            <w:hideMark/>
          </w:tcPr>
          <w:p w14:paraId="1FBD6E15" w14:textId="1692A4F9" w:rsidR="00CD2791" w:rsidRPr="009A6C26" w:rsidRDefault="003928C1" w:rsidP="003D09D7">
            <w:pPr>
              <w:spacing w:before="30" w:after="30"/>
              <w:cnfStyle w:val="000000000000" w:firstRow="0" w:lastRow="0" w:firstColumn="0" w:lastColumn="0" w:oddVBand="0" w:evenVBand="0" w:oddHBand="0" w:evenHBand="0" w:firstRowFirstColumn="0" w:firstRowLastColumn="0" w:lastRowFirstColumn="0" w:lastRowLastColumn="0"/>
              <w:rPr>
                <w:color w:val="000000"/>
              </w:rPr>
            </w:pPr>
            <w:r>
              <w:t>13</w:t>
            </w:r>
          </w:p>
        </w:tc>
        <w:tc>
          <w:tcPr>
            <w:tcW w:w="806" w:type="pct"/>
            <w:vAlign w:val="center"/>
          </w:tcPr>
          <w:p w14:paraId="4134E7FB"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w:t>
            </w:r>
          </w:p>
        </w:tc>
        <w:tc>
          <w:tcPr>
            <w:tcW w:w="806" w:type="pct"/>
            <w:vAlign w:val="center"/>
            <w:hideMark/>
          </w:tcPr>
          <w:p w14:paraId="25B4658C" w14:textId="3F14575A" w:rsidR="00CD2791" w:rsidRPr="009A6C26" w:rsidRDefault="003928C1" w:rsidP="003D09D7">
            <w:pPr>
              <w:spacing w:before="30" w:after="30"/>
              <w:cnfStyle w:val="000000000000" w:firstRow="0" w:lastRow="0" w:firstColumn="0" w:lastColumn="0" w:oddVBand="0" w:evenVBand="0" w:oddHBand="0" w:evenHBand="0" w:firstRowFirstColumn="0" w:firstRowLastColumn="0" w:lastRowFirstColumn="0" w:lastRowLastColumn="0"/>
              <w:rPr>
                <w:color w:val="000000"/>
              </w:rPr>
            </w:pPr>
            <w:r>
              <w:t>34</w:t>
            </w:r>
          </w:p>
        </w:tc>
      </w:tr>
      <w:tr w:rsidR="0052478D" w:rsidRPr="009A6C26" w14:paraId="65FDC301" w14:textId="77777777" w:rsidTr="007040D2">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hideMark/>
          </w:tcPr>
          <w:p w14:paraId="1C3B6273" w14:textId="77777777" w:rsidR="00CD2791" w:rsidRPr="009A6C26" w:rsidRDefault="00CD2791" w:rsidP="003D09D7">
            <w:pPr>
              <w:spacing w:before="30" w:after="30"/>
            </w:pPr>
            <w:r w:rsidRPr="009A6C26">
              <w:t>Senior Officers</w:t>
            </w:r>
          </w:p>
        </w:tc>
        <w:tc>
          <w:tcPr>
            <w:tcW w:w="806" w:type="pct"/>
            <w:vAlign w:val="center"/>
            <w:hideMark/>
          </w:tcPr>
          <w:p w14:paraId="2D3C8F40" w14:textId="77777777"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5</w:t>
            </w:r>
          </w:p>
        </w:tc>
        <w:tc>
          <w:tcPr>
            <w:tcW w:w="806" w:type="pct"/>
            <w:vAlign w:val="center"/>
            <w:hideMark/>
          </w:tcPr>
          <w:p w14:paraId="075049F1" w14:textId="77777777"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3</w:t>
            </w:r>
          </w:p>
        </w:tc>
        <w:tc>
          <w:tcPr>
            <w:tcW w:w="806" w:type="pct"/>
            <w:vAlign w:val="center"/>
          </w:tcPr>
          <w:p w14:paraId="2E31652A" w14:textId="77777777"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0</w:t>
            </w:r>
          </w:p>
        </w:tc>
        <w:tc>
          <w:tcPr>
            <w:tcW w:w="806" w:type="pct"/>
            <w:vAlign w:val="center"/>
            <w:hideMark/>
          </w:tcPr>
          <w:p w14:paraId="3802C217" w14:textId="77777777"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8</w:t>
            </w:r>
          </w:p>
        </w:tc>
      </w:tr>
      <w:tr w:rsidR="00CD2791" w:rsidRPr="009A6C26" w14:paraId="166419FE" w14:textId="77777777" w:rsidTr="007040D2">
        <w:trPr>
          <w:cantSplit w:val="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tcPr>
          <w:p w14:paraId="1E55AAB3" w14:textId="77777777" w:rsidR="00CD2791" w:rsidRPr="009A6C26" w:rsidRDefault="00CD2791" w:rsidP="003D09D7">
            <w:pPr>
              <w:spacing w:before="30" w:after="30"/>
            </w:pPr>
            <w:r w:rsidRPr="009A6C26">
              <w:t>Executive Officers</w:t>
            </w:r>
          </w:p>
        </w:tc>
        <w:tc>
          <w:tcPr>
            <w:tcW w:w="806" w:type="pct"/>
            <w:vAlign w:val="center"/>
          </w:tcPr>
          <w:p w14:paraId="57824BF3"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1</w:t>
            </w:r>
          </w:p>
        </w:tc>
        <w:tc>
          <w:tcPr>
            <w:tcW w:w="806" w:type="pct"/>
            <w:vAlign w:val="center"/>
          </w:tcPr>
          <w:p w14:paraId="3CA88896"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w:t>
            </w:r>
          </w:p>
        </w:tc>
        <w:tc>
          <w:tcPr>
            <w:tcW w:w="806" w:type="pct"/>
            <w:vAlign w:val="center"/>
          </w:tcPr>
          <w:p w14:paraId="288CBE22"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w:t>
            </w:r>
          </w:p>
        </w:tc>
        <w:tc>
          <w:tcPr>
            <w:tcW w:w="806" w:type="pct"/>
            <w:vAlign w:val="center"/>
          </w:tcPr>
          <w:p w14:paraId="3A66D773"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1</w:t>
            </w:r>
          </w:p>
        </w:tc>
      </w:tr>
      <w:tr w:rsidR="0052478D" w:rsidRPr="009A6C26" w14:paraId="4F50454B" w14:textId="77777777" w:rsidTr="007040D2">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hideMark/>
          </w:tcPr>
          <w:p w14:paraId="1945D621" w14:textId="77777777" w:rsidR="00CD2791" w:rsidRPr="009A6C26" w:rsidRDefault="00CD2791" w:rsidP="003D09D7">
            <w:pPr>
              <w:spacing w:before="30" w:after="30"/>
            </w:pPr>
            <w:r w:rsidRPr="009A6C26">
              <w:t>Total</w:t>
            </w:r>
          </w:p>
        </w:tc>
        <w:tc>
          <w:tcPr>
            <w:tcW w:w="806" w:type="pct"/>
            <w:vAlign w:val="center"/>
            <w:hideMark/>
          </w:tcPr>
          <w:p w14:paraId="273473F3" w14:textId="4A561ADF" w:rsidR="00CD2791" w:rsidRPr="009A6C26" w:rsidRDefault="00DC667C" w:rsidP="003D09D7">
            <w:pPr>
              <w:spacing w:before="30" w:after="30"/>
              <w:cnfStyle w:val="000000010000" w:firstRow="0" w:lastRow="0" w:firstColumn="0" w:lastColumn="0" w:oddVBand="0" w:evenVBand="0" w:oddHBand="0" w:evenHBand="1" w:firstRowFirstColumn="0" w:firstRowLastColumn="0" w:lastRowFirstColumn="0" w:lastRowLastColumn="0"/>
              <w:rPr>
                <w:color w:val="000000"/>
              </w:rPr>
            </w:pPr>
            <w:r>
              <w:t>27</w:t>
            </w:r>
          </w:p>
        </w:tc>
        <w:tc>
          <w:tcPr>
            <w:tcW w:w="806" w:type="pct"/>
            <w:vAlign w:val="center"/>
            <w:hideMark/>
          </w:tcPr>
          <w:p w14:paraId="22510174" w14:textId="3D92C6A9" w:rsidR="00CD2791" w:rsidRPr="009A6C26" w:rsidRDefault="00DC667C" w:rsidP="003D09D7">
            <w:pPr>
              <w:spacing w:before="30" w:after="30"/>
              <w:cnfStyle w:val="000000010000" w:firstRow="0" w:lastRow="0" w:firstColumn="0" w:lastColumn="0" w:oddVBand="0" w:evenVBand="0" w:oddHBand="0" w:evenHBand="1" w:firstRowFirstColumn="0" w:firstRowLastColumn="0" w:lastRowFirstColumn="0" w:lastRowLastColumn="0"/>
              <w:rPr>
                <w:color w:val="000000"/>
              </w:rPr>
            </w:pPr>
            <w:r>
              <w:t>16</w:t>
            </w:r>
          </w:p>
        </w:tc>
        <w:tc>
          <w:tcPr>
            <w:tcW w:w="806" w:type="pct"/>
            <w:vAlign w:val="center"/>
          </w:tcPr>
          <w:p w14:paraId="18B18042" w14:textId="77777777"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0</w:t>
            </w:r>
          </w:p>
        </w:tc>
        <w:tc>
          <w:tcPr>
            <w:tcW w:w="806" w:type="pct"/>
            <w:vAlign w:val="center"/>
            <w:hideMark/>
          </w:tcPr>
          <w:p w14:paraId="6C921188" w14:textId="0C1B56FA" w:rsidR="00CD2791" w:rsidRPr="009A6C26" w:rsidRDefault="00DC667C" w:rsidP="003D09D7">
            <w:pPr>
              <w:spacing w:before="30" w:after="30"/>
              <w:cnfStyle w:val="000000010000" w:firstRow="0" w:lastRow="0" w:firstColumn="0" w:lastColumn="0" w:oddVBand="0" w:evenVBand="0" w:oddHBand="0" w:evenHBand="1" w:firstRowFirstColumn="0" w:firstRowLastColumn="0" w:lastRowFirstColumn="0" w:lastRowLastColumn="0"/>
              <w:rPr>
                <w:color w:val="000000"/>
              </w:rPr>
            </w:pPr>
            <w:r>
              <w:t>43</w:t>
            </w:r>
          </w:p>
        </w:tc>
      </w:tr>
    </w:tbl>
    <w:p w14:paraId="2BAAEDAB" w14:textId="7F8F5599" w:rsidR="00CD2791" w:rsidRPr="009A6C26" w:rsidRDefault="00CD2791" w:rsidP="00FE505F">
      <w:pPr>
        <w:pStyle w:val="Heading4"/>
        <w:rPr>
          <w:rFonts w:cs="Arial"/>
        </w:rPr>
      </w:pPr>
      <w:r w:rsidRPr="009A6C26">
        <w:rPr>
          <w:rFonts w:cs="Arial"/>
        </w:rPr>
        <w:t>Headcount by employment category and gender</w:t>
      </w:r>
    </w:p>
    <w:tbl>
      <w:tblPr>
        <w:tblStyle w:val="ACTLeavetable"/>
        <w:tblW w:w="5021" w:type="pct"/>
        <w:tblLook w:val="04A0" w:firstRow="1" w:lastRow="0" w:firstColumn="1" w:lastColumn="0" w:noHBand="0" w:noVBand="1"/>
      </w:tblPr>
      <w:tblGrid>
        <w:gridCol w:w="3600"/>
        <w:gridCol w:w="1635"/>
        <w:gridCol w:w="1635"/>
        <w:gridCol w:w="1634"/>
        <w:gridCol w:w="1634"/>
      </w:tblGrid>
      <w:tr w:rsidR="00E7432B" w:rsidRPr="009A6C26" w14:paraId="1CC30057" w14:textId="77777777" w:rsidTr="00487998">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hideMark/>
          </w:tcPr>
          <w:p w14:paraId="3C6783DD" w14:textId="77777777" w:rsidR="00E7432B" w:rsidRPr="009A6C26" w:rsidRDefault="00E7432B" w:rsidP="00487998">
            <w:pPr>
              <w:spacing w:before="30" w:after="30"/>
            </w:pPr>
            <w:r w:rsidRPr="009A6C26">
              <w:t>Classification group</w:t>
            </w:r>
          </w:p>
        </w:tc>
        <w:tc>
          <w:tcPr>
            <w:tcW w:w="806" w:type="pct"/>
            <w:vAlign w:val="center"/>
            <w:hideMark/>
          </w:tcPr>
          <w:p w14:paraId="6A3A9B69" w14:textId="77777777" w:rsidR="00E7432B" w:rsidRPr="009A6C26" w:rsidRDefault="00E7432B" w:rsidP="00487998">
            <w:pPr>
              <w:spacing w:before="30" w:after="30"/>
              <w:cnfStyle w:val="100000000000" w:firstRow="1" w:lastRow="0" w:firstColumn="0" w:lastColumn="0" w:oddVBand="0" w:evenVBand="0" w:oddHBand="0" w:evenHBand="0" w:firstRowFirstColumn="0" w:firstRowLastColumn="0" w:lastRowFirstColumn="0" w:lastRowLastColumn="0"/>
            </w:pPr>
            <w:r w:rsidRPr="009A6C26">
              <w:t>Female</w:t>
            </w:r>
          </w:p>
        </w:tc>
        <w:tc>
          <w:tcPr>
            <w:tcW w:w="806" w:type="pct"/>
            <w:vAlign w:val="center"/>
            <w:hideMark/>
          </w:tcPr>
          <w:p w14:paraId="6568FB16" w14:textId="77777777" w:rsidR="00E7432B" w:rsidRPr="009A6C26" w:rsidRDefault="00E7432B" w:rsidP="00487998">
            <w:pPr>
              <w:spacing w:before="30" w:after="30"/>
              <w:cnfStyle w:val="100000000000" w:firstRow="1" w:lastRow="0" w:firstColumn="0" w:lastColumn="0" w:oddVBand="0" w:evenVBand="0" w:oddHBand="0" w:evenHBand="0" w:firstRowFirstColumn="0" w:firstRowLastColumn="0" w:lastRowFirstColumn="0" w:lastRowLastColumn="0"/>
            </w:pPr>
            <w:r w:rsidRPr="009A6C26">
              <w:t>Male</w:t>
            </w:r>
          </w:p>
        </w:tc>
        <w:tc>
          <w:tcPr>
            <w:tcW w:w="806" w:type="pct"/>
            <w:vAlign w:val="center"/>
          </w:tcPr>
          <w:p w14:paraId="07756312" w14:textId="77777777" w:rsidR="00E7432B" w:rsidRPr="009A6C26" w:rsidRDefault="00E7432B" w:rsidP="00487998">
            <w:pPr>
              <w:spacing w:before="30" w:after="30"/>
              <w:cnfStyle w:val="100000000000" w:firstRow="1" w:lastRow="0" w:firstColumn="0" w:lastColumn="0" w:oddVBand="0" w:evenVBand="0" w:oddHBand="0" w:evenHBand="0" w:firstRowFirstColumn="0" w:firstRowLastColumn="0" w:lastRowFirstColumn="0" w:lastRowLastColumn="0"/>
            </w:pPr>
            <w:r w:rsidRPr="009A6C26">
              <w:t>Non-binary</w:t>
            </w:r>
          </w:p>
        </w:tc>
        <w:tc>
          <w:tcPr>
            <w:tcW w:w="806" w:type="pct"/>
            <w:vAlign w:val="center"/>
            <w:hideMark/>
          </w:tcPr>
          <w:p w14:paraId="3D66687B" w14:textId="77777777" w:rsidR="00E7432B" w:rsidRPr="009A6C26" w:rsidRDefault="00E7432B" w:rsidP="00487998">
            <w:pPr>
              <w:spacing w:before="30" w:after="30"/>
              <w:cnfStyle w:val="100000000000" w:firstRow="1" w:lastRow="0" w:firstColumn="0" w:lastColumn="0" w:oddVBand="0" w:evenVBand="0" w:oddHBand="0" w:evenHBand="0" w:firstRowFirstColumn="0" w:firstRowLastColumn="0" w:lastRowFirstColumn="0" w:lastRowLastColumn="0"/>
            </w:pPr>
            <w:r w:rsidRPr="009A6C26">
              <w:t>Total</w:t>
            </w:r>
          </w:p>
        </w:tc>
      </w:tr>
      <w:tr w:rsidR="00E7432B" w:rsidRPr="009A6C26" w14:paraId="7FB4B42B" w14:textId="77777777" w:rsidTr="00E7432B">
        <w:trPr>
          <w:cantSplit w:val="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tcPr>
          <w:p w14:paraId="7FF0D248" w14:textId="1FD38B81" w:rsidR="00E7432B" w:rsidRPr="009A6C26" w:rsidRDefault="00E7432B" w:rsidP="00487998">
            <w:pPr>
              <w:spacing w:before="30" w:after="30"/>
              <w:jc w:val="both"/>
            </w:pPr>
            <w:r>
              <w:t>Casual</w:t>
            </w:r>
          </w:p>
        </w:tc>
        <w:tc>
          <w:tcPr>
            <w:tcW w:w="806" w:type="pct"/>
            <w:vAlign w:val="center"/>
          </w:tcPr>
          <w:p w14:paraId="54C01BB3" w14:textId="2929FEA6" w:rsidR="00E7432B" w:rsidRPr="009A6C26" w:rsidRDefault="00E7432B" w:rsidP="00487998">
            <w:pPr>
              <w:spacing w:before="30" w:after="30"/>
              <w:cnfStyle w:val="000000000000" w:firstRow="0" w:lastRow="0" w:firstColumn="0" w:lastColumn="0" w:oddVBand="0" w:evenVBand="0" w:oddHBand="0" w:evenHBand="0" w:firstRowFirstColumn="0" w:firstRowLastColumn="0" w:lastRowFirstColumn="0" w:lastRowLastColumn="0"/>
              <w:rPr>
                <w:color w:val="000000"/>
              </w:rPr>
            </w:pPr>
            <w:r>
              <w:rPr>
                <w:color w:val="000000"/>
              </w:rPr>
              <w:t>0</w:t>
            </w:r>
          </w:p>
        </w:tc>
        <w:tc>
          <w:tcPr>
            <w:tcW w:w="806" w:type="pct"/>
            <w:vAlign w:val="center"/>
          </w:tcPr>
          <w:p w14:paraId="68F3927E" w14:textId="75BCFDE6" w:rsidR="00E7432B" w:rsidRPr="009A6C26" w:rsidRDefault="00E7432B" w:rsidP="00487998">
            <w:pPr>
              <w:spacing w:before="30" w:after="30"/>
              <w:cnfStyle w:val="000000000000" w:firstRow="0" w:lastRow="0" w:firstColumn="0" w:lastColumn="0" w:oddVBand="0" w:evenVBand="0" w:oddHBand="0" w:evenHBand="0" w:firstRowFirstColumn="0" w:firstRowLastColumn="0" w:lastRowFirstColumn="0" w:lastRowLastColumn="0"/>
              <w:rPr>
                <w:color w:val="000000"/>
              </w:rPr>
            </w:pPr>
            <w:r>
              <w:rPr>
                <w:color w:val="000000"/>
              </w:rPr>
              <w:t>0</w:t>
            </w:r>
          </w:p>
        </w:tc>
        <w:tc>
          <w:tcPr>
            <w:tcW w:w="806" w:type="pct"/>
            <w:vAlign w:val="center"/>
          </w:tcPr>
          <w:p w14:paraId="6347DE43" w14:textId="20CD2D8E" w:rsidR="00E7432B" w:rsidRPr="009A6C26" w:rsidRDefault="00E7432B" w:rsidP="00487998">
            <w:pPr>
              <w:spacing w:before="30" w:after="30"/>
              <w:cnfStyle w:val="000000000000" w:firstRow="0" w:lastRow="0" w:firstColumn="0" w:lastColumn="0" w:oddVBand="0" w:evenVBand="0" w:oddHBand="0" w:evenHBand="0" w:firstRowFirstColumn="0" w:firstRowLastColumn="0" w:lastRowFirstColumn="0" w:lastRowLastColumn="0"/>
            </w:pPr>
            <w:r>
              <w:t>0</w:t>
            </w:r>
          </w:p>
        </w:tc>
        <w:tc>
          <w:tcPr>
            <w:tcW w:w="806" w:type="pct"/>
            <w:vAlign w:val="center"/>
          </w:tcPr>
          <w:p w14:paraId="57269F28" w14:textId="7516CA48" w:rsidR="00E7432B" w:rsidRPr="009A6C26" w:rsidRDefault="00E7432B" w:rsidP="00487998">
            <w:pPr>
              <w:spacing w:before="30" w:after="30"/>
              <w:cnfStyle w:val="000000000000" w:firstRow="0" w:lastRow="0" w:firstColumn="0" w:lastColumn="0" w:oddVBand="0" w:evenVBand="0" w:oddHBand="0" w:evenHBand="0" w:firstRowFirstColumn="0" w:firstRowLastColumn="0" w:lastRowFirstColumn="0" w:lastRowLastColumn="0"/>
              <w:rPr>
                <w:color w:val="000000"/>
              </w:rPr>
            </w:pPr>
            <w:r>
              <w:rPr>
                <w:color w:val="000000"/>
              </w:rPr>
              <w:t>0</w:t>
            </w:r>
          </w:p>
        </w:tc>
      </w:tr>
      <w:tr w:rsidR="00E7432B" w:rsidRPr="009A6C26" w14:paraId="7983AF04" w14:textId="77777777" w:rsidTr="00E7432B">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tcPr>
          <w:p w14:paraId="5270D260" w14:textId="388D3E19" w:rsidR="00E7432B" w:rsidRPr="009A6C26" w:rsidRDefault="00E7432B" w:rsidP="00487998">
            <w:pPr>
              <w:spacing w:before="30" w:after="30"/>
            </w:pPr>
            <w:r w:rsidRPr="009A6C26">
              <w:t>Permanent full time</w:t>
            </w:r>
          </w:p>
        </w:tc>
        <w:tc>
          <w:tcPr>
            <w:tcW w:w="806" w:type="pct"/>
            <w:vAlign w:val="center"/>
          </w:tcPr>
          <w:p w14:paraId="4D439759" w14:textId="65856140" w:rsidR="00E7432B" w:rsidRPr="009A6C26" w:rsidRDefault="00E7432B" w:rsidP="00487998">
            <w:pPr>
              <w:spacing w:before="30" w:after="30"/>
              <w:cnfStyle w:val="000000010000" w:firstRow="0" w:lastRow="0" w:firstColumn="0" w:lastColumn="0" w:oddVBand="0" w:evenVBand="0" w:oddHBand="0" w:evenHBand="1" w:firstRowFirstColumn="0" w:firstRowLastColumn="0" w:lastRowFirstColumn="0" w:lastRowLastColumn="0"/>
            </w:pPr>
            <w:r>
              <w:t>21</w:t>
            </w:r>
          </w:p>
        </w:tc>
        <w:tc>
          <w:tcPr>
            <w:tcW w:w="806" w:type="pct"/>
            <w:vAlign w:val="center"/>
          </w:tcPr>
          <w:p w14:paraId="35120F71" w14:textId="4140CF9B" w:rsidR="00E7432B" w:rsidRPr="009A6C26" w:rsidRDefault="00E7432B" w:rsidP="00487998">
            <w:pPr>
              <w:spacing w:before="30" w:after="30"/>
              <w:cnfStyle w:val="000000010000" w:firstRow="0" w:lastRow="0" w:firstColumn="0" w:lastColumn="0" w:oddVBand="0" w:evenVBand="0" w:oddHBand="0" w:evenHBand="1" w:firstRowFirstColumn="0" w:firstRowLastColumn="0" w:lastRowFirstColumn="0" w:lastRowLastColumn="0"/>
            </w:pPr>
            <w:r>
              <w:t>12</w:t>
            </w:r>
          </w:p>
        </w:tc>
        <w:tc>
          <w:tcPr>
            <w:tcW w:w="806" w:type="pct"/>
            <w:vAlign w:val="center"/>
          </w:tcPr>
          <w:p w14:paraId="10E7414A" w14:textId="7A596C09" w:rsidR="00E7432B" w:rsidRPr="009A6C26" w:rsidRDefault="00E7432B" w:rsidP="00487998">
            <w:pPr>
              <w:spacing w:before="30" w:after="30"/>
              <w:cnfStyle w:val="000000010000" w:firstRow="0" w:lastRow="0" w:firstColumn="0" w:lastColumn="0" w:oddVBand="0" w:evenVBand="0" w:oddHBand="0" w:evenHBand="1" w:firstRowFirstColumn="0" w:firstRowLastColumn="0" w:lastRowFirstColumn="0" w:lastRowLastColumn="0"/>
            </w:pPr>
            <w:r>
              <w:t>0</w:t>
            </w:r>
          </w:p>
        </w:tc>
        <w:tc>
          <w:tcPr>
            <w:tcW w:w="806" w:type="pct"/>
            <w:vAlign w:val="center"/>
          </w:tcPr>
          <w:p w14:paraId="12C06231" w14:textId="7099AFFF" w:rsidR="00E7432B" w:rsidRPr="009A6C26" w:rsidRDefault="00E7432B" w:rsidP="00487998">
            <w:pPr>
              <w:spacing w:before="30" w:after="30"/>
              <w:cnfStyle w:val="000000010000" w:firstRow="0" w:lastRow="0" w:firstColumn="0" w:lastColumn="0" w:oddVBand="0" w:evenVBand="0" w:oddHBand="0" w:evenHBand="1" w:firstRowFirstColumn="0" w:firstRowLastColumn="0" w:lastRowFirstColumn="0" w:lastRowLastColumn="0"/>
            </w:pPr>
            <w:r>
              <w:t>33</w:t>
            </w:r>
          </w:p>
        </w:tc>
      </w:tr>
      <w:tr w:rsidR="00E7432B" w:rsidRPr="009A6C26" w14:paraId="72647041" w14:textId="77777777" w:rsidTr="00487998">
        <w:trPr>
          <w:cantSplit w:val="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tcPr>
          <w:p w14:paraId="4BDE15A7" w14:textId="6358C245" w:rsidR="00E7432B" w:rsidRPr="009A6C26" w:rsidRDefault="00E7432B" w:rsidP="00487998">
            <w:pPr>
              <w:spacing w:before="30" w:after="30"/>
            </w:pPr>
            <w:r w:rsidRPr="009A6C26">
              <w:t>Permanent part time</w:t>
            </w:r>
          </w:p>
        </w:tc>
        <w:tc>
          <w:tcPr>
            <w:tcW w:w="806" w:type="pct"/>
            <w:vAlign w:val="center"/>
          </w:tcPr>
          <w:p w14:paraId="21F18269" w14:textId="48F0BE6C" w:rsidR="00E7432B" w:rsidRPr="009A6C26" w:rsidRDefault="00E7432B" w:rsidP="00487998">
            <w:pPr>
              <w:spacing w:before="30" w:after="30"/>
              <w:cnfStyle w:val="000000000000" w:firstRow="0" w:lastRow="0" w:firstColumn="0" w:lastColumn="0" w:oddVBand="0" w:evenVBand="0" w:oddHBand="0" w:evenHBand="0" w:firstRowFirstColumn="0" w:firstRowLastColumn="0" w:lastRowFirstColumn="0" w:lastRowLastColumn="0"/>
            </w:pPr>
            <w:r>
              <w:t>1</w:t>
            </w:r>
          </w:p>
        </w:tc>
        <w:tc>
          <w:tcPr>
            <w:tcW w:w="806" w:type="pct"/>
            <w:vAlign w:val="center"/>
          </w:tcPr>
          <w:p w14:paraId="4924A859" w14:textId="6E6938C2" w:rsidR="00E7432B" w:rsidRPr="009A6C26" w:rsidRDefault="00E7432B" w:rsidP="00487998">
            <w:pPr>
              <w:spacing w:before="30" w:after="30"/>
              <w:cnfStyle w:val="000000000000" w:firstRow="0" w:lastRow="0" w:firstColumn="0" w:lastColumn="0" w:oddVBand="0" w:evenVBand="0" w:oddHBand="0" w:evenHBand="0" w:firstRowFirstColumn="0" w:firstRowLastColumn="0" w:lastRowFirstColumn="0" w:lastRowLastColumn="0"/>
            </w:pPr>
            <w:r>
              <w:t>1</w:t>
            </w:r>
          </w:p>
        </w:tc>
        <w:tc>
          <w:tcPr>
            <w:tcW w:w="806" w:type="pct"/>
            <w:vAlign w:val="center"/>
          </w:tcPr>
          <w:p w14:paraId="1E5B2CA2" w14:textId="53929219" w:rsidR="00E7432B" w:rsidRPr="009A6C26" w:rsidRDefault="00E7432B" w:rsidP="00487998">
            <w:pPr>
              <w:spacing w:before="30" w:after="30"/>
              <w:cnfStyle w:val="000000000000" w:firstRow="0" w:lastRow="0" w:firstColumn="0" w:lastColumn="0" w:oddVBand="0" w:evenVBand="0" w:oddHBand="0" w:evenHBand="0" w:firstRowFirstColumn="0" w:firstRowLastColumn="0" w:lastRowFirstColumn="0" w:lastRowLastColumn="0"/>
            </w:pPr>
            <w:r>
              <w:t>0</w:t>
            </w:r>
          </w:p>
        </w:tc>
        <w:tc>
          <w:tcPr>
            <w:tcW w:w="806" w:type="pct"/>
            <w:vAlign w:val="center"/>
          </w:tcPr>
          <w:p w14:paraId="2ACC1593" w14:textId="5301C1F9" w:rsidR="00E7432B" w:rsidRPr="009A6C26" w:rsidRDefault="00E7432B" w:rsidP="00487998">
            <w:pPr>
              <w:spacing w:before="30" w:after="30"/>
              <w:cnfStyle w:val="000000000000" w:firstRow="0" w:lastRow="0" w:firstColumn="0" w:lastColumn="0" w:oddVBand="0" w:evenVBand="0" w:oddHBand="0" w:evenHBand="0" w:firstRowFirstColumn="0" w:firstRowLastColumn="0" w:lastRowFirstColumn="0" w:lastRowLastColumn="0"/>
            </w:pPr>
            <w:r>
              <w:t>2</w:t>
            </w:r>
          </w:p>
        </w:tc>
      </w:tr>
      <w:tr w:rsidR="00E7432B" w:rsidRPr="009A6C26" w14:paraId="3D79A9F8" w14:textId="77777777" w:rsidTr="00E7432B">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tcPr>
          <w:p w14:paraId="1233753D" w14:textId="47F0BA89" w:rsidR="00E7432B" w:rsidRPr="009A6C26" w:rsidRDefault="00E7432B" w:rsidP="00487998">
            <w:pPr>
              <w:spacing w:before="30" w:after="30"/>
            </w:pPr>
            <w:r w:rsidRPr="009A6C26">
              <w:t>Temporary full time</w:t>
            </w:r>
          </w:p>
        </w:tc>
        <w:tc>
          <w:tcPr>
            <w:tcW w:w="806" w:type="pct"/>
            <w:vAlign w:val="center"/>
          </w:tcPr>
          <w:p w14:paraId="5B254FF1" w14:textId="56C61DD5" w:rsidR="00E7432B" w:rsidRPr="009A6C26" w:rsidRDefault="00E7432B" w:rsidP="00487998">
            <w:pPr>
              <w:spacing w:before="30" w:after="30"/>
              <w:cnfStyle w:val="000000010000" w:firstRow="0" w:lastRow="0" w:firstColumn="0" w:lastColumn="0" w:oddVBand="0" w:evenVBand="0" w:oddHBand="0" w:evenHBand="1" w:firstRowFirstColumn="0" w:firstRowLastColumn="0" w:lastRowFirstColumn="0" w:lastRowLastColumn="0"/>
              <w:rPr>
                <w:color w:val="000000"/>
              </w:rPr>
            </w:pPr>
            <w:r>
              <w:rPr>
                <w:color w:val="000000"/>
              </w:rPr>
              <w:t>5</w:t>
            </w:r>
          </w:p>
        </w:tc>
        <w:tc>
          <w:tcPr>
            <w:tcW w:w="806" w:type="pct"/>
            <w:vAlign w:val="center"/>
          </w:tcPr>
          <w:p w14:paraId="4178C5E4" w14:textId="55B3674E" w:rsidR="00E7432B" w:rsidRPr="009A6C26" w:rsidRDefault="00E7432B" w:rsidP="00487998">
            <w:pPr>
              <w:spacing w:before="30" w:after="30"/>
              <w:cnfStyle w:val="000000010000" w:firstRow="0" w:lastRow="0" w:firstColumn="0" w:lastColumn="0" w:oddVBand="0" w:evenVBand="0" w:oddHBand="0" w:evenHBand="1" w:firstRowFirstColumn="0" w:firstRowLastColumn="0" w:lastRowFirstColumn="0" w:lastRowLastColumn="0"/>
              <w:rPr>
                <w:color w:val="000000"/>
              </w:rPr>
            </w:pPr>
            <w:r>
              <w:rPr>
                <w:color w:val="000000"/>
              </w:rPr>
              <w:t>3</w:t>
            </w:r>
          </w:p>
        </w:tc>
        <w:tc>
          <w:tcPr>
            <w:tcW w:w="806" w:type="pct"/>
            <w:vAlign w:val="center"/>
          </w:tcPr>
          <w:p w14:paraId="514C8089" w14:textId="38FBBA99" w:rsidR="00E7432B" w:rsidRPr="009A6C26" w:rsidRDefault="00E7432B" w:rsidP="00487998">
            <w:pPr>
              <w:spacing w:before="30" w:after="30"/>
              <w:cnfStyle w:val="000000010000" w:firstRow="0" w:lastRow="0" w:firstColumn="0" w:lastColumn="0" w:oddVBand="0" w:evenVBand="0" w:oddHBand="0" w:evenHBand="1" w:firstRowFirstColumn="0" w:firstRowLastColumn="0" w:lastRowFirstColumn="0" w:lastRowLastColumn="0"/>
            </w:pPr>
            <w:r>
              <w:t>0</w:t>
            </w:r>
          </w:p>
        </w:tc>
        <w:tc>
          <w:tcPr>
            <w:tcW w:w="806" w:type="pct"/>
            <w:vAlign w:val="center"/>
          </w:tcPr>
          <w:p w14:paraId="7EEBF742" w14:textId="057B3C83" w:rsidR="00E7432B" w:rsidRPr="009A6C26" w:rsidRDefault="00E7432B" w:rsidP="00487998">
            <w:pPr>
              <w:spacing w:before="30" w:after="30"/>
              <w:cnfStyle w:val="000000010000" w:firstRow="0" w:lastRow="0" w:firstColumn="0" w:lastColumn="0" w:oddVBand="0" w:evenVBand="0" w:oddHBand="0" w:evenHBand="1" w:firstRowFirstColumn="0" w:firstRowLastColumn="0" w:lastRowFirstColumn="0" w:lastRowLastColumn="0"/>
              <w:rPr>
                <w:color w:val="000000"/>
              </w:rPr>
            </w:pPr>
            <w:r>
              <w:rPr>
                <w:color w:val="000000"/>
              </w:rPr>
              <w:t>8</w:t>
            </w:r>
          </w:p>
        </w:tc>
      </w:tr>
      <w:tr w:rsidR="00E7432B" w:rsidRPr="009A6C26" w14:paraId="65774149" w14:textId="77777777" w:rsidTr="00487998">
        <w:trPr>
          <w:cantSplit w:val="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tcPr>
          <w:p w14:paraId="6399ED4A" w14:textId="6112A4E1" w:rsidR="00E7432B" w:rsidRPr="009A6C26" w:rsidRDefault="00E7432B" w:rsidP="00487998">
            <w:pPr>
              <w:spacing w:before="30" w:after="30"/>
            </w:pPr>
            <w:r w:rsidRPr="009A6C26">
              <w:t>Temporary part time</w:t>
            </w:r>
            <w:r w:rsidRPr="009A6C26">
              <w:tab/>
            </w:r>
          </w:p>
        </w:tc>
        <w:tc>
          <w:tcPr>
            <w:tcW w:w="806" w:type="pct"/>
            <w:vAlign w:val="center"/>
          </w:tcPr>
          <w:p w14:paraId="23312200" w14:textId="0973641A" w:rsidR="00E7432B" w:rsidRDefault="00E7432B" w:rsidP="00487998">
            <w:pPr>
              <w:spacing w:before="30" w:after="30"/>
              <w:cnfStyle w:val="000000000000" w:firstRow="0" w:lastRow="0" w:firstColumn="0" w:lastColumn="0" w:oddVBand="0" w:evenVBand="0" w:oddHBand="0" w:evenHBand="0" w:firstRowFirstColumn="0" w:firstRowLastColumn="0" w:lastRowFirstColumn="0" w:lastRowLastColumn="0"/>
            </w:pPr>
            <w:r>
              <w:t>0</w:t>
            </w:r>
          </w:p>
        </w:tc>
        <w:tc>
          <w:tcPr>
            <w:tcW w:w="806" w:type="pct"/>
            <w:vAlign w:val="center"/>
          </w:tcPr>
          <w:p w14:paraId="2EF225FB" w14:textId="5E8F0CDA" w:rsidR="00E7432B" w:rsidRDefault="00E7432B" w:rsidP="00487998">
            <w:pPr>
              <w:spacing w:before="30" w:after="30"/>
              <w:cnfStyle w:val="000000000000" w:firstRow="0" w:lastRow="0" w:firstColumn="0" w:lastColumn="0" w:oddVBand="0" w:evenVBand="0" w:oddHBand="0" w:evenHBand="0" w:firstRowFirstColumn="0" w:firstRowLastColumn="0" w:lastRowFirstColumn="0" w:lastRowLastColumn="0"/>
            </w:pPr>
            <w:r>
              <w:t>0</w:t>
            </w:r>
          </w:p>
        </w:tc>
        <w:tc>
          <w:tcPr>
            <w:tcW w:w="806" w:type="pct"/>
            <w:vAlign w:val="center"/>
          </w:tcPr>
          <w:p w14:paraId="1AA7C8B5" w14:textId="2C32608A" w:rsidR="00E7432B" w:rsidRPr="009A6C26" w:rsidRDefault="00E7432B" w:rsidP="00487998">
            <w:pPr>
              <w:spacing w:before="30" w:after="30"/>
              <w:cnfStyle w:val="000000000000" w:firstRow="0" w:lastRow="0" w:firstColumn="0" w:lastColumn="0" w:oddVBand="0" w:evenVBand="0" w:oddHBand="0" w:evenHBand="0" w:firstRowFirstColumn="0" w:firstRowLastColumn="0" w:lastRowFirstColumn="0" w:lastRowLastColumn="0"/>
            </w:pPr>
            <w:r>
              <w:t>0</w:t>
            </w:r>
          </w:p>
        </w:tc>
        <w:tc>
          <w:tcPr>
            <w:tcW w:w="806" w:type="pct"/>
            <w:vAlign w:val="center"/>
          </w:tcPr>
          <w:p w14:paraId="31CB75E9" w14:textId="63CD12E7" w:rsidR="00E7432B" w:rsidRDefault="00E7432B" w:rsidP="00487998">
            <w:pPr>
              <w:spacing w:before="30" w:after="30"/>
              <w:cnfStyle w:val="000000000000" w:firstRow="0" w:lastRow="0" w:firstColumn="0" w:lastColumn="0" w:oddVBand="0" w:evenVBand="0" w:oddHBand="0" w:evenHBand="0" w:firstRowFirstColumn="0" w:firstRowLastColumn="0" w:lastRowFirstColumn="0" w:lastRowLastColumn="0"/>
            </w:pPr>
            <w:r>
              <w:t>0</w:t>
            </w:r>
          </w:p>
        </w:tc>
      </w:tr>
      <w:tr w:rsidR="00E7432B" w:rsidRPr="009A6C26" w14:paraId="77488881" w14:textId="77777777" w:rsidTr="00487998">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775" w:type="pct"/>
            <w:vAlign w:val="center"/>
          </w:tcPr>
          <w:p w14:paraId="79CF88B4" w14:textId="6EE3831E" w:rsidR="00E7432B" w:rsidRPr="009A6C26" w:rsidRDefault="00E7432B" w:rsidP="00487998">
            <w:pPr>
              <w:spacing w:before="30" w:after="30"/>
            </w:pPr>
            <w:r>
              <w:t>Total</w:t>
            </w:r>
          </w:p>
        </w:tc>
        <w:tc>
          <w:tcPr>
            <w:tcW w:w="806" w:type="pct"/>
            <w:vAlign w:val="center"/>
          </w:tcPr>
          <w:p w14:paraId="29BC50E3" w14:textId="1E3516EB" w:rsidR="00E7432B" w:rsidRDefault="00E7432B" w:rsidP="00487998">
            <w:pPr>
              <w:spacing w:before="30" w:after="30"/>
              <w:cnfStyle w:val="000000010000" w:firstRow="0" w:lastRow="0" w:firstColumn="0" w:lastColumn="0" w:oddVBand="0" w:evenVBand="0" w:oddHBand="0" w:evenHBand="1" w:firstRowFirstColumn="0" w:firstRowLastColumn="0" w:lastRowFirstColumn="0" w:lastRowLastColumn="0"/>
            </w:pPr>
            <w:r>
              <w:t>27</w:t>
            </w:r>
          </w:p>
        </w:tc>
        <w:tc>
          <w:tcPr>
            <w:tcW w:w="806" w:type="pct"/>
            <w:vAlign w:val="center"/>
          </w:tcPr>
          <w:p w14:paraId="3877D2BB" w14:textId="0B92FBA9" w:rsidR="00E7432B" w:rsidRDefault="00E7432B" w:rsidP="00487998">
            <w:pPr>
              <w:spacing w:before="30" w:after="30"/>
              <w:cnfStyle w:val="000000010000" w:firstRow="0" w:lastRow="0" w:firstColumn="0" w:lastColumn="0" w:oddVBand="0" w:evenVBand="0" w:oddHBand="0" w:evenHBand="1" w:firstRowFirstColumn="0" w:firstRowLastColumn="0" w:lastRowFirstColumn="0" w:lastRowLastColumn="0"/>
            </w:pPr>
            <w:r>
              <w:t>16</w:t>
            </w:r>
          </w:p>
        </w:tc>
        <w:tc>
          <w:tcPr>
            <w:tcW w:w="806" w:type="pct"/>
            <w:vAlign w:val="center"/>
          </w:tcPr>
          <w:p w14:paraId="67DC2799" w14:textId="23AE699F" w:rsidR="00E7432B" w:rsidRPr="009A6C26" w:rsidRDefault="00E7432B" w:rsidP="00487998">
            <w:pPr>
              <w:spacing w:before="30" w:after="30"/>
              <w:cnfStyle w:val="000000010000" w:firstRow="0" w:lastRow="0" w:firstColumn="0" w:lastColumn="0" w:oddVBand="0" w:evenVBand="0" w:oddHBand="0" w:evenHBand="1" w:firstRowFirstColumn="0" w:firstRowLastColumn="0" w:lastRowFirstColumn="0" w:lastRowLastColumn="0"/>
            </w:pPr>
            <w:r>
              <w:t>0</w:t>
            </w:r>
          </w:p>
        </w:tc>
        <w:tc>
          <w:tcPr>
            <w:tcW w:w="806" w:type="pct"/>
            <w:vAlign w:val="center"/>
          </w:tcPr>
          <w:p w14:paraId="03E8065B" w14:textId="39FFE2E3" w:rsidR="00E7432B" w:rsidRDefault="00E7432B" w:rsidP="00487998">
            <w:pPr>
              <w:spacing w:before="30" w:after="30"/>
              <w:cnfStyle w:val="000000010000" w:firstRow="0" w:lastRow="0" w:firstColumn="0" w:lastColumn="0" w:oddVBand="0" w:evenVBand="0" w:oddHBand="0" w:evenHBand="1" w:firstRowFirstColumn="0" w:firstRowLastColumn="0" w:lastRowFirstColumn="0" w:lastRowLastColumn="0"/>
            </w:pPr>
            <w:r>
              <w:t>43</w:t>
            </w:r>
          </w:p>
        </w:tc>
      </w:tr>
    </w:tbl>
    <w:p w14:paraId="0A3A81E6" w14:textId="2AFB0B3A" w:rsidR="00CD2791" w:rsidRPr="009A6C26" w:rsidRDefault="00CD2791" w:rsidP="00FE505F">
      <w:pPr>
        <w:pStyle w:val="Heading4"/>
        <w:rPr>
          <w:rFonts w:cs="Arial"/>
        </w:rPr>
      </w:pPr>
      <w:r w:rsidRPr="009A6C26">
        <w:rPr>
          <w:rFonts w:cs="Arial"/>
        </w:rPr>
        <w:t>Headcount by age group and gender</w:t>
      </w:r>
    </w:p>
    <w:tbl>
      <w:tblPr>
        <w:tblStyle w:val="ACTLeavetable"/>
        <w:tblW w:w="5000" w:type="pct"/>
        <w:tblLook w:val="04A0" w:firstRow="1" w:lastRow="0" w:firstColumn="1" w:lastColumn="0" w:noHBand="0" w:noVBand="1"/>
      </w:tblPr>
      <w:tblGrid>
        <w:gridCol w:w="3634"/>
        <w:gridCol w:w="1615"/>
        <w:gridCol w:w="1617"/>
        <w:gridCol w:w="1615"/>
        <w:gridCol w:w="1615"/>
      </w:tblGrid>
      <w:tr w:rsidR="00B7566E" w:rsidRPr="009A6C26" w14:paraId="3C752D44" w14:textId="77777777" w:rsidTr="004A6244">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799" w:type="pct"/>
            <w:vAlign w:val="center"/>
          </w:tcPr>
          <w:p w14:paraId="01960364" w14:textId="77777777" w:rsidR="00CD2791" w:rsidRPr="009A6C26" w:rsidRDefault="00CD2791" w:rsidP="003D09D7">
            <w:pPr>
              <w:spacing w:before="30" w:after="30"/>
            </w:pPr>
            <w:r w:rsidRPr="009A6C26">
              <w:t>Age group</w:t>
            </w:r>
          </w:p>
        </w:tc>
        <w:tc>
          <w:tcPr>
            <w:tcW w:w="800" w:type="pct"/>
            <w:vAlign w:val="center"/>
          </w:tcPr>
          <w:p w14:paraId="730CB498"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Female</w:t>
            </w:r>
          </w:p>
        </w:tc>
        <w:tc>
          <w:tcPr>
            <w:tcW w:w="801" w:type="pct"/>
            <w:vAlign w:val="center"/>
          </w:tcPr>
          <w:p w14:paraId="49791DEF"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Male</w:t>
            </w:r>
          </w:p>
        </w:tc>
        <w:tc>
          <w:tcPr>
            <w:tcW w:w="800" w:type="pct"/>
            <w:vAlign w:val="center"/>
          </w:tcPr>
          <w:p w14:paraId="467E42CC"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rPr>
                <w:szCs w:val="16"/>
              </w:rPr>
            </w:pPr>
            <w:r w:rsidRPr="009A6C26">
              <w:t>Non-binary</w:t>
            </w:r>
          </w:p>
        </w:tc>
        <w:tc>
          <w:tcPr>
            <w:tcW w:w="801" w:type="pct"/>
            <w:vAlign w:val="center"/>
          </w:tcPr>
          <w:p w14:paraId="74D5784E"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Total</w:t>
            </w:r>
          </w:p>
        </w:tc>
      </w:tr>
      <w:tr w:rsidR="00CD2791" w:rsidRPr="009A6C26" w14:paraId="5366E8D0" w14:textId="77777777" w:rsidTr="004A6244">
        <w:trPr>
          <w:cantSplit w:val="0"/>
          <w:trHeight w:val="96"/>
        </w:trPr>
        <w:tc>
          <w:tcPr>
            <w:cnfStyle w:val="001000000000" w:firstRow="0" w:lastRow="0" w:firstColumn="1" w:lastColumn="0" w:oddVBand="0" w:evenVBand="0" w:oddHBand="0" w:evenHBand="0" w:firstRowFirstColumn="0" w:firstRowLastColumn="0" w:lastRowFirstColumn="0" w:lastRowLastColumn="0"/>
            <w:tcW w:w="1799" w:type="pct"/>
            <w:vAlign w:val="center"/>
          </w:tcPr>
          <w:p w14:paraId="765656F4" w14:textId="77777777" w:rsidR="00CD2791" w:rsidRPr="009A6C26" w:rsidRDefault="00CD2791" w:rsidP="003D09D7">
            <w:pPr>
              <w:spacing w:before="30" w:after="30"/>
            </w:pPr>
            <w:r w:rsidRPr="009A6C26">
              <w:t>Under 25</w:t>
            </w:r>
          </w:p>
        </w:tc>
        <w:tc>
          <w:tcPr>
            <w:tcW w:w="800" w:type="pct"/>
            <w:vAlign w:val="center"/>
          </w:tcPr>
          <w:p w14:paraId="6952B2E4"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1</w:t>
            </w:r>
          </w:p>
        </w:tc>
        <w:tc>
          <w:tcPr>
            <w:tcW w:w="801" w:type="pct"/>
            <w:vAlign w:val="center"/>
          </w:tcPr>
          <w:p w14:paraId="24A5D688"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w:t>
            </w:r>
          </w:p>
        </w:tc>
        <w:tc>
          <w:tcPr>
            <w:tcW w:w="800" w:type="pct"/>
            <w:vAlign w:val="center"/>
          </w:tcPr>
          <w:p w14:paraId="0923E2FF"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w:t>
            </w:r>
          </w:p>
        </w:tc>
        <w:tc>
          <w:tcPr>
            <w:tcW w:w="801" w:type="pct"/>
            <w:vAlign w:val="center"/>
          </w:tcPr>
          <w:p w14:paraId="40C7FDF8"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1</w:t>
            </w:r>
          </w:p>
        </w:tc>
      </w:tr>
      <w:tr w:rsidR="00CD4A5A" w:rsidRPr="009A6C26" w14:paraId="4081F8E3" w14:textId="77777777" w:rsidTr="004A6244">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799" w:type="pct"/>
            <w:vAlign w:val="center"/>
          </w:tcPr>
          <w:p w14:paraId="2DFE459C" w14:textId="77777777" w:rsidR="00CD2791" w:rsidRPr="009A6C26" w:rsidRDefault="00CD2791" w:rsidP="003D09D7">
            <w:pPr>
              <w:spacing w:before="30" w:after="30"/>
            </w:pPr>
            <w:r w:rsidRPr="009A6C26">
              <w:t>25-34</w:t>
            </w:r>
          </w:p>
        </w:tc>
        <w:tc>
          <w:tcPr>
            <w:tcW w:w="800" w:type="pct"/>
            <w:vAlign w:val="center"/>
          </w:tcPr>
          <w:p w14:paraId="0EC1478B" w14:textId="77777777"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6</w:t>
            </w:r>
          </w:p>
        </w:tc>
        <w:tc>
          <w:tcPr>
            <w:tcW w:w="801" w:type="pct"/>
            <w:vAlign w:val="center"/>
          </w:tcPr>
          <w:p w14:paraId="27E2591E" w14:textId="7EEBB35A" w:rsidR="00CD2791" w:rsidRPr="009A6C26" w:rsidRDefault="00387C18" w:rsidP="003D09D7">
            <w:pPr>
              <w:spacing w:before="30" w:after="30"/>
              <w:cnfStyle w:val="000000010000" w:firstRow="0" w:lastRow="0" w:firstColumn="0" w:lastColumn="0" w:oddVBand="0" w:evenVBand="0" w:oddHBand="0" w:evenHBand="1" w:firstRowFirstColumn="0" w:firstRowLastColumn="0" w:lastRowFirstColumn="0" w:lastRowLastColumn="0"/>
            </w:pPr>
            <w:r>
              <w:t>3</w:t>
            </w:r>
          </w:p>
        </w:tc>
        <w:tc>
          <w:tcPr>
            <w:tcW w:w="800" w:type="pct"/>
            <w:vAlign w:val="center"/>
          </w:tcPr>
          <w:p w14:paraId="3181A186" w14:textId="77777777"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0</w:t>
            </w:r>
          </w:p>
        </w:tc>
        <w:tc>
          <w:tcPr>
            <w:tcW w:w="801" w:type="pct"/>
            <w:vAlign w:val="center"/>
          </w:tcPr>
          <w:p w14:paraId="551E7269" w14:textId="1A9AB2A6" w:rsidR="00CD2791" w:rsidRPr="009A6C26" w:rsidRDefault="00387C18" w:rsidP="003D09D7">
            <w:pPr>
              <w:spacing w:before="30" w:after="30"/>
              <w:cnfStyle w:val="000000010000" w:firstRow="0" w:lastRow="0" w:firstColumn="0" w:lastColumn="0" w:oddVBand="0" w:evenVBand="0" w:oddHBand="0" w:evenHBand="1" w:firstRowFirstColumn="0" w:firstRowLastColumn="0" w:lastRowFirstColumn="0" w:lastRowLastColumn="0"/>
            </w:pPr>
            <w:r>
              <w:t>9</w:t>
            </w:r>
          </w:p>
        </w:tc>
      </w:tr>
      <w:tr w:rsidR="00CD2791" w:rsidRPr="009A6C26" w14:paraId="41BF2F3E" w14:textId="77777777" w:rsidTr="004A6244">
        <w:trPr>
          <w:cantSplit w:val="0"/>
          <w:trHeight w:val="96"/>
        </w:trPr>
        <w:tc>
          <w:tcPr>
            <w:cnfStyle w:val="001000000000" w:firstRow="0" w:lastRow="0" w:firstColumn="1" w:lastColumn="0" w:oddVBand="0" w:evenVBand="0" w:oddHBand="0" w:evenHBand="0" w:firstRowFirstColumn="0" w:firstRowLastColumn="0" w:lastRowFirstColumn="0" w:lastRowLastColumn="0"/>
            <w:tcW w:w="1799" w:type="pct"/>
            <w:vAlign w:val="center"/>
          </w:tcPr>
          <w:p w14:paraId="12A1373E" w14:textId="77777777" w:rsidR="00CD2791" w:rsidRPr="009A6C26" w:rsidRDefault="00CD2791" w:rsidP="003D09D7">
            <w:pPr>
              <w:spacing w:before="30" w:after="30"/>
            </w:pPr>
            <w:r w:rsidRPr="009A6C26">
              <w:t>35-44</w:t>
            </w:r>
          </w:p>
        </w:tc>
        <w:tc>
          <w:tcPr>
            <w:tcW w:w="800" w:type="pct"/>
            <w:vAlign w:val="center"/>
          </w:tcPr>
          <w:p w14:paraId="4DD10FDA" w14:textId="76966461" w:rsidR="00CD2791" w:rsidRPr="009A6C26" w:rsidRDefault="00387C18" w:rsidP="003D09D7">
            <w:pPr>
              <w:spacing w:before="30" w:after="30"/>
              <w:cnfStyle w:val="000000000000" w:firstRow="0" w:lastRow="0" w:firstColumn="0" w:lastColumn="0" w:oddVBand="0" w:evenVBand="0" w:oddHBand="0" w:evenHBand="0" w:firstRowFirstColumn="0" w:firstRowLastColumn="0" w:lastRowFirstColumn="0" w:lastRowLastColumn="0"/>
            </w:pPr>
            <w:r>
              <w:t>12</w:t>
            </w:r>
          </w:p>
        </w:tc>
        <w:tc>
          <w:tcPr>
            <w:tcW w:w="801" w:type="pct"/>
            <w:vAlign w:val="center"/>
          </w:tcPr>
          <w:p w14:paraId="6859FF3A" w14:textId="0295DD38" w:rsidR="00CD2791" w:rsidRPr="009A6C26" w:rsidRDefault="00387C18" w:rsidP="003D09D7">
            <w:pPr>
              <w:spacing w:before="30" w:after="30"/>
              <w:cnfStyle w:val="000000000000" w:firstRow="0" w:lastRow="0" w:firstColumn="0" w:lastColumn="0" w:oddVBand="0" w:evenVBand="0" w:oddHBand="0" w:evenHBand="0" w:firstRowFirstColumn="0" w:firstRowLastColumn="0" w:lastRowFirstColumn="0" w:lastRowLastColumn="0"/>
            </w:pPr>
            <w:r>
              <w:t>6</w:t>
            </w:r>
          </w:p>
        </w:tc>
        <w:tc>
          <w:tcPr>
            <w:tcW w:w="800" w:type="pct"/>
            <w:vAlign w:val="center"/>
          </w:tcPr>
          <w:p w14:paraId="5FA13686" w14:textId="4F83F476"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w:t>
            </w:r>
          </w:p>
        </w:tc>
        <w:tc>
          <w:tcPr>
            <w:tcW w:w="801" w:type="pct"/>
            <w:vAlign w:val="center"/>
          </w:tcPr>
          <w:p w14:paraId="46B5A672" w14:textId="66515131" w:rsidR="00CD2791" w:rsidRPr="009A6C26" w:rsidRDefault="0019572E" w:rsidP="003D09D7">
            <w:pPr>
              <w:spacing w:before="30" w:after="30"/>
              <w:cnfStyle w:val="000000000000" w:firstRow="0" w:lastRow="0" w:firstColumn="0" w:lastColumn="0" w:oddVBand="0" w:evenVBand="0" w:oddHBand="0" w:evenHBand="0" w:firstRowFirstColumn="0" w:firstRowLastColumn="0" w:lastRowFirstColumn="0" w:lastRowLastColumn="0"/>
            </w:pPr>
            <w:r>
              <w:t>18</w:t>
            </w:r>
          </w:p>
        </w:tc>
      </w:tr>
      <w:tr w:rsidR="00CD4A5A" w:rsidRPr="009A6C26" w14:paraId="61163877" w14:textId="77777777" w:rsidTr="004A6244">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799" w:type="pct"/>
            <w:vAlign w:val="center"/>
          </w:tcPr>
          <w:p w14:paraId="5E843078" w14:textId="77777777" w:rsidR="00CD2791" w:rsidRPr="009A6C26" w:rsidRDefault="00CD2791" w:rsidP="003D09D7">
            <w:pPr>
              <w:spacing w:before="30" w:after="30"/>
            </w:pPr>
            <w:r w:rsidRPr="009A6C26">
              <w:t>45-54</w:t>
            </w:r>
          </w:p>
        </w:tc>
        <w:tc>
          <w:tcPr>
            <w:tcW w:w="800" w:type="pct"/>
            <w:vAlign w:val="center"/>
          </w:tcPr>
          <w:p w14:paraId="1044485C" w14:textId="58A4A6CE" w:rsidR="00CD2791" w:rsidRPr="009A6C26" w:rsidRDefault="0019572E" w:rsidP="003D09D7">
            <w:pPr>
              <w:spacing w:before="30" w:after="30"/>
              <w:cnfStyle w:val="000000010000" w:firstRow="0" w:lastRow="0" w:firstColumn="0" w:lastColumn="0" w:oddVBand="0" w:evenVBand="0" w:oddHBand="0" w:evenHBand="1" w:firstRowFirstColumn="0" w:firstRowLastColumn="0" w:lastRowFirstColumn="0" w:lastRowLastColumn="0"/>
            </w:pPr>
            <w:r>
              <w:t>7</w:t>
            </w:r>
          </w:p>
        </w:tc>
        <w:tc>
          <w:tcPr>
            <w:tcW w:w="801" w:type="pct"/>
            <w:vAlign w:val="center"/>
          </w:tcPr>
          <w:p w14:paraId="26989FF4" w14:textId="3FA01D27" w:rsidR="00CD2791" w:rsidRPr="009A6C26" w:rsidRDefault="0019572E" w:rsidP="003D09D7">
            <w:pPr>
              <w:spacing w:before="30" w:after="30"/>
              <w:cnfStyle w:val="000000010000" w:firstRow="0" w:lastRow="0" w:firstColumn="0" w:lastColumn="0" w:oddVBand="0" w:evenVBand="0" w:oddHBand="0" w:evenHBand="1" w:firstRowFirstColumn="0" w:firstRowLastColumn="0" w:lastRowFirstColumn="0" w:lastRowLastColumn="0"/>
            </w:pPr>
            <w:r>
              <w:t>6</w:t>
            </w:r>
          </w:p>
        </w:tc>
        <w:tc>
          <w:tcPr>
            <w:tcW w:w="800" w:type="pct"/>
            <w:vAlign w:val="center"/>
          </w:tcPr>
          <w:p w14:paraId="483D25C3" w14:textId="7C8B45B8"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0</w:t>
            </w:r>
          </w:p>
        </w:tc>
        <w:tc>
          <w:tcPr>
            <w:tcW w:w="801" w:type="pct"/>
            <w:vAlign w:val="center"/>
          </w:tcPr>
          <w:p w14:paraId="6CDE86AC" w14:textId="138981E3"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13</w:t>
            </w:r>
          </w:p>
        </w:tc>
      </w:tr>
      <w:tr w:rsidR="00CD2791" w:rsidRPr="009A6C26" w14:paraId="7D1DF424" w14:textId="77777777" w:rsidTr="004A6244">
        <w:trPr>
          <w:cantSplit w:val="0"/>
          <w:trHeight w:val="96"/>
        </w:trPr>
        <w:tc>
          <w:tcPr>
            <w:cnfStyle w:val="001000000000" w:firstRow="0" w:lastRow="0" w:firstColumn="1" w:lastColumn="0" w:oddVBand="0" w:evenVBand="0" w:oddHBand="0" w:evenHBand="0" w:firstRowFirstColumn="0" w:firstRowLastColumn="0" w:lastRowFirstColumn="0" w:lastRowLastColumn="0"/>
            <w:tcW w:w="1799" w:type="pct"/>
            <w:vAlign w:val="center"/>
          </w:tcPr>
          <w:p w14:paraId="7793F244" w14:textId="77777777" w:rsidR="00CD2791" w:rsidRPr="009A6C26" w:rsidRDefault="00CD2791" w:rsidP="003D09D7">
            <w:pPr>
              <w:spacing w:before="30" w:after="30"/>
            </w:pPr>
            <w:r w:rsidRPr="009A6C26">
              <w:t>55 and over</w:t>
            </w:r>
          </w:p>
        </w:tc>
        <w:tc>
          <w:tcPr>
            <w:tcW w:w="800" w:type="pct"/>
            <w:vAlign w:val="center"/>
          </w:tcPr>
          <w:p w14:paraId="01C205DB" w14:textId="061C00FE" w:rsidR="00CD2791" w:rsidRPr="009A6C26" w:rsidRDefault="0019572E" w:rsidP="003D09D7">
            <w:pPr>
              <w:spacing w:before="30" w:after="30"/>
              <w:cnfStyle w:val="000000000000" w:firstRow="0" w:lastRow="0" w:firstColumn="0" w:lastColumn="0" w:oddVBand="0" w:evenVBand="0" w:oddHBand="0" w:evenHBand="0" w:firstRowFirstColumn="0" w:firstRowLastColumn="0" w:lastRowFirstColumn="0" w:lastRowLastColumn="0"/>
            </w:pPr>
            <w:r>
              <w:t>1</w:t>
            </w:r>
          </w:p>
        </w:tc>
        <w:tc>
          <w:tcPr>
            <w:tcW w:w="801" w:type="pct"/>
            <w:vAlign w:val="center"/>
          </w:tcPr>
          <w:p w14:paraId="0B674C72"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1</w:t>
            </w:r>
          </w:p>
        </w:tc>
        <w:tc>
          <w:tcPr>
            <w:tcW w:w="800" w:type="pct"/>
            <w:vAlign w:val="center"/>
          </w:tcPr>
          <w:p w14:paraId="14EC7980"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w:t>
            </w:r>
          </w:p>
        </w:tc>
        <w:tc>
          <w:tcPr>
            <w:tcW w:w="801" w:type="pct"/>
            <w:vAlign w:val="center"/>
          </w:tcPr>
          <w:p w14:paraId="4EFDE3EE" w14:textId="14128DE0" w:rsidR="00CD2791" w:rsidRPr="009A6C26" w:rsidRDefault="0019572E" w:rsidP="003D09D7">
            <w:pPr>
              <w:spacing w:before="30" w:after="30"/>
              <w:cnfStyle w:val="000000000000" w:firstRow="0" w:lastRow="0" w:firstColumn="0" w:lastColumn="0" w:oddVBand="0" w:evenVBand="0" w:oddHBand="0" w:evenHBand="0" w:firstRowFirstColumn="0" w:firstRowLastColumn="0" w:lastRowFirstColumn="0" w:lastRowLastColumn="0"/>
            </w:pPr>
            <w:r>
              <w:t>2</w:t>
            </w:r>
          </w:p>
        </w:tc>
      </w:tr>
    </w:tbl>
    <w:p w14:paraId="02474445" w14:textId="77777777" w:rsidR="004A6244" w:rsidRPr="009A6C26" w:rsidRDefault="004A6244" w:rsidP="004A6244">
      <w:pPr>
        <w:pStyle w:val="Heading4"/>
        <w:rPr>
          <w:rFonts w:cs="Arial"/>
        </w:rPr>
      </w:pPr>
      <w:r w:rsidRPr="009A6C26">
        <w:rPr>
          <w:rFonts w:cs="Arial"/>
        </w:rPr>
        <w:t>Average length of service by gender</w:t>
      </w:r>
    </w:p>
    <w:tbl>
      <w:tblPr>
        <w:tblStyle w:val="ACTLeavetable"/>
        <w:tblW w:w="5000" w:type="pct"/>
        <w:tblLook w:val="04A0" w:firstRow="1" w:lastRow="0" w:firstColumn="1" w:lastColumn="0" w:noHBand="0" w:noVBand="1"/>
      </w:tblPr>
      <w:tblGrid>
        <w:gridCol w:w="3660"/>
        <w:gridCol w:w="1609"/>
        <w:gridCol w:w="1609"/>
        <w:gridCol w:w="1609"/>
        <w:gridCol w:w="1609"/>
      </w:tblGrid>
      <w:tr w:rsidR="004A6244" w:rsidRPr="009A6C26" w14:paraId="529F739F" w14:textId="77777777" w:rsidTr="00653999">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812" w:type="pct"/>
            <w:vAlign w:val="center"/>
            <w:hideMark/>
          </w:tcPr>
          <w:p w14:paraId="0312ADEA" w14:textId="77777777" w:rsidR="004A6244" w:rsidRPr="009A6C26" w:rsidRDefault="004A6244">
            <w:pPr>
              <w:spacing w:before="30" w:after="30"/>
            </w:pPr>
            <w:r w:rsidRPr="009A6C26">
              <w:t> </w:t>
            </w:r>
          </w:p>
        </w:tc>
        <w:tc>
          <w:tcPr>
            <w:tcW w:w="797" w:type="pct"/>
            <w:vAlign w:val="center"/>
            <w:hideMark/>
          </w:tcPr>
          <w:p w14:paraId="7EA688E1" w14:textId="77777777" w:rsidR="004A6244" w:rsidRPr="009A6C26" w:rsidRDefault="004A6244">
            <w:pPr>
              <w:spacing w:before="30" w:after="30"/>
              <w:cnfStyle w:val="100000000000" w:firstRow="1" w:lastRow="0" w:firstColumn="0" w:lastColumn="0" w:oddVBand="0" w:evenVBand="0" w:oddHBand="0" w:evenHBand="0" w:firstRowFirstColumn="0" w:firstRowLastColumn="0" w:lastRowFirstColumn="0" w:lastRowLastColumn="0"/>
            </w:pPr>
            <w:r w:rsidRPr="009A6C26">
              <w:t>Female</w:t>
            </w:r>
          </w:p>
        </w:tc>
        <w:tc>
          <w:tcPr>
            <w:tcW w:w="797" w:type="pct"/>
            <w:vAlign w:val="center"/>
            <w:hideMark/>
          </w:tcPr>
          <w:p w14:paraId="55DE0A48" w14:textId="77777777" w:rsidR="004A6244" w:rsidRPr="009A6C26" w:rsidRDefault="004A6244">
            <w:pPr>
              <w:spacing w:before="30" w:after="30"/>
              <w:cnfStyle w:val="100000000000" w:firstRow="1" w:lastRow="0" w:firstColumn="0" w:lastColumn="0" w:oddVBand="0" w:evenVBand="0" w:oddHBand="0" w:evenHBand="0" w:firstRowFirstColumn="0" w:firstRowLastColumn="0" w:lastRowFirstColumn="0" w:lastRowLastColumn="0"/>
            </w:pPr>
            <w:r w:rsidRPr="009A6C26">
              <w:t>Male</w:t>
            </w:r>
          </w:p>
        </w:tc>
        <w:tc>
          <w:tcPr>
            <w:tcW w:w="797" w:type="pct"/>
            <w:vAlign w:val="center"/>
          </w:tcPr>
          <w:p w14:paraId="423D49BE" w14:textId="77777777" w:rsidR="004A6244" w:rsidRPr="009A6C26" w:rsidRDefault="004A6244">
            <w:pPr>
              <w:spacing w:before="30" w:after="30"/>
              <w:cnfStyle w:val="100000000000" w:firstRow="1" w:lastRow="0" w:firstColumn="0" w:lastColumn="0" w:oddVBand="0" w:evenVBand="0" w:oddHBand="0" w:evenHBand="0" w:firstRowFirstColumn="0" w:firstRowLastColumn="0" w:lastRowFirstColumn="0" w:lastRowLastColumn="0"/>
            </w:pPr>
            <w:r w:rsidRPr="009A6C26">
              <w:t>Non-binary</w:t>
            </w:r>
          </w:p>
        </w:tc>
        <w:tc>
          <w:tcPr>
            <w:tcW w:w="797" w:type="pct"/>
            <w:vAlign w:val="center"/>
          </w:tcPr>
          <w:p w14:paraId="4442D2D8" w14:textId="77777777" w:rsidR="004A6244" w:rsidRPr="009A6C26" w:rsidRDefault="004A6244">
            <w:pPr>
              <w:spacing w:before="30" w:after="30"/>
              <w:cnfStyle w:val="100000000000" w:firstRow="1" w:lastRow="0" w:firstColumn="0" w:lastColumn="0" w:oddVBand="0" w:evenVBand="0" w:oddHBand="0" w:evenHBand="0" w:firstRowFirstColumn="0" w:firstRowLastColumn="0" w:lastRowFirstColumn="0" w:lastRowLastColumn="0"/>
            </w:pPr>
            <w:r w:rsidRPr="009A6C26">
              <w:t>Total</w:t>
            </w:r>
          </w:p>
        </w:tc>
      </w:tr>
      <w:tr w:rsidR="004A6244" w:rsidRPr="009A6C26" w14:paraId="426ED3B0" w14:textId="77777777" w:rsidTr="00653999">
        <w:trPr>
          <w:cantSplit w:val="0"/>
          <w:trHeight w:val="96"/>
        </w:trPr>
        <w:tc>
          <w:tcPr>
            <w:cnfStyle w:val="001000000000" w:firstRow="0" w:lastRow="0" w:firstColumn="1" w:lastColumn="0" w:oddVBand="0" w:evenVBand="0" w:oddHBand="0" w:evenHBand="0" w:firstRowFirstColumn="0" w:firstRowLastColumn="0" w:lastRowFirstColumn="0" w:lastRowLastColumn="0"/>
            <w:tcW w:w="1812" w:type="pct"/>
            <w:vAlign w:val="center"/>
            <w:hideMark/>
          </w:tcPr>
          <w:p w14:paraId="4A237BB8" w14:textId="77777777" w:rsidR="004A6244" w:rsidRPr="009A6C26" w:rsidRDefault="004A6244">
            <w:pPr>
              <w:spacing w:before="30" w:after="30"/>
            </w:pPr>
            <w:r w:rsidRPr="009A6C26">
              <w:t>Average years of service</w:t>
            </w:r>
          </w:p>
        </w:tc>
        <w:tc>
          <w:tcPr>
            <w:tcW w:w="797" w:type="pct"/>
            <w:vAlign w:val="center"/>
            <w:hideMark/>
          </w:tcPr>
          <w:p w14:paraId="4E4E1D55" w14:textId="77777777" w:rsidR="004A6244" w:rsidRPr="009A6C26" w:rsidRDefault="004A6244">
            <w:pPr>
              <w:spacing w:before="30" w:after="30"/>
              <w:cnfStyle w:val="000000000000" w:firstRow="0" w:lastRow="0" w:firstColumn="0" w:lastColumn="0" w:oddVBand="0" w:evenVBand="0" w:oddHBand="0" w:evenHBand="0" w:firstRowFirstColumn="0" w:firstRowLastColumn="0" w:lastRowFirstColumn="0" w:lastRowLastColumn="0"/>
              <w:rPr>
                <w:color w:val="000000"/>
              </w:rPr>
            </w:pPr>
            <w:r>
              <w:t>5.6</w:t>
            </w:r>
          </w:p>
        </w:tc>
        <w:tc>
          <w:tcPr>
            <w:tcW w:w="797" w:type="pct"/>
            <w:vAlign w:val="center"/>
            <w:hideMark/>
          </w:tcPr>
          <w:p w14:paraId="25C81767" w14:textId="77777777" w:rsidR="004A6244" w:rsidRPr="009A6C26" w:rsidRDefault="004A6244">
            <w:pPr>
              <w:spacing w:before="30" w:after="30"/>
              <w:cnfStyle w:val="000000000000" w:firstRow="0" w:lastRow="0" w:firstColumn="0" w:lastColumn="0" w:oddVBand="0" w:evenVBand="0" w:oddHBand="0" w:evenHBand="0" w:firstRowFirstColumn="0" w:firstRowLastColumn="0" w:lastRowFirstColumn="0" w:lastRowLastColumn="0"/>
              <w:rPr>
                <w:color w:val="000000"/>
              </w:rPr>
            </w:pPr>
            <w:r>
              <w:t>7.5</w:t>
            </w:r>
          </w:p>
        </w:tc>
        <w:tc>
          <w:tcPr>
            <w:tcW w:w="797" w:type="pct"/>
            <w:vAlign w:val="center"/>
          </w:tcPr>
          <w:p w14:paraId="083695E0" w14:textId="77777777" w:rsidR="004A6244" w:rsidRPr="009A6C26" w:rsidRDefault="004A6244">
            <w:pPr>
              <w:spacing w:before="30" w:after="30"/>
              <w:cnfStyle w:val="000000000000" w:firstRow="0" w:lastRow="0" w:firstColumn="0" w:lastColumn="0" w:oddVBand="0" w:evenVBand="0" w:oddHBand="0" w:evenHBand="0" w:firstRowFirstColumn="0" w:firstRowLastColumn="0" w:lastRowFirstColumn="0" w:lastRowLastColumn="0"/>
            </w:pPr>
            <w:r w:rsidRPr="009A6C26">
              <w:t>0.0</w:t>
            </w:r>
          </w:p>
        </w:tc>
        <w:tc>
          <w:tcPr>
            <w:tcW w:w="797" w:type="pct"/>
            <w:vAlign w:val="center"/>
          </w:tcPr>
          <w:p w14:paraId="3120627B" w14:textId="77777777" w:rsidR="004A6244" w:rsidRPr="009A6C26" w:rsidRDefault="004A6244">
            <w:pPr>
              <w:spacing w:before="30" w:after="30"/>
              <w:cnfStyle w:val="000000000000" w:firstRow="0" w:lastRow="0" w:firstColumn="0" w:lastColumn="0" w:oddVBand="0" w:evenVBand="0" w:oddHBand="0" w:evenHBand="0" w:firstRowFirstColumn="0" w:firstRowLastColumn="0" w:lastRowFirstColumn="0" w:lastRowLastColumn="0"/>
              <w:rPr>
                <w:color w:val="000000"/>
              </w:rPr>
            </w:pPr>
            <w:r>
              <w:t>6.3</w:t>
            </w:r>
          </w:p>
        </w:tc>
      </w:tr>
    </w:tbl>
    <w:p w14:paraId="06641C99" w14:textId="77777777" w:rsidR="00653999" w:rsidRPr="009A6C26" w:rsidRDefault="00653999" w:rsidP="00653999">
      <w:pPr>
        <w:pStyle w:val="Heading4"/>
        <w:rPr>
          <w:rFonts w:cs="Arial"/>
        </w:rPr>
      </w:pPr>
      <w:r w:rsidRPr="009A6C26">
        <w:rPr>
          <w:rFonts w:cs="Arial"/>
        </w:rPr>
        <w:lastRenderedPageBreak/>
        <w:t>Headcount by diversity group</w:t>
      </w:r>
    </w:p>
    <w:tbl>
      <w:tblPr>
        <w:tblStyle w:val="ACTLeavetable"/>
        <w:tblW w:w="5021" w:type="pct"/>
        <w:tblLook w:val="04A0" w:firstRow="1" w:lastRow="0" w:firstColumn="1" w:lastColumn="0" w:noHBand="0" w:noVBand="1"/>
      </w:tblPr>
      <w:tblGrid>
        <w:gridCol w:w="4254"/>
        <w:gridCol w:w="2942"/>
        <w:gridCol w:w="2942"/>
      </w:tblGrid>
      <w:tr w:rsidR="00653999" w:rsidRPr="009A6C26" w14:paraId="071FB342" w14:textId="77777777" w:rsidTr="00335C3F">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2098" w:type="pct"/>
            <w:vAlign w:val="center"/>
            <w:hideMark/>
          </w:tcPr>
          <w:p w14:paraId="49A9C68A" w14:textId="77777777" w:rsidR="00653999" w:rsidRPr="009A6C26" w:rsidRDefault="00653999" w:rsidP="00C96668">
            <w:pPr>
              <w:spacing w:before="30" w:after="30"/>
            </w:pPr>
            <w:r>
              <w:t>Diversity</w:t>
            </w:r>
            <w:r w:rsidRPr="009A6C26">
              <w:t xml:space="preserve"> group</w:t>
            </w:r>
          </w:p>
        </w:tc>
        <w:tc>
          <w:tcPr>
            <w:tcW w:w="1451" w:type="pct"/>
            <w:vAlign w:val="center"/>
          </w:tcPr>
          <w:p w14:paraId="11327560" w14:textId="77777777" w:rsidR="00653999" w:rsidRPr="009A6C26" w:rsidRDefault="00653999" w:rsidP="00C96668">
            <w:pPr>
              <w:spacing w:before="30" w:after="30"/>
              <w:cnfStyle w:val="100000000000" w:firstRow="1" w:lastRow="0" w:firstColumn="0" w:lastColumn="0" w:oddVBand="0" w:evenVBand="0" w:oddHBand="0" w:evenHBand="0" w:firstRowFirstColumn="0" w:firstRowLastColumn="0" w:lastRowFirstColumn="0" w:lastRowLastColumn="0"/>
            </w:pPr>
            <w:r>
              <w:t>Headcount</w:t>
            </w:r>
          </w:p>
        </w:tc>
        <w:tc>
          <w:tcPr>
            <w:tcW w:w="1451" w:type="pct"/>
            <w:vAlign w:val="center"/>
          </w:tcPr>
          <w:p w14:paraId="57CDA42A" w14:textId="77777777" w:rsidR="00653999" w:rsidRPr="009A6C26" w:rsidRDefault="00653999" w:rsidP="00C96668">
            <w:pPr>
              <w:spacing w:before="30" w:after="30"/>
              <w:cnfStyle w:val="100000000000" w:firstRow="1" w:lastRow="0" w:firstColumn="0" w:lastColumn="0" w:oddVBand="0" w:evenVBand="0" w:oddHBand="0" w:evenHBand="0" w:firstRowFirstColumn="0" w:firstRowLastColumn="0" w:lastRowFirstColumn="0" w:lastRowLastColumn="0"/>
            </w:pPr>
            <w:r>
              <w:t>% of total staff</w:t>
            </w:r>
          </w:p>
        </w:tc>
      </w:tr>
      <w:tr w:rsidR="00653999" w:rsidRPr="009A6C26" w14:paraId="3751DC54" w14:textId="77777777" w:rsidTr="00C96668">
        <w:trPr>
          <w:cantSplit w:val="0"/>
          <w:trHeight w:val="96"/>
        </w:trPr>
        <w:tc>
          <w:tcPr>
            <w:cnfStyle w:val="001000000000" w:firstRow="0" w:lastRow="0" w:firstColumn="1" w:lastColumn="0" w:oddVBand="0" w:evenVBand="0" w:oddHBand="0" w:evenHBand="0" w:firstRowFirstColumn="0" w:firstRowLastColumn="0" w:lastRowFirstColumn="0" w:lastRowLastColumn="0"/>
            <w:tcW w:w="2098" w:type="pct"/>
            <w:vAlign w:val="center"/>
            <w:hideMark/>
          </w:tcPr>
          <w:p w14:paraId="662C8FD7" w14:textId="77777777" w:rsidR="00653999" w:rsidRPr="009A6C26" w:rsidRDefault="00653999" w:rsidP="00C96668">
            <w:pPr>
              <w:spacing w:before="30" w:after="30"/>
              <w:jc w:val="both"/>
            </w:pPr>
            <w:r w:rsidRPr="00C72949">
              <w:t>Aboriginal and/or Torres Strait Islander</w:t>
            </w:r>
          </w:p>
        </w:tc>
        <w:tc>
          <w:tcPr>
            <w:tcW w:w="1451" w:type="pct"/>
            <w:vAlign w:val="center"/>
          </w:tcPr>
          <w:p w14:paraId="56971308" w14:textId="77777777" w:rsidR="00653999" w:rsidRPr="009A6C26" w:rsidRDefault="00653999" w:rsidP="00C96668">
            <w:pPr>
              <w:spacing w:before="30" w:after="30"/>
              <w:cnfStyle w:val="000000000000" w:firstRow="0" w:lastRow="0" w:firstColumn="0" w:lastColumn="0" w:oddVBand="0" w:evenVBand="0" w:oddHBand="0" w:evenHBand="0" w:firstRowFirstColumn="0" w:firstRowLastColumn="0" w:lastRowFirstColumn="0" w:lastRowLastColumn="0"/>
              <w:rPr>
                <w:color w:val="000000"/>
              </w:rPr>
            </w:pPr>
            <w:r>
              <w:rPr>
                <w:color w:val="000000"/>
              </w:rPr>
              <w:t>0</w:t>
            </w:r>
          </w:p>
        </w:tc>
        <w:tc>
          <w:tcPr>
            <w:tcW w:w="1451" w:type="pct"/>
            <w:vAlign w:val="center"/>
          </w:tcPr>
          <w:p w14:paraId="7CC1F145" w14:textId="77777777" w:rsidR="00653999" w:rsidRPr="009A6C26" w:rsidRDefault="00653999" w:rsidP="00C96668">
            <w:pPr>
              <w:spacing w:before="30" w:after="30"/>
              <w:cnfStyle w:val="000000000000" w:firstRow="0" w:lastRow="0" w:firstColumn="0" w:lastColumn="0" w:oddVBand="0" w:evenVBand="0" w:oddHBand="0" w:evenHBand="0" w:firstRowFirstColumn="0" w:firstRowLastColumn="0" w:lastRowFirstColumn="0" w:lastRowLastColumn="0"/>
              <w:rPr>
                <w:color w:val="000000"/>
              </w:rPr>
            </w:pPr>
            <w:r>
              <w:rPr>
                <w:color w:val="000000"/>
              </w:rPr>
              <w:t>0%</w:t>
            </w:r>
          </w:p>
        </w:tc>
      </w:tr>
      <w:tr w:rsidR="00653999" w:rsidRPr="009A6C26" w14:paraId="24DA911F" w14:textId="77777777" w:rsidTr="00C96668">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2098" w:type="pct"/>
            <w:vAlign w:val="center"/>
            <w:hideMark/>
          </w:tcPr>
          <w:p w14:paraId="5A7E4A85" w14:textId="77777777" w:rsidR="00653999" w:rsidRPr="009A6C26" w:rsidRDefault="00653999" w:rsidP="00C96668">
            <w:pPr>
              <w:spacing w:before="30" w:after="30"/>
            </w:pPr>
            <w:r w:rsidRPr="00C96AAD">
              <w:t>Culturally &amp; Linguistically Diverse</w:t>
            </w:r>
          </w:p>
        </w:tc>
        <w:tc>
          <w:tcPr>
            <w:tcW w:w="1451" w:type="pct"/>
            <w:vAlign w:val="center"/>
          </w:tcPr>
          <w:p w14:paraId="39FDBF83" w14:textId="77777777" w:rsidR="00653999" w:rsidRPr="009A6C26" w:rsidRDefault="00653999" w:rsidP="00C96668">
            <w:pPr>
              <w:spacing w:before="30" w:after="30"/>
              <w:cnfStyle w:val="000000010000" w:firstRow="0" w:lastRow="0" w:firstColumn="0" w:lastColumn="0" w:oddVBand="0" w:evenVBand="0" w:oddHBand="0" w:evenHBand="1" w:firstRowFirstColumn="0" w:firstRowLastColumn="0" w:lastRowFirstColumn="0" w:lastRowLastColumn="0"/>
            </w:pPr>
            <w:r>
              <w:t>21</w:t>
            </w:r>
          </w:p>
        </w:tc>
        <w:tc>
          <w:tcPr>
            <w:tcW w:w="1451" w:type="pct"/>
            <w:vAlign w:val="center"/>
          </w:tcPr>
          <w:p w14:paraId="56A8CD58" w14:textId="77777777" w:rsidR="00653999" w:rsidRPr="009A6C26" w:rsidRDefault="00653999" w:rsidP="00C96668">
            <w:pPr>
              <w:spacing w:before="30" w:after="30"/>
              <w:cnfStyle w:val="000000010000" w:firstRow="0" w:lastRow="0" w:firstColumn="0" w:lastColumn="0" w:oddVBand="0" w:evenVBand="0" w:oddHBand="0" w:evenHBand="1" w:firstRowFirstColumn="0" w:firstRowLastColumn="0" w:lastRowFirstColumn="0" w:lastRowLastColumn="0"/>
            </w:pPr>
            <w:r>
              <w:t>48.8%</w:t>
            </w:r>
          </w:p>
        </w:tc>
      </w:tr>
      <w:tr w:rsidR="00653999" w:rsidRPr="009A6C26" w14:paraId="3CBB122D" w14:textId="77777777" w:rsidTr="00C96668">
        <w:trPr>
          <w:cantSplit w:val="0"/>
          <w:trHeight w:val="96"/>
        </w:trPr>
        <w:tc>
          <w:tcPr>
            <w:cnfStyle w:val="001000000000" w:firstRow="0" w:lastRow="0" w:firstColumn="1" w:lastColumn="0" w:oddVBand="0" w:evenVBand="0" w:oddHBand="0" w:evenHBand="0" w:firstRowFirstColumn="0" w:firstRowLastColumn="0" w:lastRowFirstColumn="0" w:lastRowLastColumn="0"/>
            <w:tcW w:w="2098" w:type="pct"/>
            <w:vAlign w:val="center"/>
          </w:tcPr>
          <w:p w14:paraId="6FFE182B" w14:textId="77777777" w:rsidR="00653999" w:rsidRPr="009A6C26" w:rsidRDefault="00653999" w:rsidP="00C96668">
            <w:pPr>
              <w:spacing w:before="30" w:after="30"/>
            </w:pPr>
            <w:r w:rsidRPr="00C96AAD">
              <w:t>People with a disability</w:t>
            </w:r>
          </w:p>
        </w:tc>
        <w:tc>
          <w:tcPr>
            <w:tcW w:w="1451" w:type="pct"/>
            <w:vAlign w:val="center"/>
          </w:tcPr>
          <w:p w14:paraId="01F21586" w14:textId="77777777" w:rsidR="00653999" w:rsidRPr="009A6C26" w:rsidRDefault="00653999" w:rsidP="00C96668">
            <w:pPr>
              <w:spacing w:before="30" w:after="30"/>
              <w:cnfStyle w:val="000000000000" w:firstRow="0" w:lastRow="0" w:firstColumn="0" w:lastColumn="0" w:oddVBand="0" w:evenVBand="0" w:oddHBand="0" w:evenHBand="0" w:firstRowFirstColumn="0" w:firstRowLastColumn="0" w:lastRowFirstColumn="0" w:lastRowLastColumn="0"/>
            </w:pPr>
            <w:r>
              <w:t>1</w:t>
            </w:r>
          </w:p>
        </w:tc>
        <w:tc>
          <w:tcPr>
            <w:tcW w:w="1451" w:type="pct"/>
            <w:vAlign w:val="center"/>
          </w:tcPr>
          <w:p w14:paraId="3F30585F" w14:textId="77777777" w:rsidR="00653999" w:rsidRPr="009A6C26" w:rsidRDefault="00653999" w:rsidP="00C96668">
            <w:pPr>
              <w:spacing w:before="30" w:after="30"/>
              <w:cnfStyle w:val="000000000000" w:firstRow="0" w:lastRow="0" w:firstColumn="0" w:lastColumn="0" w:oddVBand="0" w:evenVBand="0" w:oddHBand="0" w:evenHBand="0" w:firstRowFirstColumn="0" w:firstRowLastColumn="0" w:lastRowFirstColumn="0" w:lastRowLastColumn="0"/>
            </w:pPr>
            <w:r>
              <w:t>2.3%</w:t>
            </w:r>
          </w:p>
        </w:tc>
      </w:tr>
    </w:tbl>
    <w:p w14:paraId="27626E48" w14:textId="75955A98" w:rsidR="00CD2791" w:rsidRPr="009A6C26" w:rsidRDefault="008E0B64" w:rsidP="00FE505F">
      <w:pPr>
        <w:pStyle w:val="Heading4"/>
        <w:rPr>
          <w:rFonts w:cs="Arial"/>
        </w:rPr>
      </w:pPr>
      <w:r>
        <w:rPr>
          <w:rFonts w:cs="Arial"/>
        </w:rPr>
        <w:t>R</w:t>
      </w:r>
      <w:r w:rsidR="00CD2791" w:rsidRPr="009A6C26">
        <w:rPr>
          <w:rFonts w:cs="Arial"/>
        </w:rPr>
        <w:t>ecruitment and separation rates</w:t>
      </w:r>
    </w:p>
    <w:tbl>
      <w:tblPr>
        <w:tblStyle w:val="ACTLeavetable"/>
        <w:tblW w:w="5000" w:type="pct"/>
        <w:tblLook w:val="04A0" w:firstRow="1" w:lastRow="0" w:firstColumn="1" w:lastColumn="0" w:noHBand="0" w:noVBand="1"/>
      </w:tblPr>
      <w:tblGrid>
        <w:gridCol w:w="4253"/>
        <w:gridCol w:w="2977"/>
        <w:gridCol w:w="2866"/>
      </w:tblGrid>
      <w:tr w:rsidR="00AC5724" w:rsidRPr="009A6C26" w14:paraId="331198D8" w14:textId="77777777" w:rsidTr="00C85131">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2106" w:type="pct"/>
            <w:vAlign w:val="center"/>
            <w:hideMark/>
          </w:tcPr>
          <w:p w14:paraId="062D97D4" w14:textId="77777777" w:rsidR="00CD2791" w:rsidRPr="009A6C26" w:rsidRDefault="00CD2791" w:rsidP="003D09D7">
            <w:pPr>
              <w:spacing w:before="30" w:after="30"/>
            </w:pPr>
            <w:r w:rsidRPr="009A6C26">
              <w:t> Classification group</w:t>
            </w:r>
          </w:p>
        </w:tc>
        <w:tc>
          <w:tcPr>
            <w:tcW w:w="1474" w:type="pct"/>
            <w:vAlign w:val="center"/>
            <w:hideMark/>
          </w:tcPr>
          <w:p w14:paraId="1E264110"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Recruitment rate</w:t>
            </w:r>
          </w:p>
        </w:tc>
        <w:tc>
          <w:tcPr>
            <w:tcW w:w="1419" w:type="pct"/>
            <w:vAlign w:val="center"/>
            <w:hideMark/>
          </w:tcPr>
          <w:p w14:paraId="3C9ABA43"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Separation rate</w:t>
            </w:r>
          </w:p>
        </w:tc>
      </w:tr>
      <w:tr w:rsidR="00CD2791" w:rsidRPr="009A6C26" w14:paraId="43EFC96D" w14:textId="77777777" w:rsidTr="00C85131">
        <w:trPr>
          <w:cantSplit w:val="0"/>
          <w:trHeight w:val="96"/>
        </w:trPr>
        <w:tc>
          <w:tcPr>
            <w:cnfStyle w:val="001000000000" w:firstRow="0" w:lastRow="0" w:firstColumn="1" w:lastColumn="0" w:oddVBand="0" w:evenVBand="0" w:oddHBand="0" w:evenHBand="0" w:firstRowFirstColumn="0" w:firstRowLastColumn="0" w:lastRowFirstColumn="0" w:lastRowLastColumn="0"/>
            <w:tcW w:w="2106" w:type="pct"/>
            <w:vAlign w:val="center"/>
            <w:hideMark/>
          </w:tcPr>
          <w:p w14:paraId="6BAC3B2E" w14:textId="77777777" w:rsidR="00CD2791" w:rsidRPr="009A6C26" w:rsidRDefault="00CD2791" w:rsidP="003D09D7">
            <w:pPr>
              <w:spacing w:before="30" w:after="30"/>
            </w:pPr>
            <w:r w:rsidRPr="009A6C26">
              <w:t>Total</w:t>
            </w:r>
          </w:p>
        </w:tc>
        <w:tc>
          <w:tcPr>
            <w:tcW w:w="1474" w:type="pct"/>
            <w:vAlign w:val="center"/>
            <w:hideMark/>
          </w:tcPr>
          <w:p w14:paraId="496735CB" w14:textId="29D56DBF" w:rsidR="00CD2791" w:rsidRPr="009A6C26" w:rsidRDefault="008E0B64" w:rsidP="003D09D7">
            <w:pPr>
              <w:spacing w:before="30" w:after="30"/>
              <w:cnfStyle w:val="000000000000" w:firstRow="0" w:lastRow="0" w:firstColumn="0" w:lastColumn="0" w:oddVBand="0" w:evenVBand="0" w:oddHBand="0" w:evenHBand="0" w:firstRowFirstColumn="0" w:firstRowLastColumn="0" w:lastRowFirstColumn="0" w:lastRowLastColumn="0"/>
              <w:rPr>
                <w:color w:val="000000"/>
              </w:rPr>
            </w:pPr>
            <w:r>
              <w:t>2</w:t>
            </w:r>
            <w:r w:rsidR="00CD2791" w:rsidRPr="009A6C26">
              <w:t>.8%</w:t>
            </w:r>
          </w:p>
        </w:tc>
        <w:tc>
          <w:tcPr>
            <w:tcW w:w="1419" w:type="pct"/>
            <w:vAlign w:val="center"/>
            <w:hideMark/>
          </w:tcPr>
          <w:p w14:paraId="17877DBF" w14:textId="183C69FC" w:rsidR="00CD2791" w:rsidRPr="009A6C26" w:rsidRDefault="008E0B64" w:rsidP="003D09D7">
            <w:pPr>
              <w:spacing w:before="30" w:after="30"/>
              <w:cnfStyle w:val="000000000000" w:firstRow="0" w:lastRow="0" w:firstColumn="0" w:lastColumn="0" w:oddVBand="0" w:evenVBand="0" w:oddHBand="0" w:evenHBand="0" w:firstRowFirstColumn="0" w:firstRowLastColumn="0" w:lastRowFirstColumn="0" w:lastRowLastColumn="0"/>
              <w:rPr>
                <w:color w:val="000000"/>
              </w:rPr>
            </w:pPr>
            <w:r>
              <w:t>8.5</w:t>
            </w:r>
            <w:r w:rsidR="00CD2791" w:rsidRPr="009A6C26">
              <w:t>%</w:t>
            </w:r>
          </w:p>
        </w:tc>
      </w:tr>
    </w:tbl>
    <w:p w14:paraId="610F278C" w14:textId="77777777" w:rsidR="00CD2791" w:rsidRPr="009A6C26" w:rsidRDefault="00CD2791" w:rsidP="00FE505F">
      <w:pPr>
        <w:pStyle w:val="Heading4"/>
        <w:rPr>
          <w:rFonts w:cs="Arial"/>
          <w:lang w:val="en-US"/>
        </w:rPr>
      </w:pPr>
      <w:r w:rsidRPr="009A6C26">
        <w:rPr>
          <w:rFonts w:cs="Arial"/>
          <w:lang w:val="en-US"/>
        </w:rPr>
        <w:t>Gender pay gap</w:t>
      </w:r>
      <w:r w:rsidRPr="009A6C26">
        <w:rPr>
          <w:rFonts w:cs="Arial"/>
        </w:rPr>
        <w:tab/>
      </w:r>
      <w:r w:rsidRPr="009A6C26">
        <w:rPr>
          <w:rFonts w:cs="Arial"/>
        </w:rPr>
        <w:tab/>
      </w:r>
    </w:p>
    <w:tbl>
      <w:tblPr>
        <w:tblStyle w:val="ACTLeavetable"/>
        <w:tblW w:w="5000" w:type="pct"/>
        <w:tblLook w:val="04A0" w:firstRow="1" w:lastRow="0" w:firstColumn="1" w:lastColumn="0" w:noHBand="0" w:noVBand="1"/>
      </w:tblPr>
      <w:tblGrid>
        <w:gridCol w:w="3684"/>
        <w:gridCol w:w="2137"/>
        <w:gridCol w:w="2137"/>
        <w:gridCol w:w="2138"/>
      </w:tblGrid>
      <w:tr w:rsidR="006A2380" w:rsidRPr="009A6C26" w14:paraId="525CCCC9" w14:textId="77777777" w:rsidTr="00DC0307">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824" w:type="pct"/>
            <w:vAlign w:val="center"/>
          </w:tcPr>
          <w:p w14:paraId="1D6D149B" w14:textId="77777777" w:rsidR="00CD2791" w:rsidRPr="009A6C26" w:rsidRDefault="00CD2791" w:rsidP="003D09D7">
            <w:pPr>
              <w:spacing w:before="30" w:after="30"/>
              <w:rPr>
                <w:bCs/>
                <w:szCs w:val="16"/>
              </w:rPr>
            </w:pPr>
            <w:r w:rsidRPr="009A6C26">
              <w:t>Classification group</w:t>
            </w:r>
          </w:p>
        </w:tc>
        <w:tc>
          <w:tcPr>
            <w:tcW w:w="1058" w:type="pct"/>
            <w:vAlign w:val="center"/>
          </w:tcPr>
          <w:p w14:paraId="7CBC439D"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Female</w:t>
            </w:r>
          </w:p>
        </w:tc>
        <w:tc>
          <w:tcPr>
            <w:tcW w:w="1058" w:type="pct"/>
            <w:vAlign w:val="center"/>
          </w:tcPr>
          <w:p w14:paraId="5D7ADEE9"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Male</w:t>
            </w:r>
          </w:p>
        </w:tc>
        <w:tc>
          <w:tcPr>
            <w:tcW w:w="1059" w:type="pct"/>
            <w:vAlign w:val="center"/>
          </w:tcPr>
          <w:p w14:paraId="4DC67AAB" w14:textId="77777777" w:rsidR="00CD2791" w:rsidRPr="009A6C26" w:rsidRDefault="00CD2791" w:rsidP="003D09D7">
            <w:pPr>
              <w:spacing w:before="30" w:after="30"/>
              <w:cnfStyle w:val="100000000000" w:firstRow="1" w:lastRow="0" w:firstColumn="0" w:lastColumn="0" w:oddVBand="0" w:evenVBand="0" w:oddHBand="0" w:evenHBand="0" w:firstRowFirstColumn="0" w:firstRowLastColumn="0" w:lastRowFirstColumn="0" w:lastRowLastColumn="0"/>
            </w:pPr>
            <w:r w:rsidRPr="009A6C26">
              <w:t>Pay gap</w:t>
            </w:r>
          </w:p>
        </w:tc>
      </w:tr>
      <w:tr w:rsidR="00CD2791" w:rsidRPr="009A6C26" w14:paraId="76A64FB7" w14:textId="77777777" w:rsidTr="00DC0307">
        <w:trPr>
          <w:cantSplit w:val="0"/>
          <w:trHeight w:val="96"/>
        </w:trPr>
        <w:tc>
          <w:tcPr>
            <w:cnfStyle w:val="001000000000" w:firstRow="0" w:lastRow="0" w:firstColumn="1" w:lastColumn="0" w:oddVBand="0" w:evenVBand="0" w:oddHBand="0" w:evenHBand="0" w:firstRowFirstColumn="0" w:firstRowLastColumn="0" w:lastRowFirstColumn="0" w:lastRowLastColumn="0"/>
            <w:tcW w:w="1824" w:type="pct"/>
            <w:vAlign w:val="center"/>
          </w:tcPr>
          <w:p w14:paraId="4D290C9E" w14:textId="77777777" w:rsidR="00CD2791" w:rsidRPr="009A6C26" w:rsidRDefault="00CD2791" w:rsidP="003D09D7">
            <w:pPr>
              <w:spacing w:before="30" w:after="30"/>
              <w:rPr>
                <w:rFonts w:eastAsia="Times New Roman"/>
              </w:rPr>
            </w:pPr>
            <w:r w:rsidRPr="009A6C26">
              <w:t>Administrative Officers</w:t>
            </w:r>
          </w:p>
        </w:tc>
        <w:tc>
          <w:tcPr>
            <w:tcW w:w="1058" w:type="pct"/>
            <w:vAlign w:val="center"/>
          </w:tcPr>
          <w:p w14:paraId="3AD5DBD2" w14:textId="3247FDF8" w:rsidR="00CD2791" w:rsidRPr="009A6C26" w:rsidRDefault="007E1B43" w:rsidP="003D09D7">
            <w:pPr>
              <w:spacing w:before="30" w:after="30"/>
              <w:cnfStyle w:val="000000000000" w:firstRow="0" w:lastRow="0" w:firstColumn="0" w:lastColumn="0" w:oddVBand="0" w:evenVBand="0" w:oddHBand="0" w:evenHBand="0" w:firstRowFirstColumn="0" w:firstRowLastColumn="0" w:lastRowFirstColumn="0" w:lastRowLastColumn="0"/>
            </w:pPr>
            <w:r>
              <w:t>97,950</w:t>
            </w:r>
          </w:p>
        </w:tc>
        <w:tc>
          <w:tcPr>
            <w:tcW w:w="1058" w:type="pct"/>
            <w:vAlign w:val="center"/>
          </w:tcPr>
          <w:p w14:paraId="395ED9A3" w14:textId="669EEA52" w:rsidR="00CD2791" w:rsidRPr="009A6C26" w:rsidRDefault="007E1B43" w:rsidP="003D09D7">
            <w:pPr>
              <w:spacing w:before="30" w:after="30"/>
              <w:cnfStyle w:val="000000000000" w:firstRow="0" w:lastRow="0" w:firstColumn="0" w:lastColumn="0" w:oddVBand="0" w:evenVBand="0" w:oddHBand="0" w:evenHBand="0" w:firstRowFirstColumn="0" w:firstRowLastColumn="0" w:lastRowFirstColumn="0" w:lastRowLastColumn="0"/>
            </w:pPr>
            <w:r>
              <w:t>100,982</w:t>
            </w:r>
          </w:p>
        </w:tc>
        <w:tc>
          <w:tcPr>
            <w:tcW w:w="1059" w:type="pct"/>
            <w:vAlign w:val="center"/>
          </w:tcPr>
          <w:p w14:paraId="06D00D99" w14:textId="4B645564" w:rsidR="00CD2791" w:rsidRPr="009A6C26" w:rsidRDefault="007E1B43" w:rsidP="003D09D7">
            <w:pPr>
              <w:spacing w:before="30" w:after="30"/>
              <w:cnfStyle w:val="000000000000" w:firstRow="0" w:lastRow="0" w:firstColumn="0" w:lastColumn="0" w:oddVBand="0" w:evenVBand="0" w:oddHBand="0" w:evenHBand="0" w:firstRowFirstColumn="0" w:firstRowLastColumn="0" w:lastRowFirstColumn="0" w:lastRowLastColumn="0"/>
            </w:pPr>
            <w:r>
              <w:t>3.0</w:t>
            </w:r>
            <w:r w:rsidR="00CD2791" w:rsidRPr="009A6C26">
              <w:t>%</w:t>
            </w:r>
          </w:p>
        </w:tc>
      </w:tr>
      <w:tr w:rsidR="00CD3021" w:rsidRPr="009A6C26" w14:paraId="5D9247CD" w14:textId="77777777" w:rsidTr="00DC0307">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824" w:type="pct"/>
            <w:vAlign w:val="center"/>
          </w:tcPr>
          <w:p w14:paraId="654D14F7" w14:textId="77777777" w:rsidR="00CD2791" w:rsidRPr="009A6C26" w:rsidRDefault="00CD2791" w:rsidP="003D09D7">
            <w:pPr>
              <w:spacing w:before="30" w:after="30"/>
              <w:rPr>
                <w:rFonts w:eastAsia="Times New Roman"/>
              </w:rPr>
            </w:pPr>
            <w:r w:rsidRPr="009A6C26">
              <w:t>Senior Officers</w:t>
            </w:r>
          </w:p>
        </w:tc>
        <w:tc>
          <w:tcPr>
            <w:tcW w:w="1058" w:type="pct"/>
            <w:vAlign w:val="center"/>
          </w:tcPr>
          <w:p w14:paraId="592A40BD" w14:textId="56F7AD63" w:rsidR="00CD2791" w:rsidRPr="009A6C26" w:rsidRDefault="00942528" w:rsidP="003D09D7">
            <w:pPr>
              <w:spacing w:before="30" w:after="30"/>
              <w:cnfStyle w:val="000000010000" w:firstRow="0" w:lastRow="0" w:firstColumn="0" w:lastColumn="0" w:oddVBand="0" w:evenVBand="0" w:oddHBand="0" w:evenHBand="1" w:firstRowFirstColumn="0" w:firstRowLastColumn="0" w:lastRowFirstColumn="0" w:lastRowLastColumn="0"/>
            </w:pPr>
            <w:r>
              <w:t>159,244</w:t>
            </w:r>
          </w:p>
        </w:tc>
        <w:tc>
          <w:tcPr>
            <w:tcW w:w="1058" w:type="pct"/>
            <w:vAlign w:val="center"/>
          </w:tcPr>
          <w:p w14:paraId="450279E9" w14:textId="7AF267F1" w:rsidR="00CD2791" w:rsidRPr="009A6C26" w:rsidRDefault="00942528" w:rsidP="003D09D7">
            <w:pPr>
              <w:spacing w:before="30" w:after="30"/>
              <w:cnfStyle w:val="000000010000" w:firstRow="0" w:lastRow="0" w:firstColumn="0" w:lastColumn="0" w:oddVBand="0" w:evenVBand="0" w:oddHBand="0" w:evenHBand="1" w:firstRowFirstColumn="0" w:firstRowLastColumn="0" w:lastRowFirstColumn="0" w:lastRowLastColumn="0"/>
            </w:pPr>
            <w:r>
              <w:t>146,810</w:t>
            </w:r>
          </w:p>
        </w:tc>
        <w:tc>
          <w:tcPr>
            <w:tcW w:w="1059" w:type="pct"/>
            <w:vAlign w:val="center"/>
          </w:tcPr>
          <w:p w14:paraId="0B0BC507" w14:textId="09CB1820"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w:t>
            </w:r>
            <w:r w:rsidR="00942528">
              <w:t>8.5</w:t>
            </w:r>
            <w:r w:rsidRPr="009A6C26">
              <w:t>%</w:t>
            </w:r>
          </w:p>
        </w:tc>
      </w:tr>
      <w:tr w:rsidR="00CD2791" w:rsidRPr="009A6C26" w14:paraId="7E947D23" w14:textId="77777777" w:rsidTr="00DC0307">
        <w:trPr>
          <w:cantSplit w:val="0"/>
          <w:trHeight w:val="96"/>
        </w:trPr>
        <w:tc>
          <w:tcPr>
            <w:cnfStyle w:val="001000000000" w:firstRow="0" w:lastRow="0" w:firstColumn="1" w:lastColumn="0" w:oddVBand="0" w:evenVBand="0" w:oddHBand="0" w:evenHBand="0" w:firstRowFirstColumn="0" w:firstRowLastColumn="0" w:lastRowFirstColumn="0" w:lastRowLastColumn="0"/>
            <w:tcW w:w="1824" w:type="pct"/>
            <w:vAlign w:val="center"/>
          </w:tcPr>
          <w:p w14:paraId="4FD96E65" w14:textId="77777777" w:rsidR="00CD2791" w:rsidRPr="009A6C26" w:rsidRDefault="00CD2791" w:rsidP="003D09D7">
            <w:pPr>
              <w:spacing w:before="30" w:after="30"/>
              <w:rPr>
                <w:rFonts w:eastAsia="Times New Roman"/>
              </w:rPr>
            </w:pPr>
            <w:r w:rsidRPr="009A6C26">
              <w:t>Executive Officers</w:t>
            </w:r>
          </w:p>
        </w:tc>
        <w:tc>
          <w:tcPr>
            <w:tcW w:w="1058" w:type="pct"/>
            <w:vAlign w:val="center"/>
          </w:tcPr>
          <w:p w14:paraId="636CFA3F" w14:textId="2A2E8AF3" w:rsidR="00CD2791" w:rsidRPr="009A6C26" w:rsidRDefault="003B5D1C" w:rsidP="003D09D7">
            <w:pPr>
              <w:spacing w:before="30" w:after="30"/>
              <w:cnfStyle w:val="000000000000" w:firstRow="0" w:lastRow="0" w:firstColumn="0" w:lastColumn="0" w:oddVBand="0" w:evenVBand="0" w:oddHBand="0" w:evenHBand="0" w:firstRowFirstColumn="0" w:firstRowLastColumn="0" w:lastRowFirstColumn="0" w:lastRowLastColumn="0"/>
            </w:pPr>
            <w:r>
              <w:t>228,024</w:t>
            </w:r>
          </w:p>
        </w:tc>
        <w:tc>
          <w:tcPr>
            <w:tcW w:w="1058" w:type="pct"/>
            <w:vAlign w:val="center"/>
          </w:tcPr>
          <w:p w14:paraId="66C92FC1"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w:t>
            </w:r>
          </w:p>
        </w:tc>
        <w:tc>
          <w:tcPr>
            <w:tcW w:w="1059" w:type="pct"/>
            <w:vAlign w:val="center"/>
          </w:tcPr>
          <w:p w14:paraId="4F39FC65" w14:textId="77777777" w:rsidR="00CD2791" w:rsidRPr="009A6C26" w:rsidRDefault="00CD2791" w:rsidP="003D09D7">
            <w:pPr>
              <w:spacing w:before="30" w:after="30"/>
              <w:cnfStyle w:val="000000000000" w:firstRow="0" w:lastRow="0" w:firstColumn="0" w:lastColumn="0" w:oddVBand="0" w:evenVBand="0" w:oddHBand="0" w:evenHBand="0" w:firstRowFirstColumn="0" w:firstRowLastColumn="0" w:lastRowFirstColumn="0" w:lastRowLastColumn="0"/>
            </w:pPr>
            <w:r w:rsidRPr="009A6C26">
              <w:t>0.0%</w:t>
            </w:r>
          </w:p>
        </w:tc>
      </w:tr>
      <w:tr w:rsidR="00CD3021" w:rsidRPr="009A6C26" w14:paraId="7F78E146" w14:textId="77777777" w:rsidTr="00DC0307">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1824" w:type="pct"/>
            <w:vAlign w:val="center"/>
          </w:tcPr>
          <w:p w14:paraId="2191AEBD" w14:textId="77777777" w:rsidR="00CD2791" w:rsidRPr="009A6C26" w:rsidRDefault="00CD2791" w:rsidP="003D09D7">
            <w:pPr>
              <w:spacing w:before="30" w:after="30"/>
            </w:pPr>
            <w:r w:rsidRPr="009A6C26">
              <w:t>Total</w:t>
            </w:r>
          </w:p>
        </w:tc>
        <w:tc>
          <w:tcPr>
            <w:tcW w:w="1058" w:type="pct"/>
            <w:vAlign w:val="center"/>
          </w:tcPr>
          <w:p w14:paraId="6CE9486C" w14:textId="748F942A" w:rsidR="00CD2791" w:rsidRPr="009A6C26" w:rsidRDefault="003B5D1C" w:rsidP="003D09D7">
            <w:pPr>
              <w:spacing w:before="30" w:after="30"/>
              <w:cnfStyle w:val="000000010000" w:firstRow="0" w:lastRow="0" w:firstColumn="0" w:lastColumn="0" w:oddVBand="0" w:evenVBand="0" w:oddHBand="0" w:evenHBand="1" w:firstRowFirstColumn="0" w:firstRowLastColumn="0" w:lastRowFirstColumn="0" w:lastRowLastColumn="0"/>
            </w:pPr>
            <w:r>
              <w:t>114,118</w:t>
            </w:r>
          </w:p>
        </w:tc>
        <w:tc>
          <w:tcPr>
            <w:tcW w:w="1058" w:type="pct"/>
            <w:vAlign w:val="center"/>
          </w:tcPr>
          <w:p w14:paraId="4C8C472D" w14:textId="4872259E" w:rsidR="00CD2791" w:rsidRPr="009A6C26" w:rsidRDefault="003B5D1C" w:rsidP="003D09D7">
            <w:pPr>
              <w:spacing w:before="30" w:after="30"/>
              <w:cnfStyle w:val="000000010000" w:firstRow="0" w:lastRow="0" w:firstColumn="0" w:lastColumn="0" w:oddVBand="0" w:evenVBand="0" w:oddHBand="0" w:evenHBand="1" w:firstRowFirstColumn="0" w:firstRowLastColumn="0" w:lastRowFirstColumn="0" w:lastRowLastColumn="0"/>
            </w:pPr>
            <w:r>
              <w:t>109,575</w:t>
            </w:r>
          </w:p>
        </w:tc>
        <w:tc>
          <w:tcPr>
            <w:tcW w:w="1059" w:type="pct"/>
            <w:vAlign w:val="center"/>
          </w:tcPr>
          <w:p w14:paraId="3C937193" w14:textId="1FBC5FE5" w:rsidR="00CD2791" w:rsidRPr="009A6C26" w:rsidRDefault="00CD2791" w:rsidP="003D09D7">
            <w:pPr>
              <w:spacing w:before="30" w:after="30"/>
              <w:cnfStyle w:val="000000010000" w:firstRow="0" w:lastRow="0" w:firstColumn="0" w:lastColumn="0" w:oddVBand="0" w:evenVBand="0" w:oddHBand="0" w:evenHBand="1" w:firstRowFirstColumn="0" w:firstRowLastColumn="0" w:lastRowFirstColumn="0" w:lastRowLastColumn="0"/>
            </w:pPr>
            <w:r w:rsidRPr="009A6C26">
              <w:t>-</w:t>
            </w:r>
            <w:r w:rsidR="003B5D1C">
              <w:t>4.1</w:t>
            </w:r>
            <w:r w:rsidRPr="009A6C26">
              <w:t>%</w:t>
            </w:r>
          </w:p>
        </w:tc>
      </w:tr>
    </w:tbl>
    <w:p w14:paraId="52FE9F55" w14:textId="5DF9F1A9" w:rsidR="00871404" w:rsidRPr="009A6C26" w:rsidRDefault="00A94EE7" w:rsidP="007D4944">
      <w:pPr>
        <w:pStyle w:val="Heading3NoNumber"/>
        <w:rPr>
          <w:rFonts w:cs="Arial"/>
        </w:rPr>
      </w:pPr>
      <w:r>
        <w:rPr>
          <w:rFonts w:cs="Arial"/>
        </w:rPr>
        <w:t>Learning</w:t>
      </w:r>
      <w:r w:rsidR="00276462" w:rsidRPr="009A6C26">
        <w:rPr>
          <w:rFonts w:cs="Arial"/>
        </w:rPr>
        <w:t xml:space="preserve"> and </w:t>
      </w:r>
      <w:r w:rsidR="00C043AB" w:rsidRPr="009A6C26">
        <w:rPr>
          <w:rFonts w:cs="Arial"/>
        </w:rPr>
        <w:t>d</w:t>
      </w:r>
      <w:r w:rsidR="00276462" w:rsidRPr="009A6C26">
        <w:rPr>
          <w:rFonts w:cs="Arial"/>
        </w:rPr>
        <w:t>evelopment</w:t>
      </w:r>
    </w:p>
    <w:p w14:paraId="54C10ABE" w14:textId="77777777" w:rsidR="00BD41C1" w:rsidRPr="00BD41C1" w:rsidRDefault="00583F3E" w:rsidP="00BD41C1">
      <w:pPr>
        <w:rPr>
          <w:lang w:val="en-AU"/>
        </w:rPr>
      </w:pPr>
      <w:r w:rsidRPr="009A6C26">
        <w:t xml:space="preserve">The </w:t>
      </w:r>
      <w:r w:rsidR="00132FEC" w:rsidRPr="009A6C26">
        <w:t>Chief Executive Officer, Executive Team</w:t>
      </w:r>
      <w:r w:rsidRPr="009A6C26">
        <w:t xml:space="preserve"> </w:t>
      </w:r>
      <w:r w:rsidR="00341C45" w:rsidRPr="009A6C26">
        <w:t xml:space="preserve">and </w:t>
      </w:r>
      <w:r w:rsidR="00FC26F7" w:rsidRPr="009A6C26">
        <w:t>senior staff</w:t>
      </w:r>
      <w:r w:rsidRPr="009A6C26">
        <w:t xml:space="preserve"> oversee staff performance </w:t>
      </w:r>
      <w:r w:rsidR="004369F6" w:rsidRPr="009A6C26">
        <w:t xml:space="preserve">ensuring there are </w:t>
      </w:r>
      <w:r w:rsidR="005C54FB" w:rsidRPr="009A6C26">
        <w:t xml:space="preserve">Performance Development Plans in place for all staff with structured </w:t>
      </w:r>
      <w:r w:rsidRPr="009A6C26">
        <w:t xml:space="preserve">performance reviews </w:t>
      </w:r>
      <w:r w:rsidR="005C54FB" w:rsidRPr="009A6C26">
        <w:t>scheduled twice a year</w:t>
      </w:r>
      <w:r w:rsidRPr="009A6C26">
        <w:t xml:space="preserve">. </w:t>
      </w:r>
      <w:r w:rsidRPr="00BD41C1">
        <w:rPr>
          <w:lang w:val="en-AU"/>
        </w:rPr>
        <w:t>On</w:t>
      </w:r>
      <w:r w:rsidR="00BD41C1" w:rsidRPr="00BD41C1">
        <w:rPr>
          <w:lang w:val="en-AU"/>
        </w:rPr>
        <w:t>-</w:t>
      </w:r>
      <w:r w:rsidRPr="00BD41C1">
        <w:rPr>
          <w:lang w:val="en-AU"/>
        </w:rPr>
        <w:t>the</w:t>
      </w:r>
      <w:r w:rsidR="00BD41C1" w:rsidRPr="00BD41C1">
        <w:rPr>
          <w:lang w:val="en-AU"/>
        </w:rPr>
        <w:t>-</w:t>
      </w:r>
      <w:r w:rsidRPr="00BD41C1">
        <w:rPr>
          <w:lang w:val="en-AU"/>
        </w:rPr>
        <w:t>job</w:t>
      </w:r>
      <w:r w:rsidR="00BD41C1" w:rsidRPr="00BD41C1">
        <w:rPr>
          <w:lang w:val="en-AU"/>
        </w:rPr>
        <w:t xml:space="preserve"> learning</w:t>
      </w:r>
      <w:r w:rsidR="00B2131F" w:rsidRPr="00BD41C1">
        <w:rPr>
          <w:lang w:val="en-AU"/>
        </w:rPr>
        <w:t>,</w:t>
      </w:r>
      <w:r w:rsidRPr="00BD41C1">
        <w:rPr>
          <w:lang w:val="en-AU"/>
        </w:rPr>
        <w:t xml:space="preserve"> formal education and </w:t>
      </w:r>
      <w:r w:rsidR="00BD41C1" w:rsidRPr="00BD41C1">
        <w:rPr>
          <w:lang w:val="en-AU"/>
        </w:rPr>
        <w:t>professional development opportunities are</w:t>
      </w:r>
      <w:r w:rsidRPr="00BD41C1">
        <w:rPr>
          <w:lang w:val="en-AU"/>
        </w:rPr>
        <w:t xml:space="preserve"> provided to ensure </w:t>
      </w:r>
      <w:r w:rsidR="00BD41C1" w:rsidRPr="00BD41C1">
        <w:rPr>
          <w:lang w:val="en-AU"/>
        </w:rPr>
        <w:t xml:space="preserve">employee skills and knowledge are retained and enhanced and </w:t>
      </w:r>
      <w:r w:rsidRPr="00BD41C1">
        <w:rPr>
          <w:lang w:val="en-AU"/>
        </w:rPr>
        <w:t xml:space="preserve">that staff have the </w:t>
      </w:r>
      <w:r w:rsidR="00BD41C1" w:rsidRPr="00BD41C1">
        <w:rPr>
          <w:lang w:val="en-AU"/>
        </w:rPr>
        <w:t xml:space="preserve">capability </w:t>
      </w:r>
      <w:r w:rsidRPr="00BD41C1">
        <w:rPr>
          <w:lang w:val="en-AU"/>
        </w:rPr>
        <w:t xml:space="preserve">required to meet operational </w:t>
      </w:r>
      <w:r w:rsidR="00BD41C1" w:rsidRPr="00BD41C1">
        <w:rPr>
          <w:lang w:val="en-AU"/>
        </w:rPr>
        <w:t>and strategic objectives.</w:t>
      </w:r>
    </w:p>
    <w:p w14:paraId="4D2D223E" w14:textId="141101DD" w:rsidR="00741EA7" w:rsidRDefault="00583F3E" w:rsidP="00CF17D1">
      <w:r w:rsidRPr="00F12B3F">
        <w:rPr>
          <w:lang w:val="en-AU"/>
        </w:rPr>
        <w:t xml:space="preserve">Staff are encouraged to acquire broad operational capability and experience to </w:t>
      </w:r>
      <w:r w:rsidR="00F12B3F" w:rsidRPr="00F12B3F">
        <w:rPr>
          <w:lang w:val="en-AU"/>
        </w:rPr>
        <w:t>support</w:t>
      </w:r>
      <w:r w:rsidRPr="00F12B3F">
        <w:rPr>
          <w:lang w:val="en-AU"/>
        </w:rPr>
        <w:t xml:space="preserve"> succession planning </w:t>
      </w:r>
      <w:r w:rsidR="00F12B3F" w:rsidRPr="00F12B3F">
        <w:rPr>
          <w:lang w:val="en-AU"/>
        </w:rPr>
        <w:t xml:space="preserve">and business continuity </w:t>
      </w:r>
      <w:r w:rsidRPr="00F12B3F">
        <w:rPr>
          <w:lang w:val="en-AU"/>
        </w:rPr>
        <w:t>requirements</w:t>
      </w:r>
      <w:r w:rsidR="00F12B3F" w:rsidRPr="00F12B3F">
        <w:rPr>
          <w:lang w:val="en-AU"/>
        </w:rPr>
        <w:t>, including coverage during periods of</w:t>
      </w:r>
      <w:r w:rsidRPr="00F12B3F">
        <w:rPr>
          <w:lang w:val="en-AU"/>
        </w:rPr>
        <w:t xml:space="preserve"> unexpected staff </w:t>
      </w:r>
      <w:r w:rsidR="00F12B3F" w:rsidRPr="00F12B3F">
        <w:rPr>
          <w:lang w:val="en-AU"/>
        </w:rPr>
        <w:t>absence.</w:t>
      </w:r>
      <w:r w:rsidRPr="009A6C26">
        <w:t xml:space="preserve"> </w:t>
      </w:r>
      <w:r w:rsidR="356E8A61" w:rsidRPr="009A6C26">
        <w:t>ACT Leave</w:t>
      </w:r>
      <w:r w:rsidRPr="009A6C26">
        <w:t xml:space="preserve"> staff are recruited to satisfy the administration responsibilities of the </w:t>
      </w:r>
      <w:r w:rsidR="00EB4548" w:rsidRPr="00175503">
        <w:rPr>
          <w:iCs/>
        </w:rPr>
        <w:t>Act</w:t>
      </w:r>
      <w:r w:rsidRPr="009A6C26">
        <w:t xml:space="preserve">, </w:t>
      </w:r>
      <w:r w:rsidR="00EB4548" w:rsidRPr="009A6C26">
        <w:t>including</w:t>
      </w:r>
      <w:r w:rsidRPr="009A6C26">
        <w:t xml:space="preserve"> general administration, c</w:t>
      </w:r>
      <w:r w:rsidR="00D80B26" w:rsidRPr="009A6C26">
        <w:t>lient</w:t>
      </w:r>
      <w:r w:rsidRPr="009A6C26">
        <w:t xml:space="preserve"> service, </w:t>
      </w:r>
      <w:r w:rsidR="00DB2B68" w:rsidRPr="009A6C26">
        <w:t>payment</w:t>
      </w:r>
      <w:r w:rsidR="00103064">
        <w:t>s</w:t>
      </w:r>
      <w:r w:rsidRPr="009A6C26">
        <w:t xml:space="preserve">, information technology, compliance and education, </w:t>
      </w:r>
      <w:r w:rsidR="005C54FB" w:rsidRPr="009A6C26">
        <w:t xml:space="preserve">stakeholder </w:t>
      </w:r>
      <w:r w:rsidRPr="009A6C26">
        <w:t>engagement and communication</w:t>
      </w:r>
      <w:r w:rsidR="006D121D">
        <w:t>s</w:t>
      </w:r>
      <w:r w:rsidRPr="009A6C26">
        <w:t>,</w:t>
      </w:r>
      <w:r w:rsidR="006D121D">
        <w:t xml:space="preserve"> and</w:t>
      </w:r>
      <w:r w:rsidRPr="009A6C26">
        <w:t xml:space="preserve"> financial management and reporting</w:t>
      </w:r>
      <w:r w:rsidR="00EB3FBA" w:rsidRPr="009A6C26">
        <w:t>.</w:t>
      </w:r>
    </w:p>
    <w:p w14:paraId="430F2D5A" w14:textId="4EB0D003" w:rsidR="00583F3E" w:rsidRPr="009A6C26" w:rsidRDefault="008B7824" w:rsidP="00CF17D1">
      <w:r>
        <w:t xml:space="preserve">In 2025-26 </w:t>
      </w:r>
      <w:r w:rsidR="00936F46">
        <w:t xml:space="preserve">ACT Leave </w:t>
      </w:r>
      <w:r w:rsidR="00741EA7">
        <w:t>delivered</w:t>
      </w:r>
      <w:r>
        <w:t xml:space="preserve"> </w:t>
      </w:r>
      <w:r w:rsidR="000E4777">
        <w:t xml:space="preserve">engagement </w:t>
      </w:r>
      <w:r w:rsidR="00D42940">
        <w:t>activities and</w:t>
      </w:r>
      <w:r w:rsidR="000E4777">
        <w:t xml:space="preserve"> </w:t>
      </w:r>
      <w:r w:rsidR="002E5107">
        <w:t xml:space="preserve">business visits </w:t>
      </w:r>
      <w:r w:rsidR="00B9117E">
        <w:t>to</w:t>
      </w:r>
      <w:r w:rsidR="002E5107">
        <w:t xml:space="preserve"> </w:t>
      </w:r>
      <w:r w:rsidR="008B079D">
        <w:t>support implementation of</w:t>
      </w:r>
      <w:r w:rsidR="00435EED">
        <w:t xml:space="preserve"> the </w:t>
      </w:r>
      <w:r w:rsidR="00741EA7">
        <w:t xml:space="preserve">Services Industry Scheme. </w:t>
      </w:r>
      <w:r w:rsidR="00024568">
        <w:t xml:space="preserve">In preparation </w:t>
      </w:r>
      <w:r w:rsidR="006C5235">
        <w:t>staff undertook</w:t>
      </w:r>
      <w:r w:rsidR="00741EA7">
        <w:t xml:space="preserve"> </w:t>
      </w:r>
      <w:r w:rsidR="00057C2E">
        <w:t>training</w:t>
      </w:r>
      <w:r w:rsidR="00741EA7">
        <w:t xml:space="preserve"> </w:t>
      </w:r>
      <w:r w:rsidR="00D90100">
        <w:t>to enhance</w:t>
      </w:r>
      <w:r w:rsidR="00741EA7">
        <w:t xml:space="preserve"> </w:t>
      </w:r>
      <w:r w:rsidR="00741EA7" w:rsidRPr="00351512">
        <w:rPr>
          <w:lang w:val="en-AU"/>
        </w:rPr>
        <w:t xml:space="preserve">compliance </w:t>
      </w:r>
      <w:r w:rsidR="00D90100" w:rsidRPr="00351512">
        <w:rPr>
          <w:lang w:val="en-AU"/>
        </w:rPr>
        <w:t>and regulatory capability</w:t>
      </w:r>
      <w:r w:rsidR="006C5235">
        <w:rPr>
          <w:lang w:val="en-AU"/>
        </w:rPr>
        <w:t xml:space="preserve">, </w:t>
      </w:r>
      <w:r w:rsidR="004215DD">
        <w:rPr>
          <w:lang w:val="en-AU"/>
        </w:rPr>
        <w:t>workforce development</w:t>
      </w:r>
      <w:r w:rsidR="00741EA7">
        <w:rPr>
          <w:lang w:val="en-AU"/>
        </w:rPr>
        <w:t xml:space="preserve"> </w:t>
      </w:r>
      <w:r w:rsidR="00CF4760">
        <w:t xml:space="preserve">and </w:t>
      </w:r>
      <w:r w:rsidR="00A171A8">
        <w:t>internal</w:t>
      </w:r>
      <w:r w:rsidR="00CF4760">
        <w:t xml:space="preserve"> </w:t>
      </w:r>
      <w:r w:rsidR="00A171A8">
        <w:t>Service</w:t>
      </w:r>
      <w:r w:rsidR="009A6013">
        <w:t xml:space="preserve"> Schem</w:t>
      </w:r>
      <w:r w:rsidR="00E819BE">
        <w:t>e</w:t>
      </w:r>
      <w:r w:rsidR="00CF4760">
        <w:t xml:space="preserve"> </w:t>
      </w:r>
      <w:r w:rsidR="00E279EB">
        <w:t>coverage workshop</w:t>
      </w:r>
      <w:r w:rsidR="004215DD">
        <w:t>s</w:t>
      </w:r>
      <w:r w:rsidR="00E279EB">
        <w:t>.</w:t>
      </w:r>
      <w:r w:rsidR="00CF4760">
        <w:t xml:space="preserve"> </w:t>
      </w:r>
      <w:r w:rsidR="003F4496">
        <w:t xml:space="preserve"> </w:t>
      </w:r>
    </w:p>
    <w:p w14:paraId="2E5AA076" w14:textId="77777777" w:rsidR="003A6AAF" w:rsidRPr="003A6AAF" w:rsidRDefault="003A6AAF" w:rsidP="003A6AAF">
      <w:pPr>
        <w:rPr>
          <w:lang w:val="en-AU"/>
        </w:rPr>
      </w:pPr>
      <w:r w:rsidRPr="003A6AAF">
        <w:rPr>
          <w:lang w:val="en-AU"/>
        </w:rPr>
        <w:t>ACT Leave continued to support participation in ACT Public Service and whole-of-government learning and development opportunities where relevant to employees' roles and organisational priorities.</w:t>
      </w:r>
    </w:p>
    <w:p w14:paraId="0F26747D" w14:textId="271DF365" w:rsidR="6278A285" w:rsidRPr="009A6C26" w:rsidRDefault="6278A285" w:rsidP="006E0242">
      <w:r w:rsidRPr="009A6C26">
        <w:rPr>
          <w:lang w:val="en-GB"/>
        </w:rPr>
        <w:t xml:space="preserve">ACT Leave has supported the following learning and development activities in </w:t>
      </w:r>
      <w:r w:rsidR="000F3C03" w:rsidRPr="009A6C26">
        <w:rPr>
          <w:lang w:val="en-GB"/>
        </w:rPr>
        <w:t>2025-26</w:t>
      </w:r>
      <w:r w:rsidRPr="009A6C26">
        <w:rPr>
          <w:lang w:val="en-GB"/>
        </w:rPr>
        <w:t>:</w:t>
      </w:r>
    </w:p>
    <w:p w14:paraId="20F8F8AC" w14:textId="1793205B" w:rsidR="6278A285" w:rsidRPr="009A6C26" w:rsidRDefault="005E2915" w:rsidP="000A630C">
      <w:pPr>
        <w:pStyle w:val="ListBullet"/>
      </w:pPr>
      <w:r>
        <w:t>f</w:t>
      </w:r>
      <w:r w:rsidR="6278A285" w:rsidRPr="009A6C26">
        <w:t>ormal</w:t>
      </w:r>
      <w:r w:rsidR="00EB3FBA" w:rsidRPr="009A6C26">
        <w:t>, instructor-led</w:t>
      </w:r>
      <w:r w:rsidR="6278A285" w:rsidRPr="009A6C26">
        <w:t xml:space="preserve"> training</w:t>
      </w:r>
    </w:p>
    <w:p w14:paraId="158C17D0" w14:textId="60A5B464" w:rsidR="6278A285" w:rsidRPr="009A6C26" w:rsidRDefault="005E2915" w:rsidP="000A630C">
      <w:pPr>
        <w:pStyle w:val="ListBullet"/>
      </w:pPr>
      <w:r>
        <w:t>i</w:t>
      </w:r>
      <w:r w:rsidR="00EB3FBA" w:rsidRPr="009A6C26">
        <w:t xml:space="preserve">nternal </w:t>
      </w:r>
      <w:r w:rsidR="6278A285" w:rsidRPr="009A6C26">
        <w:t>mentoring</w:t>
      </w:r>
      <w:r w:rsidR="00EB3FBA" w:rsidRPr="009A6C26">
        <w:t xml:space="preserve"> arrangements</w:t>
      </w:r>
    </w:p>
    <w:p w14:paraId="34A03990" w14:textId="1EFD123B" w:rsidR="6278A285" w:rsidRPr="009A6C26" w:rsidRDefault="005E2915" w:rsidP="000A630C">
      <w:pPr>
        <w:pStyle w:val="ListBullet"/>
      </w:pPr>
      <w:r>
        <w:lastRenderedPageBreak/>
        <w:t>a</w:t>
      </w:r>
      <w:r w:rsidR="00CF3DA4" w:rsidRPr="009A6C26">
        <w:t xml:space="preserve">ttendance at relevant </w:t>
      </w:r>
      <w:r w:rsidR="6278A285" w:rsidRPr="009A6C26">
        <w:t>seminars</w:t>
      </w:r>
      <w:r w:rsidR="00CF3DA4" w:rsidRPr="009A6C26">
        <w:t xml:space="preserve"> and conferences</w:t>
      </w:r>
    </w:p>
    <w:p w14:paraId="6E29A385" w14:textId="40789DEA" w:rsidR="6278A285" w:rsidRPr="009A6C26" w:rsidRDefault="005E2915" w:rsidP="000A630C">
      <w:pPr>
        <w:pStyle w:val="ListBullet"/>
      </w:pPr>
      <w:r>
        <w:t>e</w:t>
      </w:r>
      <w:r w:rsidR="6278A285" w:rsidRPr="009A6C26">
        <w:t>ducation courses</w:t>
      </w:r>
    </w:p>
    <w:p w14:paraId="2708B801" w14:textId="77777777" w:rsidR="00C60915" w:rsidRPr="00C60915" w:rsidRDefault="00C60915" w:rsidP="000A630C">
      <w:pPr>
        <w:pStyle w:val="ListBullet"/>
      </w:pPr>
      <w:r w:rsidRPr="00C60915">
        <w:t>study assistance to support staff undertaking qualification programs</w:t>
      </w:r>
    </w:p>
    <w:p w14:paraId="5AD4EEE2" w14:textId="0F4CB192" w:rsidR="6278A285" w:rsidRPr="009A6C26" w:rsidRDefault="005E2915" w:rsidP="000A630C">
      <w:pPr>
        <w:pStyle w:val="ListBullet"/>
      </w:pPr>
      <w:r>
        <w:t>o</w:t>
      </w:r>
      <w:r w:rsidR="6278A285" w:rsidRPr="009A6C26">
        <w:t>n-the-job training</w:t>
      </w:r>
    </w:p>
    <w:p w14:paraId="55664475" w14:textId="77777777" w:rsidR="00336FCD" w:rsidRPr="00336FCD" w:rsidRDefault="00302AEC" w:rsidP="000A630C">
      <w:pPr>
        <w:pStyle w:val="ListBullet"/>
      </w:pPr>
      <w:r w:rsidRPr="009A6C26">
        <w:t xml:space="preserve">Higher Duties Allowances </w:t>
      </w:r>
      <w:r w:rsidR="00336FCD" w:rsidRPr="00336FCD">
        <w:t>to provide experience at a more senior level</w:t>
      </w:r>
    </w:p>
    <w:p w14:paraId="62725083" w14:textId="494D1978" w:rsidR="00302AEC" w:rsidRPr="009A6C26" w:rsidRDefault="005E2915" w:rsidP="000A630C">
      <w:pPr>
        <w:pStyle w:val="ListBullet"/>
      </w:pPr>
      <w:r>
        <w:t>c</w:t>
      </w:r>
      <w:r w:rsidR="00302AEC" w:rsidRPr="009A6C26">
        <w:t>ross-team training to build capacity across the organisation.</w:t>
      </w:r>
    </w:p>
    <w:p w14:paraId="11E248A8" w14:textId="7CADFA48" w:rsidR="00EC3C08" w:rsidRPr="00EC3C08" w:rsidRDefault="6278A285" w:rsidP="00EC3C08">
      <w:pPr>
        <w:rPr>
          <w:lang w:val="en-AU"/>
        </w:rPr>
      </w:pPr>
      <w:r w:rsidRPr="00F013A7">
        <w:rPr>
          <w:lang w:val="en-GB"/>
        </w:rPr>
        <w:t xml:space="preserve">In </w:t>
      </w:r>
      <w:r w:rsidR="000F3C03" w:rsidRPr="00F013A7">
        <w:rPr>
          <w:lang w:val="en-GB"/>
        </w:rPr>
        <w:t>2025-26</w:t>
      </w:r>
      <w:r w:rsidRPr="00F013A7">
        <w:rPr>
          <w:lang w:val="en-GB"/>
        </w:rPr>
        <w:t xml:space="preserve">, </w:t>
      </w:r>
      <w:r w:rsidR="5502EFA9" w:rsidRPr="00F013A7">
        <w:rPr>
          <w:lang w:val="en-GB"/>
        </w:rPr>
        <w:t>ACT Leave</w:t>
      </w:r>
      <w:r w:rsidRPr="00F013A7">
        <w:rPr>
          <w:lang w:val="en-GB"/>
        </w:rPr>
        <w:t xml:space="preserve"> supported </w:t>
      </w:r>
      <w:r w:rsidR="009949AE">
        <w:rPr>
          <w:lang w:val="en-GB"/>
        </w:rPr>
        <w:t>one</w:t>
      </w:r>
      <w:r w:rsidR="005F068C" w:rsidRPr="00F013A7">
        <w:rPr>
          <w:lang w:val="en-GB"/>
        </w:rPr>
        <w:t xml:space="preserve"> </w:t>
      </w:r>
      <w:r w:rsidRPr="00F013A7">
        <w:rPr>
          <w:lang w:val="en-GB"/>
        </w:rPr>
        <w:t xml:space="preserve">staff </w:t>
      </w:r>
      <w:r w:rsidR="0036537C" w:rsidRPr="00F013A7">
        <w:rPr>
          <w:lang w:val="en-GB"/>
        </w:rPr>
        <w:t xml:space="preserve">member </w:t>
      </w:r>
      <w:r w:rsidRPr="00F013A7">
        <w:rPr>
          <w:lang w:val="en-GB"/>
        </w:rPr>
        <w:t>through study assistance which included providing study leave and financial assistance for course costs.</w:t>
      </w:r>
      <w:r w:rsidRPr="009A6C26">
        <w:rPr>
          <w:lang w:val="en-GB"/>
        </w:rPr>
        <w:t xml:space="preserve"> </w:t>
      </w:r>
      <w:r w:rsidR="00D5146B">
        <w:rPr>
          <w:lang w:val="en-GB"/>
        </w:rPr>
        <w:t xml:space="preserve">The total cost was </w:t>
      </w:r>
      <w:r w:rsidR="00EC3C08" w:rsidRPr="00EC3C08">
        <w:rPr>
          <w:lang w:val="en-AU"/>
        </w:rPr>
        <w:t>$2,171.87.</w:t>
      </w:r>
    </w:p>
    <w:p w14:paraId="5AFF1FF5" w14:textId="710DB113" w:rsidR="009228D7" w:rsidRPr="009A6C26" w:rsidRDefault="009228D7" w:rsidP="0053244C">
      <w:pPr>
        <w:pStyle w:val="Heading3NoNumber"/>
        <w:rPr>
          <w:rFonts w:cs="Arial"/>
        </w:rPr>
      </w:pPr>
      <w:r w:rsidRPr="009A6C26">
        <w:rPr>
          <w:rFonts w:cs="Arial"/>
        </w:rPr>
        <w:t xml:space="preserve">Working </w:t>
      </w:r>
      <w:r w:rsidR="00C043AB" w:rsidRPr="009A6C26">
        <w:rPr>
          <w:rFonts w:cs="Arial"/>
        </w:rPr>
        <w:t>a</w:t>
      </w:r>
      <w:r w:rsidRPr="009A6C26">
        <w:rPr>
          <w:rFonts w:cs="Arial"/>
        </w:rPr>
        <w:t xml:space="preserve">rrangements </w:t>
      </w:r>
    </w:p>
    <w:p w14:paraId="06A56115" w14:textId="77777777" w:rsidR="002B284A" w:rsidRPr="002B284A" w:rsidRDefault="00583F3E" w:rsidP="002B284A">
      <w:pPr>
        <w:rPr>
          <w:lang w:val="en-AU"/>
        </w:rPr>
      </w:pPr>
      <w:r w:rsidRPr="009A6C26">
        <w:t xml:space="preserve">During </w:t>
      </w:r>
      <w:r w:rsidR="000F3C03" w:rsidRPr="009A6C26">
        <w:t>2025-26</w:t>
      </w:r>
      <w:r w:rsidRPr="009A6C26">
        <w:t xml:space="preserve">, </w:t>
      </w:r>
      <w:r w:rsidR="7D63495C" w:rsidRPr="009A6C26">
        <w:t>ACT Leave</w:t>
      </w:r>
      <w:r w:rsidRPr="009A6C26">
        <w:t xml:space="preserve"> </w:t>
      </w:r>
      <w:r w:rsidR="00A077D6" w:rsidRPr="009A6C26">
        <w:t>supported hybrid work arrangements</w:t>
      </w:r>
      <w:r w:rsidRPr="009A6C26">
        <w:t xml:space="preserve"> including identifying and addressing learning and development needs </w:t>
      </w:r>
      <w:r w:rsidR="000B13BB" w:rsidRPr="009A6C26">
        <w:t xml:space="preserve">which factored in, and accommodated, </w:t>
      </w:r>
      <w:r w:rsidRPr="009A6C26">
        <w:t xml:space="preserve">hybrid working arrangements. </w:t>
      </w:r>
      <w:r w:rsidR="002B284A" w:rsidRPr="002B284A">
        <w:rPr>
          <w:lang w:val="en-AU"/>
        </w:rPr>
        <w:t>ACT Leave did not utilise any Attraction and Retention Incentives (ARins) during the reporting period.</w:t>
      </w:r>
    </w:p>
    <w:p w14:paraId="1B8043E8" w14:textId="156C040C" w:rsidR="004F06DE" w:rsidRPr="004F06DE" w:rsidRDefault="004F06DE" w:rsidP="00CF17D1">
      <w:pPr>
        <w:rPr>
          <w:lang w:val="en-AU"/>
        </w:rPr>
      </w:pPr>
      <w:r w:rsidRPr="004F06DE">
        <w:rPr>
          <w:lang w:val="en-AU"/>
        </w:rPr>
        <w:t>ACT Leave supports attraction and retention through flexible working arrangements, professional development opportunities, wellbeing initiatives, internal progression opportunities and a positive workplace culture.</w:t>
      </w:r>
    </w:p>
    <w:p w14:paraId="4FDCD035" w14:textId="41EA9745" w:rsidR="00583F3E" w:rsidRPr="009A6C26" w:rsidRDefault="00813485" w:rsidP="006E0242">
      <w:pPr>
        <w:pStyle w:val="Heading2NoNumber"/>
        <w:rPr>
          <w:i/>
        </w:rPr>
      </w:pPr>
      <w:bookmarkStart w:id="65" w:name="_Toc428798638"/>
      <w:bookmarkStart w:id="66" w:name="_Toc19627250"/>
      <w:bookmarkStart w:id="67" w:name="_Toc171087049"/>
      <w:bookmarkStart w:id="68" w:name="_Toc240533502"/>
      <w:r w:rsidRPr="009A6C26">
        <w:t>B1</w:t>
      </w:r>
      <w:r w:rsidR="00091248" w:rsidRPr="009A6C26">
        <w:t>5</w:t>
      </w:r>
      <w:r w:rsidRPr="009A6C26">
        <w:t>.</w:t>
      </w:r>
      <w:r w:rsidR="00583F3E" w:rsidRPr="009A6C26">
        <w:t xml:space="preserve"> Ecological </w:t>
      </w:r>
      <w:r w:rsidRPr="009A6C26">
        <w:t>s</w:t>
      </w:r>
      <w:r w:rsidR="00583F3E" w:rsidRPr="009A6C26">
        <w:t>ustainability reporting</w:t>
      </w:r>
      <w:bookmarkEnd w:id="65"/>
      <w:bookmarkEnd w:id="66"/>
      <w:bookmarkEnd w:id="67"/>
      <w:bookmarkEnd w:id="68"/>
      <w:r w:rsidR="00583F3E" w:rsidRPr="009A6C26">
        <w:t xml:space="preserve"> </w:t>
      </w:r>
    </w:p>
    <w:p w14:paraId="652C729E" w14:textId="78BFAD21" w:rsidR="00583F3E" w:rsidRPr="009A6C26" w:rsidRDefault="00740319" w:rsidP="006E0242">
      <w:r w:rsidRPr="009A6C26">
        <w:t>ACT Leave</w:t>
      </w:r>
      <w:r w:rsidR="00583F3E" w:rsidRPr="009A6C26">
        <w:t xml:space="preserve"> continues to support the principles of Ecologically Sustainable Development where possible and relevant to </w:t>
      </w:r>
      <w:r w:rsidR="008B7BAA">
        <w:t>its operations</w:t>
      </w:r>
      <w:r w:rsidR="00583F3E" w:rsidRPr="009A6C26">
        <w:t>.</w:t>
      </w:r>
      <w:r w:rsidR="008754F5" w:rsidRPr="009A6C26">
        <w:t xml:space="preserve"> </w:t>
      </w:r>
      <w:r w:rsidR="00583F3E" w:rsidRPr="009A6C26">
        <w:t>Conservation measures include:</w:t>
      </w:r>
    </w:p>
    <w:p w14:paraId="3447B332" w14:textId="4C5C1915" w:rsidR="004A7D31" w:rsidRPr="009A6C26" w:rsidRDefault="004A7D31" w:rsidP="000A630C">
      <w:pPr>
        <w:pStyle w:val="ListBullet"/>
      </w:pPr>
      <w:r w:rsidRPr="009A6C26">
        <w:t>leasing of a zero emissions vehicle</w:t>
      </w:r>
      <w:r w:rsidR="00A72ACF" w:rsidRPr="009A6C26">
        <w:t xml:space="preserve"> (ZEV)</w:t>
      </w:r>
    </w:p>
    <w:p w14:paraId="753610C8" w14:textId="45E054D7" w:rsidR="00583F3E" w:rsidRPr="009A6C26" w:rsidRDefault="002172CB" w:rsidP="000A630C">
      <w:pPr>
        <w:pStyle w:val="ListBullet"/>
        <w:rPr>
          <w:color w:val="auto"/>
        </w:rPr>
      </w:pPr>
      <w:r>
        <w:t>e</w:t>
      </w:r>
      <w:r w:rsidR="00583F3E" w:rsidRPr="009A6C26">
        <w:t>ncourag</w:t>
      </w:r>
      <w:r w:rsidR="000B13BB" w:rsidRPr="009A6C26">
        <w:t xml:space="preserve">ing </w:t>
      </w:r>
      <w:r w:rsidR="00583F3E" w:rsidRPr="009A6C26" w:rsidDel="000B13BB">
        <w:t xml:space="preserve">staff </w:t>
      </w:r>
      <w:r w:rsidR="00583F3E" w:rsidRPr="009A6C26">
        <w:t xml:space="preserve">to conserve </w:t>
      </w:r>
      <w:r w:rsidR="000C6B12" w:rsidRPr="009A6C26">
        <w:rPr>
          <w:color w:val="auto"/>
        </w:rPr>
        <w:t>electricity</w:t>
      </w:r>
      <w:r w:rsidR="00583F3E" w:rsidRPr="009A6C26">
        <w:rPr>
          <w:color w:val="auto"/>
        </w:rPr>
        <w:t xml:space="preserve"> b</w:t>
      </w:r>
      <w:r w:rsidR="00583F3E" w:rsidRPr="009A6C26">
        <w:t>y careful</w:t>
      </w:r>
      <w:r w:rsidR="004A7D31" w:rsidRPr="009A6C26">
        <w:t>ly</w:t>
      </w:r>
      <w:r w:rsidR="00583F3E" w:rsidRPr="009A6C26">
        <w:t xml:space="preserve"> planning </w:t>
      </w:r>
      <w:r w:rsidR="00796113" w:rsidRPr="009A6C26">
        <w:t>all field visits using</w:t>
      </w:r>
      <w:r w:rsidR="00943364" w:rsidRPr="009A6C26" w:rsidDel="00796113">
        <w:rPr>
          <w:color w:val="auto"/>
        </w:rPr>
        <w:t xml:space="preserve"> </w:t>
      </w:r>
      <w:r w:rsidR="00943364" w:rsidRPr="009A6C26">
        <w:rPr>
          <w:color w:val="auto"/>
        </w:rPr>
        <w:t>ACT Leave’s</w:t>
      </w:r>
      <w:r w:rsidR="004719B9" w:rsidRPr="009A6C26">
        <w:rPr>
          <w:color w:val="auto"/>
        </w:rPr>
        <w:t xml:space="preserve"> corporate vehicle (</w:t>
      </w:r>
      <w:r w:rsidR="00442AC6" w:rsidRPr="009A6C26">
        <w:rPr>
          <w:color w:val="auto"/>
        </w:rPr>
        <w:t>Z</w:t>
      </w:r>
      <w:r w:rsidR="004719B9" w:rsidRPr="009A6C26">
        <w:rPr>
          <w:color w:val="auto"/>
        </w:rPr>
        <w:t>EV)</w:t>
      </w:r>
    </w:p>
    <w:p w14:paraId="075DD77C" w14:textId="77777777" w:rsidR="008D6591" w:rsidRPr="008D6591" w:rsidRDefault="008D6591" w:rsidP="000A630C">
      <w:pPr>
        <w:pStyle w:val="ListBullet"/>
      </w:pPr>
      <w:r w:rsidRPr="008D6591">
        <w:t>purchasing office equipment with consideration for its eventual recyclability</w:t>
      </w:r>
    </w:p>
    <w:p w14:paraId="379822D0" w14:textId="7F2B8F48" w:rsidR="00583F3E" w:rsidRPr="009A6C26" w:rsidRDefault="002172CB" w:rsidP="000A630C">
      <w:pPr>
        <w:pStyle w:val="ListBullet"/>
      </w:pPr>
      <w:r>
        <w:t>s</w:t>
      </w:r>
      <w:r w:rsidR="00796113" w:rsidRPr="009A6C26">
        <w:t xml:space="preserve">elling or trading </w:t>
      </w:r>
      <w:r w:rsidR="00583F3E" w:rsidRPr="009A6C26">
        <w:t>excess or superseded equipment</w:t>
      </w:r>
      <w:r w:rsidR="003806AA" w:rsidRPr="009A6C26">
        <w:t xml:space="preserve"> as an alternative to landfill disposal</w:t>
      </w:r>
    </w:p>
    <w:p w14:paraId="627C5F06" w14:textId="25FC77A6" w:rsidR="00583F3E" w:rsidRPr="009A6C26" w:rsidRDefault="002172CB" w:rsidP="000A630C">
      <w:pPr>
        <w:pStyle w:val="ListBullet"/>
      </w:pPr>
      <w:r>
        <w:t>d</w:t>
      </w:r>
      <w:r w:rsidR="00796113" w:rsidRPr="009A6C26">
        <w:t xml:space="preserve">epositing </w:t>
      </w:r>
      <w:r w:rsidR="00583F3E" w:rsidRPr="009A6C26">
        <w:t>unsaleable equipment with a reputable recycling service provider for resale or recycling</w:t>
      </w:r>
    </w:p>
    <w:p w14:paraId="585664BC" w14:textId="432DF18C" w:rsidR="00583F3E" w:rsidRPr="009A6C26" w:rsidRDefault="002172CB" w:rsidP="000A630C">
      <w:pPr>
        <w:pStyle w:val="ListBullet"/>
      </w:pPr>
      <w:r>
        <w:t>l</w:t>
      </w:r>
      <w:r w:rsidR="00796113" w:rsidRPr="009A6C26">
        <w:t xml:space="preserve">imiting the generation of paper records </w:t>
      </w:r>
      <w:r w:rsidR="00D8321D" w:rsidRPr="009A6C26">
        <w:t>through electronic record keeping where practical and possible.</w:t>
      </w:r>
      <w:r w:rsidR="00583F3E" w:rsidRPr="009A6C26">
        <w:t xml:space="preserve"> </w:t>
      </w:r>
    </w:p>
    <w:p w14:paraId="256C8D56" w14:textId="059E86BE" w:rsidR="00395077" w:rsidRPr="009A6C26" w:rsidRDefault="00583F3E" w:rsidP="00B63631">
      <w:pPr>
        <w:pStyle w:val="Heading4"/>
        <w:rPr>
          <w:rFonts w:cs="Arial"/>
          <w:lang w:val="en-US"/>
        </w:rPr>
      </w:pPr>
      <w:r w:rsidRPr="009A6C26">
        <w:rPr>
          <w:rFonts w:cs="Arial"/>
          <w:lang w:val="en-US"/>
        </w:rPr>
        <w:t xml:space="preserve">Sustainable </w:t>
      </w:r>
      <w:r w:rsidR="00FC0741" w:rsidRPr="009A6C26">
        <w:rPr>
          <w:rFonts w:cs="Arial"/>
          <w:lang w:val="en-US"/>
        </w:rPr>
        <w:t>d</w:t>
      </w:r>
      <w:r w:rsidRPr="009A6C26">
        <w:rPr>
          <w:rFonts w:cs="Arial"/>
          <w:lang w:val="en-US"/>
        </w:rPr>
        <w:t xml:space="preserve">evelopment </w:t>
      </w:r>
      <w:r w:rsidR="00FC0741" w:rsidRPr="009A6C26">
        <w:rPr>
          <w:rFonts w:cs="Arial"/>
          <w:lang w:val="en-US"/>
        </w:rPr>
        <w:t>p</w:t>
      </w:r>
      <w:r w:rsidRPr="009A6C26">
        <w:rPr>
          <w:rFonts w:cs="Arial"/>
          <w:lang w:val="en-US"/>
        </w:rPr>
        <w:t xml:space="preserve">erformance: </w:t>
      </w:r>
      <w:r w:rsidR="00E239E1" w:rsidRPr="009A6C26">
        <w:rPr>
          <w:rFonts w:cs="Arial"/>
          <w:lang w:val="en-US"/>
        </w:rPr>
        <w:t>c</w:t>
      </w:r>
      <w:r w:rsidRPr="009A6C26">
        <w:rPr>
          <w:rFonts w:cs="Arial"/>
          <w:lang w:val="en-US"/>
        </w:rPr>
        <w:t xml:space="preserve">urrent and </w:t>
      </w:r>
      <w:r w:rsidR="00E239E1" w:rsidRPr="009A6C26">
        <w:rPr>
          <w:rFonts w:cs="Arial"/>
          <w:lang w:val="en-US"/>
        </w:rPr>
        <w:t>p</w:t>
      </w:r>
      <w:r w:rsidRPr="009A6C26">
        <w:rPr>
          <w:rFonts w:cs="Arial"/>
          <w:lang w:val="en-US"/>
        </w:rPr>
        <w:t xml:space="preserve">revious </w:t>
      </w:r>
      <w:r w:rsidR="00E239E1" w:rsidRPr="009A6C26">
        <w:rPr>
          <w:rFonts w:cs="Arial"/>
          <w:lang w:val="en-US"/>
        </w:rPr>
        <w:t>f</w:t>
      </w:r>
      <w:r w:rsidRPr="009A6C26">
        <w:rPr>
          <w:rFonts w:cs="Arial"/>
          <w:lang w:val="en-US"/>
        </w:rPr>
        <w:t xml:space="preserve">inancial </w:t>
      </w:r>
      <w:r w:rsidR="00E239E1" w:rsidRPr="009A6C26">
        <w:rPr>
          <w:rFonts w:cs="Arial"/>
          <w:lang w:val="en-US"/>
        </w:rPr>
        <w:t>y</w:t>
      </w:r>
      <w:r w:rsidRPr="009A6C26">
        <w:rPr>
          <w:rFonts w:cs="Arial"/>
          <w:lang w:val="en-US"/>
        </w:rPr>
        <w:t>ear</w:t>
      </w:r>
    </w:p>
    <w:tbl>
      <w:tblPr>
        <w:tblStyle w:val="ACTLeavetable"/>
        <w:tblpPr w:leftFromText="180" w:rightFromText="180" w:vertAnchor="text" w:tblpY="1"/>
        <w:tblOverlap w:val="never"/>
        <w:tblW w:w="5000" w:type="pct"/>
        <w:tblLayout w:type="fixed"/>
        <w:tblLook w:val="04A0" w:firstRow="1" w:lastRow="0" w:firstColumn="1" w:lastColumn="0" w:noHBand="0" w:noVBand="1"/>
      </w:tblPr>
      <w:tblGrid>
        <w:gridCol w:w="3686"/>
        <w:gridCol w:w="1602"/>
        <w:gridCol w:w="1603"/>
        <w:gridCol w:w="1602"/>
        <w:gridCol w:w="1603"/>
      </w:tblGrid>
      <w:tr w:rsidR="008D0F0F" w:rsidRPr="009A6C26" w14:paraId="04C84146" w14:textId="77777777" w:rsidTr="004C4330">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6E09947A" w14:textId="77777777" w:rsidR="008D0F0F" w:rsidRPr="009A6C26" w:rsidRDefault="008D0F0F" w:rsidP="00B7717E">
            <w:pPr>
              <w:spacing w:before="30" w:after="30"/>
              <w:rPr>
                <w:b w:val="0"/>
                <w:bCs/>
              </w:rPr>
            </w:pPr>
            <w:r w:rsidRPr="009A6C26">
              <w:t xml:space="preserve">Indicator as at 30 June </w:t>
            </w:r>
          </w:p>
        </w:tc>
        <w:tc>
          <w:tcPr>
            <w:tcW w:w="1602" w:type="dxa"/>
            <w:vAlign w:val="center"/>
            <w:hideMark/>
          </w:tcPr>
          <w:p w14:paraId="00920496" w14:textId="77777777" w:rsidR="008D0F0F" w:rsidRPr="009A6C26" w:rsidRDefault="008D0F0F" w:rsidP="00B7717E">
            <w:pPr>
              <w:spacing w:before="30" w:after="30"/>
              <w:cnfStyle w:val="100000000000" w:firstRow="1" w:lastRow="0" w:firstColumn="0" w:lastColumn="0" w:oddVBand="0" w:evenVBand="0" w:oddHBand="0" w:evenHBand="0" w:firstRowFirstColumn="0" w:firstRowLastColumn="0" w:lastRowFirstColumn="0" w:lastRowLastColumn="0"/>
              <w:rPr>
                <w:b w:val="0"/>
                <w:bCs/>
              </w:rPr>
            </w:pPr>
            <w:r w:rsidRPr="009A6C26">
              <w:t>Unit</w:t>
            </w:r>
          </w:p>
        </w:tc>
        <w:tc>
          <w:tcPr>
            <w:tcW w:w="1603" w:type="dxa"/>
            <w:vAlign w:val="center"/>
            <w:hideMark/>
          </w:tcPr>
          <w:p w14:paraId="7CC69022" w14:textId="77777777" w:rsidR="008D0F0F" w:rsidRPr="009A6C26" w:rsidRDefault="008D0F0F" w:rsidP="00B7717E">
            <w:pPr>
              <w:spacing w:before="30" w:after="30"/>
              <w:cnfStyle w:val="100000000000" w:firstRow="1" w:lastRow="0" w:firstColumn="0" w:lastColumn="0" w:oddVBand="0" w:evenVBand="0" w:oddHBand="0" w:evenHBand="0" w:firstRowFirstColumn="0" w:firstRowLastColumn="0" w:lastRowFirstColumn="0" w:lastRowLastColumn="0"/>
              <w:rPr>
                <w:b w:val="0"/>
                <w:bCs/>
              </w:rPr>
            </w:pPr>
            <w:r w:rsidRPr="009A6C26">
              <w:t xml:space="preserve"> Current FY </w:t>
            </w:r>
          </w:p>
        </w:tc>
        <w:tc>
          <w:tcPr>
            <w:tcW w:w="1602" w:type="dxa"/>
            <w:vAlign w:val="center"/>
            <w:hideMark/>
          </w:tcPr>
          <w:p w14:paraId="6894578B" w14:textId="31563950" w:rsidR="008D0F0F" w:rsidRPr="009A6C26" w:rsidRDefault="008D0F0F" w:rsidP="00B7717E">
            <w:pPr>
              <w:spacing w:before="30" w:after="30"/>
              <w:cnfStyle w:val="100000000000" w:firstRow="1" w:lastRow="0" w:firstColumn="0" w:lastColumn="0" w:oddVBand="0" w:evenVBand="0" w:oddHBand="0" w:evenHBand="0" w:firstRowFirstColumn="0" w:firstRowLastColumn="0" w:lastRowFirstColumn="0" w:lastRowLastColumn="0"/>
              <w:rPr>
                <w:b w:val="0"/>
              </w:rPr>
            </w:pPr>
            <w:r w:rsidRPr="009A6C26">
              <w:t xml:space="preserve">Previous FY </w:t>
            </w:r>
          </w:p>
        </w:tc>
        <w:tc>
          <w:tcPr>
            <w:tcW w:w="1603" w:type="dxa"/>
            <w:vAlign w:val="center"/>
            <w:hideMark/>
          </w:tcPr>
          <w:p w14:paraId="1DEF6A28" w14:textId="77777777" w:rsidR="008D0F0F" w:rsidRPr="009A6C26" w:rsidRDefault="008D0F0F" w:rsidP="00B7717E">
            <w:pPr>
              <w:spacing w:before="30" w:after="30"/>
              <w:cnfStyle w:val="100000000000" w:firstRow="1" w:lastRow="0" w:firstColumn="0" w:lastColumn="0" w:oddVBand="0" w:evenVBand="0" w:oddHBand="0" w:evenHBand="0" w:firstRowFirstColumn="0" w:firstRowLastColumn="0" w:lastRowFirstColumn="0" w:lastRowLastColumn="0"/>
              <w:rPr>
                <w:b w:val="0"/>
                <w:bCs/>
              </w:rPr>
            </w:pPr>
            <w:r w:rsidRPr="009A6C26">
              <w:t>Percentage change</w:t>
            </w:r>
          </w:p>
        </w:tc>
      </w:tr>
      <w:tr w:rsidR="008D0F0F" w:rsidRPr="009A6C26" w14:paraId="7B981317" w14:textId="77777777" w:rsidTr="00E30E4D">
        <w:trPr>
          <w:trHeight w:val="96"/>
        </w:trPr>
        <w:tc>
          <w:tcPr>
            <w:cnfStyle w:val="001000000000" w:firstRow="0" w:lastRow="0" w:firstColumn="1" w:lastColumn="0" w:oddVBand="0" w:evenVBand="0" w:oddHBand="0" w:evenHBand="0" w:firstRowFirstColumn="0" w:firstRowLastColumn="0" w:lastRowFirstColumn="0" w:lastRowLastColumn="0"/>
            <w:tcW w:w="10096" w:type="dxa"/>
            <w:gridSpan w:val="5"/>
            <w:shd w:val="clear" w:color="auto" w:fill="CEE1FB" w:themeFill="accent4"/>
            <w:vAlign w:val="center"/>
            <w:hideMark/>
          </w:tcPr>
          <w:p w14:paraId="117CCB83" w14:textId="77777777" w:rsidR="008D0F0F" w:rsidRPr="008A2175" w:rsidRDefault="008D0F0F" w:rsidP="00B7717E">
            <w:pPr>
              <w:spacing w:before="30" w:after="30"/>
              <w:rPr>
                <w:b/>
                <w:bCs/>
                <w:color w:val="000000"/>
              </w:rPr>
            </w:pPr>
            <w:r w:rsidRPr="008A2175">
              <w:rPr>
                <w:b/>
                <w:bCs/>
              </w:rPr>
              <w:t>Stationary energy usage</w:t>
            </w:r>
          </w:p>
        </w:tc>
      </w:tr>
      <w:tr w:rsidR="008D0F0F" w:rsidRPr="009A6C26" w14:paraId="0D62E36C" w14:textId="77777777" w:rsidTr="009D77FE">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14214388" w14:textId="73F6C14D" w:rsidR="008D0F0F" w:rsidRPr="00294FA7" w:rsidRDefault="00624263" w:rsidP="00B7717E">
            <w:pPr>
              <w:spacing w:before="30" w:after="30"/>
            </w:pPr>
            <w:r w:rsidRPr="00294FA7">
              <w:t>Electricity us</w:t>
            </w:r>
            <w:r w:rsidR="00CA76EC" w:rsidRPr="00294FA7">
              <w:t>e</w:t>
            </w:r>
          </w:p>
        </w:tc>
        <w:tc>
          <w:tcPr>
            <w:tcW w:w="1602" w:type="dxa"/>
            <w:vAlign w:val="center"/>
            <w:hideMark/>
          </w:tcPr>
          <w:p w14:paraId="5B287AB7" w14:textId="77777777" w:rsidR="008D0F0F" w:rsidRPr="00294FA7" w:rsidRDefault="008D0F0F" w:rsidP="00B7717E">
            <w:pPr>
              <w:spacing w:before="30" w:after="30"/>
              <w:cnfStyle w:val="000000010000" w:firstRow="0" w:lastRow="0" w:firstColumn="0" w:lastColumn="0" w:oddVBand="0" w:evenVBand="0" w:oddHBand="0" w:evenHBand="1" w:firstRowFirstColumn="0" w:firstRowLastColumn="0" w:lastRowFirstColumn="0" w:lastRowLastColumn="0"/>
            </w:pPr>
            <w:r w:rsidRPr="00294FA7">
              <w:t>Kilowatt hours</w:t>
            </w:r>
          </w:p>
        </w:tc>
        <w:tc>
          <w:tcPr>
            <w:tcW w:w="1603" w:type="dxa"/>
            <w:vAlign w:val="center"/>
          </w:tcPr>
          <w:p w14:paraId="3AF8B52B" w14:textId="30083012" w:rsidR="008D0F0F" w:rsidRPr="00294FA7" w:rsidRDefault="00294FA7" w:rsidP="00B7717E">
            <w:pPr>
              <w:spacing w:before="30" w:after="30"/>
              <w:cnfStyle w:val="000000010000" w:firstRow="0" w:lastRow="0" w:firstColumn="0" w:lastColumn="0" w:oddVBand="0" w:evenVBand="0" w:oddHBand="0" w:evenHBand="1" w:firstRowFirstColumn="0" w:firstRowLastColumn="0" w:lastRowFirstColumn="0" w:lastRowLastColumn="0"/>
            </w:pPr>
            <w:r w:rsidRPr="00294FA7">
              <w:t>64,228</w:t>
            </w:r>
          </w:p>
        </w:tc>
        <w:tc>
          <w:tcPr>
            <w:tcW w:w="1602" w:type="dxa"/>
            <w:vAlign w:val="center"/>
          </w:tcPr>
          <w:p w14:paraId="724B01AB" w14:textId="300EFADB" w:rsidR="008D0F0F" w:rsidRPr="00294FA7" w:rsidRDefault="00E73900"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294FA7">
              <w:t>63,482</w:t>
            </w:r>
          </w:p>
        </w:tc>
        <w:tc>
          <w:tcPr>
            <w:tcW w:w="1603" w:type="dxa"/>
            <w:vAlign w:val="center"/>
            <w:hideMark/>
          </w:tcPr>
          <w:p w14:paraId="428BEF2A" w14:textId="4DBDA58F" w:rsidR="008D0F0F" w:rsidRPr="00294FA7" w:rsidRDefault="00294FA7" w:rsidP="00B7717E">
            <w:pPr>
              <w:spacing w:before="30" w:after="30"/>
              <w:cnfStyle w:val="000000010000" w:firstRow="0" w:lastRow="0" w:firstColumn="0" w:lastColumn="0" w:oddVBand="0" w:evenVBand="0" w:oddHBand="0" w:evenHBand="1" w:firstRowFirstColumn="0" w:firstRowLastColumn="0" w:lastRowFirstColumn="0" w:lastRowLastColumn="0"/>
            </w:pPr>
            <w:r w:rsidRPr="00294FA7">
              <w:t>1</w:t>
            </w:r>
            <w:r w:rsidR="00CD019D" w:rsidRPr="00294FA7">
              <w:t>%</w:t>
            </w:r>
          </w:p>
        </w:tc>
      </w:tr>
      <w:tr w:rsidR="008D0F0F" w:rsidRPr="009A6C26" w14:paraId="02AF6810" w14:textId="77777777" w:rsidTr="009D77FE">
        <w:trPr>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25BB4C73" w14:textId="77777777" w:rsidR="008D0F0F" w:rsidRPr="00294FA7" w:rsidRDefault="008D0F0F" w:rsidP="00B7717E">
            <w:pPr>
              <w:spacing w:before="30" w:after="30"/>
            </w:pPr>
            <w:r w:rsidRPr="00294FA7">
              <w:t>Fossil fuel gas use (non-transport)</w:t>
            </w:r>
          </w:p>
        </w:tc>
        <w:tc>
          <w:tcPr>
            <w:tcW w:w="1602" w:type="dxa"/>
            <w:vAlign w:val="center"/>
            <w:hideMark/>
          </w:tcPr>
          <w:p w14:paraId="1D70A3AF" w14:textId="77777777" w:rsidR="008D0F0F" w:rsidRPr="00294FA7"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294FA7">
              <w:t>Megajoules</w:t>
            </w:r>
          </w:p>
        </w:tc>
        <w:tc>
          <w:tcPr>
            <w:tcW w:w="1603" w:type="dxa"/>
            <w:vAlign w:val="center"/>
            <w:hideMark/>
          </w:tcPr>
          <w:p w14:paraId="05442421" w14:textId="77777777" w:rsidR="008D0F0F" w:rsidRPr="00294FA7" w:rsidRDefault="008D0F0F"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294FA7">
              <w:t xml:space="preserve"> - </w:t>
            </w:r>
          </w:p>
        </w:tc>
        <w:tc>
          <w:tcPr>
            <w:tcW w:w="1602" w:type="dxa"/>
            <w:vAlign w:val="center"/>
            <w:hideMark/>
          </w:tcPr>
          <w:p w14:paraId="222AB844" w14:textId="77777777" w:rsidR="008D0F0F" w:rsidRPr="00294FA7" w:rsidRDefault="008D0F0F"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294FA7">
              <w:t xml:space="preserve"> - </w:t>
            </w:r>
          </w:p>
        </w:tc>
        <w:tc>
          <w:tcPr>
            <w:tcW w:w="1603" w:type="dxa"/>
            <w:vAlign w:val="center"/>
            <w:hideMark/>
          </w:tcPr>
          <w:p w14:paraId="5BEBDDF8" w14:textId="77777777" w:rsidR="008D0F0F" w:rsidRPr="00294FA7" w:rsidRDefault="008D0F0F"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294FA7">
              <w:t>-</w:t>
            </w:r>
          </w:p>
        </w:tc>
      </w:tr>
      <w:tr w:rsidR="008D0F0F" w:rsidRPr="009A6C26" w14:paraId="497AA1BF" w14:textId="77777777" w:rsidTr="009D77FE">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1E37CFAF" w14:textId="77777777" w:rsidR="008D0F0F" w:rsidRPr="00294FA7" w:rsidRDefault="008D0F0F" w:rsidP="00B7717E">
            <w:pPr>
              <w:spacing w:before="30" w:after="30"/>
            </w:pPr>
            <w:r w:rsidRPr="00294FA7">
              <w:t>Diesel use (non-transport)</w:t>
            </w:r>
          </w:p>
        </w:tc>
        <w:tc>
          <w:tcPr>
            <w:tcW w:w="1602" w:type="dxa"/>
            <w:vAlign w:val="center"/>
            <w:hideMark/>
          </w:tcPr>
          <w:p w14:paraId="5E2723F2" w14:textId="77777777" w:rsidR="008D0F0F" w:rsidRPr="00294FA7" w:rsidRDefault="008D0F0F" w:rsidP="00B7717E">
            <w:pPr>
              <w:spacing w:before="30" w:after="30"/>
              <w:cnfStyle w:val="000000010000" w:firstRow="0" w:lastRow="0" w:firstColumn="0" w:lastColumn="0" w:oddVBand="0" w:evenVBand="0" w:oddHBand="0" w:evenHBand="1" w:firstRowFirstColumn="0" w:firstRowLastColumn="0" w:lastRowFirstColumn="0" w:lastRowLastColumn="0"/>
            </w:pPr>
            <w:r w:rsidRPr="00294FA7">
              <w:t>Kilolitres</w:t>
            </w:r>
          </w:p>
        </w:tc>
        <w:tc>
          <w:tcPr>
            <w:tcW w:w="1603" w:type="dxa"/>
            <w:vAlign w:val="center"/>
            <w:hideMark/>
          </w:tcPr>
          <w:p w14:paraId="1E9AF4AD" w14:textId="77777777" w:rsidR="008D0F0F" w:rsidRPr="00294FA7" w:rsidRDefault="008D0F0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294FA7">
              <w:t xml:space="preserve"> - </w:t>
            </w:r>
          </w:p>
        </w:tc>
        <w:tc>
          <w:tcPr>
            <w:tcW w:w="1602" w:type="dxa"/>
            <w:vAlign w:val="center"/>
            <w:hideMark/>
          </w:tcPr>
          <w:p w14:paraId="39A94AB1" w14:textId="77777777" w:rsidR="008D0F0F" w:rsidRPr="00294FA7" w:rsidRDefault="008D0F0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294FA7">
              <w:t xml:space="preserve"> - </w:t>
            </w:r>
          </w:p>
        </w:tc>
        <w:tc>
          <w:tcPr>
            <w:tcW w:w="1603" w:type="dxa"/>
            <w:vAlign w:val="center"/>
            <w:hideMark/>
          </w:tcPr>
          <w:p w14:paraId="2EA34AD5" w14:textId="77777777" w:rsidR="008D0F0F" w:rsidRPr="00294FA7" w:rsidRDefault="008D0F0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294FA7">
              <w:t>-</w:t>
            </w:r>
          </w:p>
        </w:tc>
      </w:tr>
      <w:tr w:rsidR="008D0F0F" w:rsidRPr="009A6C26" w14:paraId="2C7A2E7E" w14:textId="77777777" w:rsidTr="009D77FE">
        <w:trPr>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009C0A76" w14:textId="77777777" w:rsidR="008D0F0F" w:rsidRPr="00294FA7" w:rsidRDefault="008D0F0F" w:rsidP="00B7717E">
            <w:pPr>
              <w:spacing w:before="30" w:after="30"/>
            </w:pPr>
            <w:r w:rsidRPr="00294FA7">
              <w:t>Liquid Petroleum Gas</w:t>
            </w:r>
          </w:p>
        </w:tc>
        <w:tc>
          <w:tcPr>
            <w:tcW w:w="1602" w:type="dxa"/>
            <w:vAlign w:val="center"/>
            <w:hideMark/>
          </w:tcPr>
          <w:p w14:paraId="7D49FDD2" w14:textId="77777777" w:rsidR="008D0F0F" w:rsidRPr="00294FA7"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294FA7">
              <w:t>Kilolitres</w:t>
            </w:r>
          </w:p>
        </w:tc>
        <w:tc>
          <w:tcPr>
            <w:tcW w:w="1603" w:type="dxa"/>
            <w:vAlign w:val="center"/>
            <w:hideMark/>
          </w:tcPr>
          <w:p w14:paraId="1A9B60E5" w14:textId="77777777" w:rsidR="008D0F0F" w:rsidRPr="00294FA7" w:rsidRDefault="008D0F0F"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294FA7">
              <w:t xml:space="preserve"> - </w:t>
            </w:r>
          </w:p>
        </w:tc>
        <w:tc>
          <w:tcPr>
            <w:tcW w:w="1602" w:type="dxa"/>
            <w:vAlign w:val="center"/>
            <w:hideMark/>
          </w:tcPr>
          <w:p w14:paraId="55E0FD18" w14:textId="77777777" w:rsidR="008D0F0F" w:rsidRPr="00294FA7" w:rsidRDefault="008D0F0F"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294FA7">
              <w:t xml:space="preserve"> - </w:t>
            </w:r>
          </w:p>
        </w:tc>
        <w:tc>
          <w:tcPr>
            <w:tcW w:w="1603" w:type="dxa"/>
            <w:vAlign w:val="center"/>
            <w:hideMark/>
          </w:tcPr>
          <w:p w14:paraId="335A5BA2" w14:textId="77777777" w:rsidR="008D0F0F" w:rsidRPr="00294FA7" w:rsidRDefault="008D0F0F"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294FA7">
              <w:t>-</w:t>
            </w:r>
          </w:p>
        </w:tc>
      </w:tr>
      <w:tr w:rsidR="008D0F0F" w:rsidRPr="009A6C26" w14:paraId="1CA20D99" w14:textId="77777777" w:rsidTr="00E30E4D">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0096" w:type="dxa"/>
            <w:gridSpan w:val="5"/>
            <w:shd w:val="clear" w:color="auto" w:fill="CEE1FB" w:themeFill="accent4"/>
            <w:vAlign w:val="center"/>
            <w:hideMark/>
          </w:tcPr>
          <w:p w14:paraId="66566D0A" w14:textId="7EC764E2" w:rsidR="008D0F0F" w:rsidRPr="008A2175" w:rsidRDefault="00475DBB" w:rsidP="00B7717E">
            <w:pPr>
              <w:spacing w:before="30" w:after="30"/>
              <w:rPr>
                <w:b/>
                <w:bCs/>
              </w:rPr>
            </w:pPr>
            <w:r w:rsidRPr="008A2175">
              <w:rPr>
                <w:b/>
                <w:bCs/>
              </w:rPr>
              <w:t>Fleet vehicles</w:t>
            </w:r>
          </w:p>
        </w:tc>
      </w:tr>
      <w:tr w:rsidR="008D0F0F" w:rsidRPr="009A6C26" w14:paraId="7CDABDF9" w14:textId="77777777" w:rsidTr="009D77FE">
        <w:trPr>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0FF06ED1" w14:textId="77777777" w:rsidR="008D0F0F" w:rsidRPr="00E73900" w:rsidRDefault="008D0F0F" w:rsidP="00B7717E">
            <w:pPr>
              <w:spacing w:before="30" w:after="30"/>
            </w:pPr>
            <w:r w:rsidRPr="00E73900">
              <w:lastRenderedPageBreak/>
              <w:t>Zero Emissions Vehicles (ZEV)</w:t>
            </w:r>
          </w:p>
        </w:tc>
        <w:tc>
          <w:tcPr>
            <w:tcW w:w="1602" w:type="dxa"/>
            <w:vAlign w:val="center"/>
            <w:hideMark/>
          </w:tcPr>
          <w:p w14:paraId="15D7FF4D" w14:textId="77777777" w:rsidR="008D0F0F" w:rsidRPr="00E73900"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E73900">
              <w:t>Number</w:t>
            </w:r>
          </w:p>
        </w:tc>
        <w:tc>
          <w:tcPr>
            <w:tcW w:w="1603" w:type="dxa"/>
            <w:vAlign w:val="center"/>
            <w:hideMark/>
          </w:tcPr>
          <w:p w14:paraId="1A69E95E" w14:textId="5FE0E238" w:rsidR="008D0F0F" w:rsidRPr="00E73900" w:rsidRDefault="00F4671E"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E73900">
              <w:t>1</w:t>
            </w:r>
          </w:p>
        </w:tc>
        <w:tc>
          <w:tcPr>
            <w:tcW w:w="1602" w:type="dxa"/>
            <w:vAlign w:val="center"/>
            <w:hideMark/>
          </w:tcPr>
          <w:p w14:paraId="6C2A7E0F" w14:textId="37DAC20C" w:rsidR="008D0F0F" w:rsidRPr="00E73900" w:rsidRDefault="00E73900"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E73900">
              <w:t>1</w:t>
            </w:r>
            <w:r w:rsidR="008D0F0F" w:rsidRPr="00E73900">
              <w:t xml:space="preserve"> </w:t>
            </w:r>
          </w:p>
        </w:tc>
        <w:tc>
          <w:tcPr>
            <w:tcW w:w="1603" w:type="dxa"/>
            <w:vAlign w:val="center"/>
            <w:hideMark/>
          </w:tcPr>
          <w:p w14:paraId="3532E728" w14:textId="5CCCCCD4" w:rsidR="008D0F0F" w:rsidRPr="00E73900" w:rsidRDefault="00E73900"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E73900">
              <w:t>-%</w:t>
            </w:r>
          </w:p>
        </w:tc>
      </w:tr>
      <w:tr w:rsidR="008D0F0F" w:rsidRPr="009A6C26" w14:paraId="3146AA3C" w14:textId="77777777" w:rsidTr="009D77FE">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6EB6EE7E" w14:textId="77777777" w:rsidR="008D0F0F" w:rsidRPr="00E73900" w:rsidRDefault="008D0F0F" w:rsidP="00B7717E">
            <w:pPr>
              <w:spacing w:before="30" w:after="30"/>
            </w:pPr>
            <w:r w:rsidRPr="00E73900">
              <w:t>Plug-in Hybrid Electric Vehicles (PHEV)</w:t>
            </w:r>
          </w:p>
        </w:tc>
        <w:tc>
          <w:tcPr>
            <w:tcW w:w="1602" w:type="dxa"/>
            <w:vAlign w:val="center"/>
            <w:hideMark/>
          </w:tcPr>
          <w:p w14:paraId="7AE84D7C" w14:textId="77777777" w:rsidR="008D0F0F" w:rsidRPr="00E73900" w:rsidRDefault="008D0F0F" w:rsidP="00B7717E">
            <w:pPr>
              <w:spacing w:before="30" w:after="30"/>
              <w:cnfStyle w:val="000000010000" w:firstRow="0" w:lastRow="0" w:firstColumn="0" w:lastColumn="0" w:oddVBand="0" w:evenVBand="0" w:oddHBand="0" w:evenHBand="1" w:firstRowFirstColumn="0" w:firstRowLastColumn="0" w:lastRowFirstColumn="0" w:lastRowLastColumn="0"/>
            </w:pPr>
            <w:r w:rsidRPr="00E73900">
              <w:t>Number</w:t>
            </w:r>
          </w:p>
        </w:tc>
        <w:tc>
          <w:tcPr>
            <w:tcW w:w="1603" w:type="dxa"/>
            <w:vAlign w:val="center"/>
          </w:tcPr>
          <w:p w14:paraId="3CF175AC" w14:textId="77777777" w:rsidR="008D0F0F" w:rsidRPr="00E73900" w:rsidRDefault="008D0F0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E73900">
              <w:t xml:space="preserve"> - </w:t>
            </w:r>
          </w:p>
        </w:tc>
        <w:tc>
          <w:tcPr>
            <w:tcW w:w="1602" w:type="dxa"/>
            <w:vAlign w:val="center"/>
          </w:tcPr>
          <w:p w14:paraId="163C296B" w14:textId="77777777" w:rsidR="008D0F0F" w:rsidRPr="00E73900" w:rsidRDefault="008D0F0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E73900">
              <w:t xml:space="preserve"> - </w:t>
            </w:r>
          </w:p>
        </w:tc>
        <w:tc>
          <w:tcPr>
            <w:tcW w:w="1603" w:type="dxa"/>
            <w:vAlign w:val="center"/>
            <w:hideMark/>
          </w:tcPr>
          <w:p w14:paraId="1D0DB0DC" w14:textId="77777777" w:rsidR="008D0F0F" w:rsidRPr="00E73900" w:rsidRDefault="008D0F0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E73900">
              <w:t>-</w:t>
            </w:r>
          </w:p>
        </w:tc>
      </w:tr>
      <w:tr w:rsidR="008D0F0F" w:rsidRPr="009A6C26" w14:paraId="135203FF" w14:textId="77777777" w:rsidTr="009D77FE">
        <w:trPr>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7EFD901E" w14:textId="77777777" w:rsidR="008D0F0F" w:rsidRPr="00E73900" w:rsidRDefault="008D0F0F" w:rsidP="00B7717E">
            <w:pPr>
              <w:spacing w:before="30" w:after="30"/>
            </w:pPr>
            <w:r w:rsidRPr="00E73900">
              <w:t>Hybrid Electric Vehicles (HEV)</w:t>
            </w:r>
          </w:p>
        </w:tc>
        <w:tc>
          <w:tcPr>
            <w:tcW w:w="1602" w:type="dxa"/>
            <w:vAlign w:val="center"/>
            <w:hideMark/>
          </w:tcPr>
          <w:p w14:paraId="608EC44F" w14:textId="77777777" w:rsidR="008D0F0F" w:rsidRPr="00E73900"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E73900">
              <w:t>Number</w:t>
            </w:r>
          </w:p>
        </w:tc>
        <w:tc>
          <w:tcPr>
            <w:tcW w:w="1603" w:type="dxa"/>
            <w:vAlign w:val="center"/>
          </w:tcPr>
          <w:p w14:paraId="600DFCD0" w14:textId="6344B37B" w:rsidR="008D0F0F" w:rsidRPr="00E73900" w:rsidRDefault="00E73900" w:rsidP="00B7717E">
            <w:pPr>
              <w:spacing w:before="30" w:after="30"/>
              <w:cnfStyle w:val="000000000000" w:firstRow="0" w:lastRow="0" w:firstColumn="0" w:lastColumn="0" w:oddVBand="0" w:evenVBand="0" w:oddHBand="0" w:evenHBand="0" w:firstRowFirstColumn="0" w:firstRowLastColumn="0" w:lastRowFirstColumn="0" w:lastRowLastColumn="0"/>
            </w:pPr>
            <w:r w:rsidRPr="00E73900">
              <w:t xml:space="preserve"> - </w:t>
            </w:r>
          </w:p>
        </w:tc>
        <w:tc>
          <w:tcPr>
            <w:tcW w:w="1602" w:type="dxa"/>
            <w:vAlign w:val="center"/>
          </w:tcPr>
          <w:p w14:paraId="13A8A9E8" w14:textId="77777777" w:rsidR="008D0F0F" w:rsidRPr="00E73900" w:rsidRDefault="008D0F0F"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E73900">
              <w:t xml:space="preserve">1 </w:t>
            </w:r>
          </w:p>
        </w:tc>
        <w:tc>
          <w:tcPr>
            <w:tcW w:w="1603" w:type="dxa"/>
            <w:vAlign w:val="center"/>
            <w:hideMark/>
          </w:tcPr>
          <w:p w14:paraId="488AE3CD" w14:textId="5B0E8B24" w:rsidR="008D0F0F" w:rsidRPr="00E73900" w:rsidRDefault="00237ABA" w:rsidP="00B7717E">
            <w:pPr>
              <w:spacing w:before="30" w:after="30"/>
              <w:cnfStyle w:val="000000000000" w:firstRow="0" w:lastRow="0" w:firstColumn="0" w:lastColumn="0" w:oddVBand="0" w:evenVBand="0" w:oddHBand="0" w:evenHBand="0" w:firstRowFirstColumn="0" w:firstRowLastColumn="0" w:lastRowFirstColumn="0" w:lastRowLastColumn="0"/>
            </w:pPr>
            <w:r w:rsidRPr="00E73900">
              <w:t>-</w:t>
            </w:r>
            <w:r w:rsidR="00E73900" w:rsidRPr="00E73900">
              <w:t>100</w:t>
            </w:r>
            <w:r w:rsidR="00CD019D" w:rsidRPr="00E73900">
              <w:t>%</w:t>
            </w:r>
          </w:p>
        </w:tc>
      </w:tr>
      <w:tr w:rsidR="008D0F0F" w:rsidRPr="009A6C26" w14:paraId="187C0FFC" w14:textId="77777777" w:rsidTr="009D77FE">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4C6FFCEB" w14:textId="77777777" w:rsidR="008D0F0F" w:rsidRPr="00E73900" w:rsidRDefault="008D0F0F" w:rsidP="00B7717E">
            <w:pPr>
              <w:spacing w:before="30" w:after="30"/>
            </w:pPr>
            <w:r w:rsidRPr="00E73900">
              <w:t>Internal Combustion Engine (ICE) Vehicles</w:t>
            </w:r>
          </w:p>
        </w:tc>
        <w:tc>
          <w:tcPr>
            <w:tcW w:w="1602" w:type="dxa"/>
            <w:vAlign w:val="center"/>
            <w:hideMark/>
          </w:tcPr>
          <w:p w14:paraId="7F468E72" w14:textId="77777777" w:rsidR="008D0F0F" w:rsidRPr="00E73900" w:rsidRDefault="008D0F0F" w:rsidP="00B7717E">
            <w:pPr>
              <w:spacing w:before="30" w:after="30"/>
              <w:cnfStyle w:val="000000010000" w:firstRow="0" w:lastRow="0" w:firstColumn="0" w:lastColumn="0" w:oddVBand="0" w:evenVBand="0" w:oddHBand="0" w:evenHBand="1" w:firstRowFirstColumn="0" w:firstRowLastColumn="0" w:lastRowFirstColumn="0" w:lastRowLastColumn="0"/>
            </w:pPr>
            <w:r w:rsidRPr="00E73900">
              <w:t>Number</w:t>
            </w:r>
          </w:p>
        </w:tc>
        <w:tc>
          <w:tcPr>
            <w:tcW w:w="1603" w:type="dxa"/>
            <w:vAlign w:val="center"/>
            <w:hideMark/>
          </w:tcPr>
          <w:p w14:paraId="50D3ABC4" w14:textId="77777777" w:rsidR="008D0F0F" w:rsidRPr="00E73900" w:rsidRDefault="008D0F0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E73900">
              <w:t xml:space="preserve"> - </w:t>
            </w:r>
          </w:p>
        </w:tc>
        <w:tc>
          <w:tcPr>
            <w:tcW w:w="1602" w:type="dxa"/>
            <w:vAlign w:val="center"/>
            <w:hideMark/>
          </w:tcPr>
          <w:p w14:paraId="63715DE2" w14:textId="77777777" w:rsidR="008D0F0F" w:rsidRPr="00E73900" w:rsidRDefault="008D0F0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E73900">
              <w:t xml:space="preserve"> - </w:t>
            </w:r>
          </w:p>
        </w:tc>
        <w:tc>
          <w:tcPr>
            <w:tcW w:w="1603" w:type="dxa"/>
            <w:vAlign w:val="center"/>
            <w:hideMark/>
          </w:tcPr>
          <w:p w14:paraId="0F2BA595" w14:textId="77777777" w:rsidR="008D0F0F" w:rsidRPr="00E73900" w:rsidRDefault="008D0F0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E73900">
              <w:t>-</w:t>
            </w:r>
          </w:p>
        </w:tc>
      </w:tr>
      <w:tr w:rsidR="008D0F0F" w:rsidRPr="009A6C26" w14:paraId="2D5B5DAE" w14:textId="77777777" w:rsidTr="00E30E4D">
        <w:trPr>
          <w:trHeight w:val="96"/>
        </w:trPr>
        <w:tc>
          <w:tcPr>
            <w:cnfStyle w:val="001000000000" w:firstRow="0" w:lastRow="0" w:firstColumn="1" w:lastColumn="0" w:oddVBand="0" w:evenVBand="0" w:oddHBand="0" w:evenHBand="0" w:firstRowFirstColumn="0" w:firstRowLastColumn="0" w:lastRowFirstColumn="0" w:lastRowLastColumn="0"/>
            <w:tcW w:w="10096" w:type="dxa"/>
            <w:gridSpan w:val="5"/>
            <w:shd w:val="clear" w:color="auto" w:fill="CEE1FB" w:themeFill="accent4"/>
            <w:vAlign w:val="center"/>
            <w:hideMark/>
          </w:tcPr>
          <w:p w14:paraId="7F63A91B" w14:textId="77777777" w:rsidR="008D0F0F" w:rsidRPr="00E30E4D" w:rsidRDefault="008D0F0F" w:rsidP="00B7717E">
            <w:pPr>
              <w:spacing w:before="30" w:after="30"/>
              <w:rPr>
                <w:b/>
                <w:bCs/>
              </w:rPr>
            </w:pPr>
            <w:r w:rsidRPr="00E30E4D">
              <w:rPr>
                <w:b/>
                <w:bCs/>
              </w:rPr>
              <w:t>Water usage</w:t>
            </w:r>
          </w:p>
        </w:tc>
      </w:tr>
      <w:tr w:rsidR="008D0F0F" w:rsidRPr="009A6C26" w14:paraId="3D9F1C98" w14:textId="77777777" w:rsidTr="009D77FE">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2525B334" w14:textId="77777777" w:rsidR="008D0F0F" w:rsidRPr="009A6C26" w:rsidRDefault="008D0F0F" w:rsidP="00B7717E">
            <w:pPr>
              <w:spacing w:before="30" w:after="30"/>
            </w:pPr>
            <w:r w:rsidRPr="009A6C26">
              <w:t>Water use</w:t>
            </w:r>
          </w:p>
        </w:tc>
        <w:tc>
          <w:tcPr>
            <w:tcW w:w="1602" w:type="dxa"/>
            <w:vAlign w:val="center"/>
            <w:hideMark/>
          </w:tcPr>
          <w:p w14:paraId="3258A74F" w14:textId="77777777" w:rsidR="008D0F0F" w:rsidRPr="009A6C26" w:rsidRDefault="008D0F0F" w:rsidP="00B7717E">
            <w:pPr>
              <w:spacing w:before="30" w:after="30"/>
              <w:cnfStyle w:val="000000010000" w:firstRow="0" w:lastRow="0" w:firstColumn="0" w:lastColumn="0" w:oddVBand="0" w:evenVBand="0" w:oddHBand="0" w:evenHBand="1" w:firstRowFirstColumn="0" w:firstRowLastColumn="0" w:lastRowFirstColumn="0" w:lastRowLastColumn="0"/>
            </w:pPr>
            <w:r w:rsidRPr="009A6C26">
              <w:t>Kilolitres</w:t>
            </w:r>
          </w:p>
        </w:tc>
        <w:tc>
          <w:tcPr>
            <w:tcW w:w="1603" w:type="dxa"/>
            <w:vAlign w:val="center"/>
            <w:hideMark/>
          </w:tcPr>
          <w:p w14:paraId="0E175E3D" w14:textId="17ADEDAC" w:rsidR="008D0F0F" w:rsidRPr="009A6C26" w:rsidRDefault="003A7982" w:rsidP="00B7717E">
            <w:pPr>
              <w:spacing w:before="30" w:after="30"/>
              <w:cnfStyle w:val="000000010000" w:firstRow="0" w:lastRow="0" w:firstColumn="0" w:lastColumn="0" w:oddVBand="0" w:evenVBand="0" w:oddHBand="0" w:evenHBand="1" w:firstRowFirstColumn="0" w:firstRowLastColumn="0" w:lastRowFirstColumn="0" w:lastRowLastColumn="0"/>
            </w:pPr>
            <w:r w:rsidRPr="00E73900">
              <w:t>7</w:t>
            </w:r>
            <w:r w:rsidR="00782B9F">
              <w:t>3</w:t>
            </w:r>
          </w:p>
        </w:tc>
        <w:tc>
          <w:tcPr>
            <w:tcW w:w="1602" w:type="dxa"/>
            <w:vAlign w:val="center"/>
            <w:hideMark/>
          </w:tcPr>
          <w:p w14:paraId="31870A26" w14:textId="507068D4" w:rsidR="008D0F0F" w:rsidRPr="009A6C26" w:rsidRDefault="00E73900" w:rsidP="00B7717E">
            <w:pPr>
              <w:spacing w:before="30" w:after="30"/>
              <w:cnfStyle w:val="000000010000" w:firstRow="0" w:lastRow="0" w:firstColumn="0" w:lastColumn="0" w:oddVBand="0" w:evenVBand="0" w:oddHBand="0" w:evenHBand="1" w:firstRowFirstColumn="0" w:firstRowLastColumn="0" w:lastRowFirstColumn="0" w:lastRowLastColumn="0"/>
            </w:pPr>
            <w:r w:rsidRPr="00E73900">
              <w:t>77</w:t>
            </w:r>
          </w:p>
        </w:tc>
        <w:tc>
          <w:tcPr>
            <w:tcW w:w="1603" w:type="dxa"/>
            <w:vAlign w:val="center"/>
            <w:hideMark/>
          </w:tcPr>
          <w:p w14:paraId="249D324B" w14:textId="55982C32" w:rsidR="008D0F0F" w:rsidRPr="009A6C26" w:rsidRDefault="00782B9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t>-6</w:t>
            </w:r>
            <w:r w:rsidR="008D0F0F" w:rsidRPr="00E73900">
              <w:t>%</w:t>
            </w:r>
          </w:p>
        </w:tc>
      </w:tr>
      <w:tr w:rsidR="008D0F0F" w:rsidRPr="009A6C26" w14:paraId="00627466" w14:textId="77777777" w:rsidTr="00E30E4D">
        <w:trPr>
          <w:trHeight w:val="96"/>
        </w:trPr>
        <w:tc>
          <w:tcPr>
            <w:cnfStyle w:val="001000000000" w:firstRow="0" w:lastRow="0" w:firstColumn="1" w:lastColumn="0" w:oddVBand="0" w:evenVBand="0" w:oddHBand="0" w:evenHBand="0" w:firstRowFirstColumn="0" w:firstRowLastColumn="0" w:lastRowFirstColumn="0" w:lastRowLastColumn="0"/>
            <w:tcW w:w="10096" w:type="dxa"/>
            <w:gridSpan w:val="5"/>
            <w:shd w:val="clear" w:color="auto" w:fill="CEE1FB" w:themeFill="accent4"/>
            <w:vAlign w:val="center"/>
            <w:hideMark/>
          </w:tcPr>
          <w:p w14:paraId="1C18D9A6" w14:textId="77777777" w:rsidR="008D0F0F" w:rsidRPr="00E30E4D" w:rsidRDefault="008D0F0F" w:rsidP="00B7717E">
            <w:pPr>
              <w:spacing w:before="30" w:after="30"/>
              <w:rPr>
                <w:b/>
                <w:bCs/>
              </w:rPr>
            </w:pPr>
            <w:r w:rsidRPr="00E30E4D">
              <w:rPr>
                <w:b/>
                <w:bCs/>
              </w:rPr>
              <w:t>Resource efficiency and waste</w:t>
            </w:r>
          </w:p>
        </w:tc>
      </w:tr>
      <w:tr w:rsidR="00E73900" w:rsidRPr="009A6C26" w14:paraId="794C0263" w14:textId="77777777" w:rsidTr="009D77FE">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5C181E48" w14:textId="77777777" w:rsidR="00E73900" w:rsidRPr="009A6C26" w:rsidRDefault="00E73900" w:rsidP="00B7717E">
            <w:pPr>
              <w:spacing w:before="30" w:after="30"/>
            </w:pPr>
            <w:r w:rsidRPr="009A6C26">
              <w:t>Waste to landfill</w:t>
            </w:r>
          </w:p>
        </w:tc>
        <w:tc>
          <w:tcPr>
            <w:tcW w:w="1602" w:type="dxa"/>
            <w:vAlign w:val="center"/>
            <w:hideMark/>
          </w:tcPr>
          <w:p w14:paraId="244E96F6" w14:textId="77777777" w:rsidR="00E73900" w:rsidRPr="009A6C26" w:rsidRDefault="00E73900" w:rsidP="00B7717E">
            <w:pPr>
              <w:spacing w:before="30" w:after="30"/>
              <w:cnfStyle w:val="000000010000" w:firstRow="0" w:lastRow="0" w:firstColumn="0" w:lastColumn="0" w:oddVBand="0" w:evenVBand="0" w:oddHBand="0" w:evenHBand="1" w:firstRowFirstColumn="0" w:firstRowLastColumn="0" w:lastRowFirstColumn="0" w:lastRowLastColumn="0"/>
            </w:pPr>
            <w:r w:rsidRPr="009A6C26">
              <w:t>Litres</w:t>
            </w:r>
          </w:p>
        </w:tc>
        <w:tc>
          <w:tcPr>
            <w:tcW w:w="1603" w:type="dxa"/>
            <w:vAlign w:val="center"/>
            <w:hideMark/>
          </w:tcPr>
          <w:p w14:paraId="76022552" w14:textId="1B299385" w:rsidR="00E73900" w:rsidRPr="00E73900" w:rsidRDefault="00E73900" w:rsidP="00B7717E">
            <w:pPr>
              <w:spacing w:before="30" w:after="30"/>
              <w:cnfStyle w:val="000000010000" w:firstRow="0" w:lastRow="0" w:firstColumn="0" w:lastColumn="0" w:oddVBand="0" w:evenVBand="0" w:oddHBand="0" w:evenHBand="1" w:firstRowFirstColumn="0" w:firstRowLastColumn="0" w:lastRowFirstColumn="0" w:lastRowLastColumn="0"/>
            </w:pPr>
            <w:r w:rsidRPr="00E73900">
              <w:t>31,110</w:t>
            </w:r>
          </w:p>
        </w:tc>
        <w:tc>
          <w:tcPr>
            <w:tcW w:w="1602" w:type="dxa"/>
            <w:vAlign w:val="center"/>
            <w:hideMark/>
          </w:tcPr>
          <w:p w14:paraId="4B5E9F58" w14:textId="2EEFF67E" w:rsidR="00E73900" w:rsidRPr="00E73900" w:rsidRDefault="00E73900"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E73900">
              <w:t>31,110</w:t>
            </w:r>
          </w:p>
        </w:tc>
        <w:tc>
          <w:tcPr>
            <w:tcW w:w="1603" w:type="dxa"/>
            <w:vAlign w:val="center"/>
            <w:hideMark/>
          </w:tcPr>
          <w:p w14:paraId="0813C3D2" w14:textId="7FD21206" w:rsidR="00E73900" w:rsidRPr="00E73900" w:rsidRDefault="003C2713"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Pr>
                <w:rFonts w:eastAsia="Times New Roman"/>
              </w:rPr>
              <w:t>-</w:t>
            </w:r>
          </w:p>
        </w:tc>
      </w:tr>
      <w:tr w:rsidR="00E73900" w:rsidRPr="009A6C26" w14:paraId="77213DF2" w14:textId="77777777" w:rsidTr="009D77FE">
        <w:trPr>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74048B85" w14:textId="77777777" w:rsidR="00E73900" w:rsidRPr="009A6C26" w:rsidRDefault="00E73900" w:rsidP="00B7717E">
            <w:pPr>
              <w:spacing w:before="30" w:after="30"/>
            </w:pPr>
            <w:r w:rsidRPr="009A6C26">
              <w:t>Co-mingled material recycled</w:t>
            </w:r>
          </w:p>
        </w:tc>
        <w:tc>
          <w:tcPr>
            <w:tcW w:w="1602" w:type="dxa"/>
            <w:vAlign w:val="center"/>
            <w:hideMark/>
          </w:tcPr>
          <w:p w14:paraId="6D695B62" w14:textId="77777777" w:rsidR="00E73900" w:rsidRPr="009A6C26" w:rsidRDefault="00E73900" w:rsidP="00B7717E">
            <w:pPr>
              <w:spacing w:before="30" w:after="30"/>
              <w:cnfStyle w:val="000000000000" w:firstRow="0" w:lastRow="0" w:firstColumn="0" w:lastColumn="0" w:oddVBand="0" w:evenVBand="0" w:oddHBand="0" w:evenHBand="0" w:firstRowFirstColumn="0" w:firstRowLastColumn="0" w:lastRowFirstColumn="0" w:lastRowLastColumn="0"/>
            </w:pPr>
            <w:r w:rsidRPr="009A6C26">
              <w:t>Litres</w:t>
            </w:r>
          </w:p>
        </w:tc>
        <w:tc>
          <w:tcPr>
            <w:tcW w:w="1603" w:type="dxa"/>
            <w:vAlign w:val="center"/>
            <w:hideMark/>
          </w:tcPr>
          <w:p w14:paraId="7DE3B85B" w14:textId="48FD0879" w:rsidR="00E73900" w:rsidRPr="00E73900" w:rsidRDefault="00E73900" w:rsidP="00B7717E">
            <w:pPr>
              <w:spacing w:before="30" w:after="30"/>
              <w:cnfStyle w:val="000000000000" w:firstRow="0" w:lastRow="0" w:firstColumn="0" w:lastColumn="0" w:oddVBand="0" w:evenVBand="0" w:oddHBand="0" w:evenHBand="0" w:firstRowFirstColumn="0" w:firstRowLastColumn="0" w:lastRowFirstColumn="0" w:lastRowLastColumn="0"/>
            </w:pPr>
            <w:r w:rsidRPr="00E73900">
              <w:t>10,455</w:t>
            </w:r>
          </w:p>
        </w:tc>
        <w:tc>
          <w:tcPr>
            <w:tcW w:w="1602" w:type="dxa"/>
            <w:vAlign w:val="center"/>
            <w:hideMark/>
          </w:tcPr>
          <w:p w14:paraId="242481B5" w14:textId="37A19726" w:rsidR="00E73900" w:rsidRPr="00E73900" w:rsidRDefault="00E73900"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sidRPr="00E73900">
              <w:t>10,455</w:t>
            </w:r>
          </w:p>
        </w:tc>
        <w:tc>
          <w:tcPr>
            <w:tcW w:w="1603" w:type="dxa"/>
            <w:vAlign w:val="center"/>
            <w:hideMark/>
          </w:tcPr>
          <w:p w14:paraId="2790BFF7" w14:textId="053B3C42" w:rsidR="00E73900" w:rsidRPr="00E73900" w:rsidRDefault="003C2713"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t>-</w:t>
            </w:r>
          </w:p>
        </w:tc>
      </w:tr>
      <w:tr w:rsidR="00E73900" w:rsidRPr="009A6C26" w14:paraId="692D8877" w14:textId="77777777" w:rsidTr="009D77FE">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5152573D" w14:textId="77777777" w:rsidR="00E73900" w:rsidRPr="009A6C26" w:rsidRDefault="00E73900" w:rsidP="00B7717E">
            <w:pPr>
              <w:spacing w:before="30" w:after="30"/>
            </w:pPr>
            <w:r w:rsidRPr="009A6C26">
              <w:t>Paper &amp; Cardboard recycled (including secure paper)</w:t>
            </w:r>
          </w:p>
        </w:tc>
        <w:tc>
          <w:tcPr>
            <w:tcW w:w="1602" w:type="dxa"/>
            <w:vAlign w:val="center"/>
            <w:hideMark/>
          </w:tcPr>
          <w:p w14:paraId="5EE98F68" w14:textId="77777777" w:rsidR="00E73900" w:rsidRPr="009A6C26" w:rsidRDefault="00E73900" w:rsidP="00B7717E">
            <w:pPr>
              <w:spacing w:before="30" w:after="30"/>
              <w:cnfStyle w:val="000000010000" w:firstRow="0" w:lastRow="0" w:firstColumn="0" w:lastColumn="0" w:oddVBand="0" w:evenVBand="0" w:oddHBand="0" w:evenHBand="1" w:firstRowFirstColumn="0" w:firstRowLastColumn="0" w:lastRowFirstColumn="0" w:lastRowLastColumn="0"/>
            </w:pPr>
            <w:r w:rsidRPr="009A6C26">
              <w:t>Litres</w:t>
            </w:r>
          </w:p>
        </w:tc>
        <w:tc>
          <w:tcPr>
            <w:tcW w:w="1603" w:type="dxa"/>
            <w:vAlign w:val="center"/>
            <w:hideMark/>
          </w:tcPr>
          <w:p w14:paraId="412F773A" w14:textId="64E7238D" w:rsidR="00E73900" w:rsidRPr="00E73900" w:rsidRDefault="00E73900" w:rsidP="00B7717E">
            <w:pPr>
              <w:spacing w:before="30" w:after="30"/>
              <w:cnfStyle w:val="000000010000" w:firstRow="0" w:lastRow="0" w:firstColumn="0" w:lastColumn="0" w:oddVBand="0" w:evenVBand="0" w:oddHBand="0" w:evenHBand="1" w:firstRowFirstColumn="0" w:firstRowLastColumn="0" w:lastRowFirstColumn="0" w:lastRowLastColumn="0"/>
            </w:pPr>
            <w:r w:rsidRPr="00E73900">
              <w:t>13,</w:t>
            </w:r>
            <w:r w:rsidR="007B3654">
              <w:t>460</w:t>
            </w:r>
          </w:p>
        </w:tc>
        <w:tc>
          <w:tcPr>
            <w:tcW w:w="1602" w:type="dxa"/>
            <w:vAlign w:val="center"/>
            <w:hideMark/>
          </w:tcPr>
          <w:p w14:paraId="54FDBBDE" w14:textId="53E484DD" w:rsidR="00E73900" w:rsidRPr="00E73900" w:rsidRDefault="00E73900"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E73900">
              <w:t>13,696</w:t>
            </w:r>
          </w:p>
        </w:tc>
        <w:tc>
          <w:tcPr>
            <w:tcW w:w="1603" w:type="dxa"/>
            <w:vAlign w:val="center"/>
            <w:hideMark/>
          </w:tcPr>
          <w:p w14:paraId="251D1EA6" w14:textId="59FF19D8" w:rsidR="00E73900" w:rsidRPr="00E73900" w:rsidRDefault="00E73900"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E73900">
              <w:t>-</w:t>
            </w:r>
            <w:r w:rsidR="007B3654">
              <w:t>2</w:t>
            </w:r>
            <w:r w:rsidRPr="00E73900">
              <w:t>%</w:t>
            </w:r>
          </w:p>
        </w:tc>
      </w:tr>
      <w:tr w:rsidR="008D0F0F" w:rsidRPr="009A6C26" w14:paraId="45018B0D" w14:textId="77777777" w:rsidTr="009D77FE">
        <w:trPr>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12D925FC" w14:textId="77777777" w:rsidR="008D0F0F" w:rsidRPr="00E73900" w:rsidRDefault="008D0F0F" w:rsidP="00B7717E">
            <w:pPr>
              <w:spacing w:before="30" w:after="30"/>
            </w:pPr>
            <w:r w:rsidRPr="00E73900">
              <w:t>Organic material recycled</w:t>
            </w:r>
          </w:p>
        </w:tc>
        <w:tc>
          <w:tcPr>
            <w:tcW w:w="1602" w:type="dxa"/>
            <w:vAlign w:val="center"/>
            <w:hideMark/>
          </w:tcPr>
          <w:p w14:paraId="2F92E57A" w14:textId="77777777" w:rsidR="008D0F0F" w:rsidRPr="00E73900"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E73900">
              <w:t>Litres</w:t>
            </w:r>
          </w:p>
        </w:tc>
        <w:tc>
          <w:tcPr>
            <w:tcW w:w="1603" w:type="dxa"/>
            <w:vAlign w:val="center"/>
            <w:hideMark/>
          </w:tcPr>
          <w:p w14:paraId="317A4440" w14:textId="77777777" w:rsidR="008D0F0F" w:rsidRPr="00E73900"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E73900">
              <w:t xml:space="preserve"> - </w:t>
            </w:r>
          </w:p>
        </w:tc>
        <w:tc>
          <w:tcPr>
            <w:tcW w:w="1602" w:type="dxa"/>
            <w:vAlign w:val="center"/>
            <w:hideMark/>
          </w:tcPr>
          <w:p w14:paraId="3A99174E" w14:textId="77777777" w:rsidR="008D0F0F" w:rsidRPr="00E73900"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E73900">
              <w:t xml:space="preserve"> - </w:t>
            </w:r>
          </w:p>
        </w:tc>
        <w:tc>
          <w:tcPr>
            <w:tcW w:w="1603" w:type="dxa"/>
            <w:vAlign w:val="center"/>
            <w:hideMark/>
          </w:tcPr>
          <w:p w14:paraId="1E1FCCD3" w14:textId="77777777" w:rsidR="008D0F0F" w:rsidRPr="00E73900"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E73900">
              <w:t>-</w:t>
            </w:r>
          </w:p>
        </w:tc>
      </w:tr>
      <w:tr w:rsidR="008D0F0F" w:rsidRPr="009A6C26" w14:paraId="280D0B95" w14:textId="77777777" w:rsidTr="00E30E4D">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0096" w:type="dxa"/>
            <w:gridSpan w:val="5"/>
            <w:shd w:val="clear" w:color="auto" w:fill="CEE1FB" w:themeFill="accent4"/>
            <w:vAlign w:val="center"/>
            <w:hideMark/>
          </w:tcPr>
          <w:p w14:paraId="674047BD" w14:textId="77777777" w:rsidR="008D0F0F" w:rsidRPr="00E30E4D" w:rsidRDefault="008D0F0F" w:rsidP="00B7717E">
            <w:pPr>
              <w:spacing w:before="30" w:after="30"/>
              <w:rPr>
                <w:b/>
                <w:bCs/>
              </w:rPr>
            </w:pPr>
            <w:r w:rsidRPr="00E30E4D">
              <w:rPr>
                <w:b/>
                <w:bCs/>
              </w:rPr>
              <w:t>Greenhouse gas emissions</w:t>
            </w:r>
          </w:p>
        </w:tc>
      </w:tr>
      <w:tr w:rsidR="008D0F0F" w:rsidRPr="009A6C26" w14:paraId="0D685D25" w14:textId="77777777" w:rsidTr="009D77FE">
        <w:trPr>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17821884" w14:textId="76D968AD" w:rsidR="008D0F0F" w:rsidRPr="008C4B2F" w:rsidRDefault="008D0F0F" w:rsidP="00B7717E">
            <w:pPr>
              <w:spacing w:before="30" w:after="30"/>
            </w:pPr>
            <w:r w:rsidRPr="008C4B2F">
              <w:t xml:space="preserve">Emissions from </w:t>
            </w:r>
            <w:r w:rsidR="00074AE7" w:rsidRPr="008C4B2F">
              <w:t>fossil fuel gas</w:t>
            </w:r>
            <w:r w:rsidRPr="008C4B2F">
              <w:t xml:space="preserve"> use (non-transport)</w:t>
            </w:r>
          </w:p>
        </w:tc>
        <w:tc>
          <w:tcPr>
            <w:tcW w:w="1602" w:type="dxa"/>
            <w:vAlign w:val="center"/>
            <w:hideMark/>
          </w:tcPr>
          <w:p w14:paraId="74F33B12" w14:textId="77777777" w:rsidR="008D0F0F" w:rsidRPr="008C4B2F"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proofErr w:type="spellStart"/>
            <w:r w:rsidRPr="008C4B2F">
              <w:t>Tonnes</w:t>
            </w:r>
            <w:proofErr w:type="spellEnd"/>
            <w:r w:rsidRPr="008C4B2F">
              <w:t xml:space="preserve"> Co2-e</w:t>
            </w:r>
          </w:p>
        </w:tc>
        <w:tc>
          <w:tcPr>
            <w:tcW w:w="1603" w:type="dxa"/>
            <w:vAlign w:val="center"/>
            <w:hideMark/>
          </w:tcPr>
          <w:p w14:paraId="322E0771" w14:textId="77777777" w:rsidR="008D0F0F" w:rsidRPr="008C4B2F"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8C4B2F">
              <w:t xml:space="preserve"> - </w:t>
            </w:r>
          </w:p>
        </w:tc>
        <w:tc>
          <w:tcPr>
            <w:tcW w:w="1602" w:type="dxa"/>
            <w:vAlign w:val="center"/>
            <w:hideMark/>
          </w:tcPr>
          <w:p w14:paraId="2AE05517" w14:textId="77777777" w:rsidR="008D0F0F" w:rsidRPr="008C4B2F"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8C4B2F">
              <w:t xml:space="preserve"> - </w:t>
            </w:r>
          </w:p>
        </w:tc>
        <w:tc>
          <w:tcPr>
            <w:tcW w:w="1603" w:type="dxa"/>
            <w:vAlign w:val="center"/>
            <w:hideMark/>
          </w:tcPr>
          <w:p w14:paraId="7B2D216D" w14:textId="77777777" w:rsidR="008D0F0F" w:rsidRPr="008C4B2F"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r w:rsidRPr="008C4B2F">
              <w:t>-</w:t>
            </w:r>
          </w:p>
        </w:tc>
      </w:tr>
      <w:tr w:rsidR="008D0F0F" w:rsidRPr="009A6C26" w14:paraId="4060867D" w14:textId="77777777" w:rsidTr="009D77FE">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77CA025F" w14:textId="42118FCD" w:rsidR="008D0F0F" w:rsidRPr="008C4B2F" w:rsidRDefault="008D0F0F" w:rsidP="00B7717E">
            <w:pPr>
              <w:spacing w:before="30" w:after="30"/>
              <w:rPr>
                <w:lang w:val="fr-FR"/>
              </w:rPr>
            </w:pPr>
            <w:r w:rsidRPr="008C4B2F">
              <w:rPr>
                <w:lang w:val="fr-FR"/>
              </w:rPr>
              <w:t>Emissions diesel use</w:t>
            </w:r>
          </w:p>
        </w:tc>
        <w:tc>
          <w:tcPr>
            <w:tcW w:w="1602" w:type="dxa"/>
            <w:vAlign w:val="center"/>
            <w:hideMark/>
          </w:tcPr>
          <w:p w14:paraId="1BC9DD9E" w14:textId="77777777" w:rsidR="008D0F0F" w:rsidRPr="008C4B2F" w:rsidRDefault="008D0F0F" w:rsidP="00B7717E">
            <w:pPr>
              <w:spacing w:before="30" w:after="30"/>
              <w:cnfStyle w:val="000000010000" w:firstRow="0" w:lastRow="0" w:firstColumn="0" w:lastColumn="0" w:oddVBand="0" w:evenVBand="0" w:oddHBand="0" w:evenHBand="1" w:firstRowFirstColumn="0" w:firstRowLastColumn="0" w:lastRowFirstColumn="0" w:lastRowLastColumn="0"/>
            </w:pPr>
            <w:proofErr w:type="spellStart"/>
            <w:r w:rsidRPr="008C4B2F">
              <w:t>Tonnes</w:t>
            </w:r>
            <w:proofErr w:type="spellEnd"/>
            <w:r w:rsidRPr="008C4B2F">
              <w:t xml:space="preserve"> Co2-e</w:t>
            </w:r>
          </w:p>
        </w:tc>
        <w:tc>
          <w:tcPr>
            <w:tcW w:w="1603" w:type="dxa"/>
            <w:vAlign w:val="center"/>
            <w:hideMark/>
          </w:tcPr>
          <w:p w14:paraId="2A47A77A" w14:textId="77777777" w:rsidR="008D0F0F" w:rsidRPr="008C4B2F" w:rsidRDefault="008D0F0F" w:rsidP="00B7717E">
            <w:pPr>
              <w:spacing w:before="30" w:after="30"/>
              <w:cnfStyle w:val="000000010000" w:firstRow="0" w:lastRow="0" w:firstColumn="0" w:lastColumn="0" w:oddVBand="0" w:evenVBand="0" w:oddHBand="0" w:evenHBand="1" w:firstRowFirstColumn="0" w:firstRowLastColumn="0" w:lastRowFirstColumn="0" w:lastRowLastColumn="0"/>
            </w:pPr>
            <w:r w:rsidRPr="008C4B2F">
              <w:t xml:space="preserve"> - </w:t>
            </w:r>
          </w:p>
        </w:tc>
        <w:tc>
          <w:tcPr>
            <w:tcW w:w="1602" w:type="dxa"/>
            <w:vAlign w:val="center"/>
            <w:hideMark/>
          </w:tcPr>
          <w:p w14:paraId="19F0CC30" w14:textId="77777777" w:rsidR="008D0F0F" w:rsidRPr="008C4B2F" w:rsidRDefault="008D0F0F" w:rsidP="00B7717E">
            <w:pPr>
              <w:spacing w:before="30" w:after="30"/>
              <w:cnfStyle w:val="000000010000" w:firstRow="0" w:lastRow="0" w:firstColumn="0" w:lastColumn="0" w:oddVBand="0" w:evenVBand="0" w:oddHBand="0" w:evenHBand="1" w:firstRowFirstColumn="0" w:firstRowLastColumn="0" w:lastRowFirstColumn="0" w:lastRowLastColumn="0"/>
            </w:pPr>
            <w:r w:rsidRPr="008C4B2F">
              <w:t xml:space="preserve"> - </w:t>
            </w:r>
          </w:p>
        </w:tc>
        <w:tc>
          <w:tcPr>
            <w:tcW w:w="1603" w:type="dxa"/>
            <w:vAlign w:val="center"/>
            <w:hideMark/>
          </w:tcPr>
          <w:p w14:paraId="45D6113F" w14:textId="77777777" w:rsidR="008D0F0F" w:rsidRPr="009A6C26" w:rsidRDefault="008D0F0F" w:rsidP="00B7717E">
            <w:pPr>
              <w:spacing w:before="30" w:after="30"/>
              <w:cnfStyle w:val="000000010000" w:firstRow="0" w:lastRow="0" w:firstColumn="0" w:lastColumn="0" w:oddVBand="0" w:evenVBand="0" w:oddHBand="0" w:evenHBand="1" w:firstRowFirstColumn="0" w:firstRowLastColumn="0" w:lastRowFirstColumn="0" w:lastRowLastColumn="0"/>
            </w:pPr>
            <w:r w:rsidRPr="009A6C26">
              <w:t>-</w:t>
            </w:r>
          </w:p>
        </w:tc>
      </w:tr>
      <w:tr w:rsidR="008D0F0F" w:rsidRPr="009A6C26" w14:paraId="676621BA" w14:textId="77777777" w:rsidTr="009D77FE">
        <w:trPr>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521432C4" w14:textId="0306D6E4" w:rsidR="008D0F0F" w:rsidRPr="008C4B2F" w:rsidRDefault="008D0F0F" w:rsidP="00B7717E">
            <w:pPr>
              <w:spacing w:before="30" w:after="30"/>
            </w:pPr>
            <w:r w:rsidRPr="008C4B2F">
              <w:t xml:space="preserve">Emissions from </w:t>
            </w:r>
            <w:r w:rsidR="00074AE7" w:rsidRPr="008C4B2F">
              <w:t>petrol and E10 use</w:t>
            </w:r>
          </w:p>
        </w:tc>
        <w:tc>
          <w:tcPr>
            <w:tcW w:w="1602" w:type="dxa"/>
            <w:vAlign w:val="center"/>
            <w:hideMark/>
          </w:tcPr>
          <w:p w14:paraId="6BEC5C5F" w14:textId="77777777" w:rsidR="008D0F0F" w:rsidRPr="008C4B2F" w:rsidRDefault="008D0F0F" w:rsidP="00B7717E">
            <w:pPr>
              <w:spacing w:before="30" w:after="30"/>
              <w:cnfStyle w:val="000000000000" w:firstRow="0" w:lastRow="0" w:firstColumn="0" w:lastColumn="0" w:oddVBand="0" w:evenVBand="0" w:oddHBand="0" w:evenHBand="0" w:firstRowFirstColumn="0" w:firstRowLastColumn="0" w:lastRowFirstColumn="0" w:lastRowLastColumn="0"/>
            </w:pPr>
            <w:proofErr w:type="spellStart"/>
            <w:r w:rsidRPr="008C4B2F">
              <w:t>Tonnes</w:t>
            </w:r>
            <w:proofErr w:type="spellEnd"/>
            <w:r w:rsidRPr="008C4B2F">
              <w:t xml:space="preserve"> Co2-e</w:t>
            </w:r>
          </w:p>
        </w:tc>
        <w:tc>
          <w:tcPr>
            <w:tcW w:w="1603" w:type="dxa"/>
            <w:vAlign w:val="center"/>
            <w:hideMark/>
          </w:tcPr>
          <w:p w14:paraId="65A09A2D" w14:textId="24BCFF5B" w:rsidR="008D0F0F" w:rsidRPr="008C4B2F" w:rsidRDefault="008C4B2F" w:rsidP="00B7717E">
            <w:pPr>
              <w:spacing w:before="30" w:after="30"/>
              <w:cnfStyle w:val="000000000000" w:firstRow="0" w:lastRow="0" w:firstColumn="0" w:lastColumn="0" w:oddVBand="0" w:evenVBand="0" w:oddHBand="0" w:evenHBand="0" w:firstRowFirstColumn="0" w:firstRowLastColumn="0" w:lastRowFirstColumn="0" w:lastRowLastColumn="0"/>
            </w:pPr>
            <w:r w:rsidRPr="008C4B2F">
              <w:t xml:space="preserve"> -</w:t>
            </w:r>
          </w:p>
        </w:tc>
        <w:tc>
          <w:tcPr>
            <w:tcW w:w="1602" w:type="dxa"/>
            <w:vAlign w:val="center"/>
            <w:hideMark/>
          </w:tcPr>
          <w:p w14:paraId="5D479F51" w14:textId="4FB9945C" w:rsidR="008D0F0F" w:rsidRPr="008C4B2F" w:rsidRDefault="008D0F0F"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t>0.</w:t>
            </w:r>
            <w:r w:rsidR="00CD019D">
              <w:t>5</w:t>
            </w:r>
            <w:r w:rsidR="008C4B2F">
              <w:t>4</w:t>
            </w:r>
          </w:p>
        </w:tc>
        <w:tc>
          <w:tcPr>
            <w:tcW w:w="1603" w:type="dxa"/>
            <w:vAlign w:val="center"/>
            <w:hideMark/>
          </w:tcPr>
          <w:p w14:paraId="1FB7C0A4" w14:textId="18898082" w:rsidR="008D0F0F" w:rsidRPr="008C4B2F" w:rsidRDefault="008C3135" w:rsidP="00B7717E">
            <w:pPr>
              <w:spacing w:before="30" w:after="30"/>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w:t>
            </w:r>
            <w:r w:rsidR="008C4B2F">
              <w:rPr>
                <w:rFonts w:eastAsia="Times New Roman"/>
              </w:rPr>
              <w:t>100%</w:t>
            </w:r>
          </w:p>
        </w:tc>
      </w:tr>
      <w:tr w:rsidR="00074AE7" w:rsidRPr="009A6C26" w14:paraId="18F20F51" w14:textId="77777777" w:rsidTr="009D77FE">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tcPr>
          <w:p w14:paraId="60D7DBA4" w14:textId="57C3D213" w:rsidR="00074AE7" w:rsidRPr="008C4B2F" w:rsidRDefault="00074AE7" w:rsidP="00B7717E">
            <w:pPr>
              <w:spacing w:before="30" w:after="30"/>
            </w:pPr>
            <w:r w:rsidRPr="008C4B2F">
              <w:t>Emissions from Compressed Natural Gas (transpor</w:t>
            </w:r>
            <w:r w:rsidR="002D3784" w:rsidRPr="008C4B2F">
              <w:t>t) where applicable</w:t>
            </w:r>
          </w:p>
        </w:tc>
        <w:tc>
          <w:tcPr>
            <w:tcW w:w="1602" w:type="dxa"/>
            <w:vAlign w:val="center"/>
          </w:tcPr>
          <w:p w14:paraId="54121E95" w14:textId="01DB3988" w:rsidR="00074AE7" w:rsidRPr="008C4B2F" w:rsidRDefault="002D3784" w:rsidP="00B7717E">
            <w:pPr>
              <w:spacing w:before="30" w:after="30"/>
              <w:cnfStyle w:val="000000010000" w:firstRow="0" w:lastRow="0" w:firstColumn="0" w:lastColumn="0" w:oddVBand="0" w:evenVBand="0" w:oddHBand="0" w:evenHBand="1" w:firstRowFirstColumn="0" w:firstRowLastColumn="0" w:lastRowFirstColumn="0" w:lastRowLastColumn="0"/>
            </w:pPr>
            <w:proofErr w:type="spellStart"/>
            <w:r w:rsidRPr="008C4B2F">
              <w:t>Tonnes</w:t>
            </w:r>
            <w:proofErr w:type="spellEnd"/>
            <w:r w:rsidRPr="008C4B2F">
              <w:t xml:space="preserve"> Co2-e</w:t>
            </w:r>
          </w:p>
        </w:tc>
        <w:tc>
          <w:tcPr>
            <w:tcW w:w="1603" w:type="dxa"/>
            <w:vAlign w:val="center"/>
          </w:tcPr>
          <w:p w14:paraId="562C2B92" w14:textId="77777777" w:rsidR="00074AE7" w:rsidRPr="008C4B2F" w:rsidRDefault="00074AE7" w:rsidP="00B7717E">
            <w:pPr>
              <w:pStyle w:val="ListParagraph"/>
              <w:numPr>
                <w:ilvl w:val="0"/>
                <w:numId w:val="17"/>
              </w:numPr>
              <w:spacing w:before="30" w:after="30"/>
              <w:cnfStyle w:val="000000010000" w:firstRow="0" w:lastRow="0" w:firstColumn="0" w:lastColumn="0" w:oddVBand="0" w:evenVBand="0" w:oddHBand="0" w:evenHBand="1" w:firstRowFirstColumn="0" w:firstRowLastColumn="0" w:lastRowFirstColumn="0" w:lastRowLastColumn="0"/>
            </w:pPr>
          </w:p>
        </w:tc>
        <w:tc>
          <w:tcPr>
            <w:tcW w:w="1602" w:type="dxa"/>
            <w:vAlign w:val="center"/>
          </w:tcPr>
          <w:p w14:paraId="77905A06" w14:textId="77777777" w:rsidR="00074AE7" w:rsidRPr="008C4B2F" w:rsidRDefault="00074AE7" w:rsidP="00B7717E">
            <w:pPr>
              <w:pStyle w:val="ListParagraph"/>
              <w:numPr>
                <w:ilvl w:val="0"/>
                <w:numId w:val="17"/>
              </w:numPr>
              <w:spacing w:before="30" w:after="30"/>
              <w:cnfStyle w:val="000000010000" w:firstRow="0" w:lastRow="0" w:firstColumn="0" w:lastColumn="0" w:oddVBand="0" w:evenVBand="0" w:oddHBand="0" w:evenHBand="1" w:firstRowFirstColumn="0" w:firstRowLastColumn="0" w:lastRowFirstColumn="0" w:lastRowLastColumn="0"/>
            </w:pPr>
          </w:p>
        </w:tc>
        <w:tc>
          <w:tcPr>
            <w:tcW w:w="1603" w:type="dxa"/>
            <w:vAlign w:val="center"/>
          </w:tcPr>
          <w:p w14:paraId="77DA9E26" w14:textId="5A0FE93C" w:rsidR="00074AE7" w:rsidRPr="008C4B2F" w:rsidRDefault="00B40361" w:rsidP="00B7717E">
            <w:pPr>
              <w:spacing w:before="30" w:after="30"/>
              <w:cnfStyle w:val="000000010000" w:firstRow="0" w:lastRow="0" w:firstColumn="0" w:lastColumn="0" w:oddVBand="0" w:evenVBand="0" w:oddHBand="0" w:evenHBand="1" w:firstRowFirstColumn="0" w:firstRowLastColumn="0" w:lastRowFirstColumn="0" w:lastRowLastColumn="0"/>
            </w:pPr>
            <w:r w:rsidRPr="008C4B2F">
              <w:t>-</w:t>
            </w:r>
          </w:p>
        </w:tc>
      </w:tr>
      <w:tr w:rsidR="00074AE7" w:rsidRPr="009A6C26" w14:paraId="03E187FC" w14:textId="77777777" w:rsidTr="009D77FE">
        <w:trPr>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tcPr>
          <w:p w14:paraId="6A70ADD2" w14:textId="178331EE" w:rsidR="00074AE7" w:rsidRPr="008C4B2F" w:rsidRDefault="00B40361" w:rsidP="00B7717E">
            <w:pPr>
              <w:spacing w:before="30" w:after="30"/>
            </w:pPr>
            <w:r w:rsidRPr="008C4B2F">
              <w:t>Emissions from refrigerants</w:t>
            </w:r>
          </w:p>
        </w:tc>
        <w:tc>
          <w:tcPr>
            <w:tcW w:w="1602" w:type="dxa"/>
            <w:vAlign w:val="center"/>
          </w:tcPr>
          <w:p w14:paraId="7FC93D1B" w14:textId="719F4E05" w:rsidR="00074AE7" w:rsidRPr="008C4B2F" w:rsidRDefault="00B40361" w:rsidP="00B7717E">
            <w:pPr>
              <w:spacing w:before="30" w:after="30"/>
              <w:cnfStyle w:val="000000000000" w:firstRow="0" w:lastRow="0" w:firstColumn="0" w:lastColumn="0" w:oddVBand="0" w:evenVBand="0" w:oddHBand="0" w:evenHBand="0" w:firstRowFirstColumn="0" w:firstRowLastColumn="0" w:lastRowFirstColumn="0" w:lastRowLastColumn="0"/>
            </w:pPr>
            <w:proofErr w:type="spellStart"/>
            <w:r w:rsidRPr="008C4B2F">
              <w:t>Tonnes</w:t>
            </w:r>
            <w:proofErr w:type="spellEnd"/>
            <w:r w:rsidRPr="008C4B2F">
              <w:t xml:space="preserve"> Co2-e</w:t>
            </w:r>
          </w:p>
        </w:tc>
        <w:tc>
          <w:tcPr>
            <w:tcW w:w="1603" w:type="dxa"/>
            <w:vAlign w:val="center"/>
          </w:tcPr>
          <w:p w14:paraId="663A439F" w14:textId="124DAC2D" w:rsidR="00074AE7" w:rsidRPr="008C4B2F" w:rsidRDefault="00B40361" w:rsidP="00B7717E">
            <w:pPr>
              <w:spacing w:before="30" w:after="30"/>
              <w:cnfStyle w:val="000000000000" w:firstRow="0" w:lastRow="0" w:firstColumn="0" w:lastColumn="0" w:oddVBand="0" w:evenVBand="0" w:oddHBand="0" w:evenHBand="0" w:firstRowFirstColumn="0" w:firstRowLastColumn="0" w:lastRowFirstColumn="0" w:lastRowLastColumn="0"/>
            </w:pPr>
            <w:r w:rsidRPr="008C4B2F">
              <w:t>-</w:t>
            </w:r>
          </w:p>
        </w:tc>
        <w:tc>
          <w:tcPr>
            <w:tcW w:w="1602" w:type="dxa"/>
            <w:vAlign w:val="center"/>
          </w:tcPr>
          <w:p w14:paraId="64410CB1" w14:textId="48D2E2A9" w:rsidR="00074AE7" w:rsidRPr="008C4B2F" w:rsidRDefault="00B40361" w:rsidP="00B7717E">
            <w:pPr>
              <w:spacing w:before="30" w:after="30"/>
              <w:cnfStyle w:val="000000000000" w:firstRow="0" w:lastRow="0" w:firstColumn="0" w:lastColumn="0" w:oddVBand="0" w:evenVBand="0" w:oddHBand="0" w:evenHBand="0" w:firstRowFirstColumn="0" w:firstRowLastColumn="0" w:lastRowFirstColumn="0" w:lastRowLastColumn="0"/>
            </w:pPr>
            <w:r w:rsidRPr="008C4B2F">
              <w:t>-</w:t>
            </w:r>
          </w:p>
        </w:tc>
        <w:tc>
          <w:tcPr>
            <w:tcW w:w="1603" w:type="dxa"/>
            <w:vAlign w:val="center"/>
          </w:tcPr>
          <w:p w14:paraId="2E90CBA7" w14:textId="5D4E3C98" w:rsidR="00074AE7" w:rsidRPr="008C4B2F" w:rsidRDefault="00B40361" w:rsidP="00B7717E">
            <w:pPr>
              <w:spacing w:before="30" w:after="30"/>
              <w:cnfStyle w:val="000000000000" w:firstRow="0" w:lastRow="0" w:firstColumn="0" w:lastColumn="0" w:oddVBand="0" w:evenVBand="0" w:oddHBand="0" w:evenHBand="0" w:firstRowFirstColumn="0" w:firstRowLastColumn="0" w:lastRowFirstColumn="0" w:lastRowLastColumn="0"/>
            </w:pPr>
            <w:r w:rsidRPr="008C4B2F">
              <w:t>-</w:t>
            </w:r>
          </w:p>
        </w:tc>
      </w:tr>
      <w:tr w:rsidR="008D0F0F" w:rsidRPr="005322B5" w14:paraId="25A64F9A" w14:textId="77777777" w:rsidTr="009D77FE">
        <w:trPr>
          <w:cnfStyle w:val="000000010000" w:firstRow="0" w:lastRow="0" w:firstColumn="0" w:lastColumn="0" w:oddVBand="0" w:evenVBand="0" w:oddHBand="0" w:evenHBand="1"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14:paraId="5428C7B8" w14:textId="77777777" w:rsidR="008D0F0F" w:rsidRPr="008C4B2F" w:rsidRDefault="008D0F0F" w:rsidP="00B7717E">
            <w:pPr>
              <w:spacing w:before="30" w:after="30"/>
            </w:pPr>
            <w:r w:rsidRPr="008C4B2F">
              <w:t>Total emissions</w:t>
            </w:r>
          </w:p>
        </w:tc>
        <w:tc>
          <w:tcPr>
            <w:tcW w:w="1602" w:type="dxa"/>
            <w:vAlign w:val="center"/>
            <w:hideMark/>
          </w:tcPr>
          <w:p w14:paraId="3B82ADF1" w14:textId="77777777" w:rsidR="008D0F0F" w:rsidRPr="008C4B2F" w:rsidRDefault="008D0F0F" w:rsidP="00B7717E">
            <w:pPr>
              <w:spacing w:before="30" w:after="30"/>
              <w:cnfStyle w:val="000000010000" w:firstRow="0" w:lastRow="0" w:firstColumn="0" w:lastColumn="0" w:oddVBand="0" w:evenVBand="0" w:oddHBand="0" w:evenHBand="1" w:firstRowFirstColumn="0" w:firstRowLastColumn="0" w:lastRowFirstColumn="0" w:lastRowLastColumn="0"/>
            </w:pPr>
            <w:proofErr w:type="spellStart"/>
            <w:r w:rsidRPr="008C4B2F">
              <w:t>Tonnes</w:t>
            </w:r>
            <w:proofErr w:type="spellEnd"/>
            <w:r w:rsidRPr="008C4B2F">
              <w:t xml:space="preserve"> Co2-e</w:t>
            </w:r>
          </w:p>
        </w:tc>
        <w:tc>
          <w:tcPr>
            <w:tcW w:w="1603" w:type="dxa"/>
            <w:vAlign w:val="center"/>
            <w:hideMark/>
          </w:tcPr>
          <w:p w14:paraId="1F57D710" w14:textId="64D8B8BA" w:rsidR="008D0F0F" w:rsidRPr="008C4B2F" w:rsidRDefault="008C4B2F" w:rsidP="00B7717E">
            <w:pPr>
              <w:spacing w:before="30" w:after="30"/>
              <w:cnfStyle w:val="000000010000" w:firstRow="0" w:lastRow="0" w:firstColumn="0" w:lastColumn="0" w:oddVBand="0" w:evenVBand="0" w:oddHBand="0" w:evenHBand="1" w:firstRowFirstColumn="0" w:firstRowLastColumn="0" w:lastRowFirstColumn="0" w:lastRowLastColumn="0"/>
            </w:pPr>
            <w:r w:rsidRPr="008C4B2F">
              <w:t>-</w:t>
            </w:r>
          </w:p>
        </w:tc>
        <w:tc>
          <w:tcPr>
            <w:tcW w:w="1602" w:type="dxa"/>
            <w:vAlign w:val="center"/>
            <w:hideMark/>
          </w:tcPr>
          <w:p w14:paraId="07E2327E" w14:textId="7E79C82F" w:rsidR="008D0F0F" w:rsidRPr="008C4B2F" w:rsidRDefault="008D0F0F"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8C4B2F">
              <w:t>0.</w:t>
            </w:r>
            <w:r w:rsidR="008C4B2F" w:rsidRPr="008C4B2F">
              <w:t>5</w:t>
            </w:r>
            <w:r w:rsidR="008C4B2F">
              <w:t>4</w:t>
            </w:r>
          </w:p>
        </w:tc>
        <w:tc>
          <w:tcPr>
            <w:tcW w:w="1603" w:type="dxa"/>
            <w:vAlign w:val="center"/>
            <w:hideMark/>
          </w:tcPr>
          <w:p w14:paraId="0BB7CFA9" w14:textId="7892C786" w:rsidR="008D0F0F" w:rsidRPr="008C4B2F" w:rsidRDefault="008C3135" w:rsidP="00B7717E">
            <w:pPr>
              <w:spacing w:before="30" w:after="30"/>
              <w:cnfStyle w:val="000000010000" w:firstRow="0" w:lastRow="0" w:firstColumn="0" w:lastColumn="0" w:oddVBand="0" w:evenVBand="0" w:oddHBand="0" w:evenHBand="1" w:firstRowFirstColumn="0" w:firstRowLastColumn="0" w:lastRowFirstColumn="0" w:lastRowLastColumn="0"/>
              <w:rPr>
                <w:rFonts w:eastAsia="Times New Roman"/>
              </w:rPr>
            </w:pPr>
            <w:r w:rsidRPr="008C4B2F">
              <w:t>-</w:t>
            </w:r>
            <w:r w:rsidR="008C4B2F" w:rsidRPr="008C4B2F">
              <w:t>100</w:t>
            </w:r>
            <w:r w:rsidR="008D0F0F" w:rsidRPr="008C4B2F">
              <w:t>%</w:t>
            </w:r>
          </w:p>
        </w:tc>
      </w:tr>
    </w:tbl>
    <w:p w14:paraId="38A005C1" w14:textId="77777777" w:rsidR="008D0F0F" w:rsidRPr="00BB2758" w:rsidRDefault="008D0F0F" w:rsidP="006E0242"/>
    <w:p w14:paraId="385EB2A5" w14:textId="6A78AE7B" w:rsidR="00583F3E" w:rsidRPr="00BB2758" w:rsidRDefault="00583F3E" w:rsidP="006E0242"/>
    <w:p w14:paraId="23F83038" w14:textId="77777777" w:rsidR="00583F3E" w:rsidRPr="00BB2758" w:rsidRDefault="00583F3E" w:rsidP="006E0242">
      <w:r w:rsidRPr="00BB2758">
        <w:br w:type="page"/>
      </w:r>
    </w:p>
    <w:p w14:paraId="270B83FB" w14:textId="6312F6E3" w:rsidR="002C7898" w:rsidRPr="00BB2758" w:rsidRDefault="00656B89" w:rsidP="00F45A2F">
      <w:pPr>
        <w:pStyle w:val="Heading1"/>
        <w:rPr>
          <w:highlight w:val="yellow"/>
        </w:rPr>
      </w:pPr>
      <w:bookmarkStart w:id="69" w:name="_Toc240533503"/>
      <w:bookmarkStart w:id="70" w:name="_Toc428798640"/>
      <w:bookmarkStart w:id="71" w:name="_Toc19627252"/>
      <w:bookmarkStart w:id="72" w:name="_Toc171087050"/>
      <w:r>
        <w:rPr>
          <w:noProof/>
        </w:rPr>
        <w:lastRenderedPageBreak/>
        <w:drawing>
          <wp:anchor distT="0" distB="0" distL="114300" distR="114300" simplePos="0" relativeHeight="251658251" behindDoc="0" locked="0" layoutInCell="1" allowOverlap="1" wp14:anchorId="4B509BC3" wp14:editId="407AD1C0">
            <wp:simplePos x="0" y="0"/>
            <wp:positionH relativeFrom="page">
              <wp:align>center</wp:align>
            </wp:positionH>
            <wp:positionV relativeFrom="page">
              <wp:align>center</wp:align>
            </wp:positionV>
            <wp:extent cx="7552800" cy="10684800"/>
            <wp:effectExtent l="0" t="0" r="0" b="2540"/>
            <wp:wrapNone/>
            <wp:docPr id="1545889531" name="Picture 18" descr="Section divider page for Part C: Financial Management Reporting. The page displays the section title prominently and serves as an introductory page to Part C of the Long Service Leave Authority Annual Report 2025-26. The page incorporates ACT Leave and ACT Government branding and follows the report's visual design style. Decorative graphic elements, including the ACT Leave dynamic track swirl design, are included for visual interest. No other substantive content is included on the page apart from the section heading and branding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89531" name="Picture 18" descr="Section divider page for Part C: Financial Management Reporting. The page displays the section title prominently and serves as an introductory page to Part C of the Long Service Leave Authority Annual Report 2025-26. The page incorporates ACT Leave and ACT Government branding and follows the report's visual design style. Decorative graphic elements, including the ACT Leave dynamic track swirl design, are included for visual interest. No other substantive content is included on the page apart from the section heading and branding elements."/>
                    <pic:cNvPicPr/>
                  </pic:nvPicPr>
                  <pic:blipFill>
                    <a:blip r:embed="rId54"/>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r w:rsidR="004D097C" w:rsidRPr="00BB2758">
        <w:t>Part C. Financial Management Reporting</w:t>
      </w:r>
      <w:bookmarkEnd w:id="69"/>
      <w:r w:rsidR="002C7898" w:rsidRPr="00BB2758">
        <w:rPr>
          <w:highlight w:val="yellow"/>
        </w:rPr>
        <w:br w:type="page"/>
      </w:r>
    </w:p>
    <w:p w14:paraId="61C8D8B1" w14:textId="786B6526" w:rsidR="00583F3E" w:rsidRPr="00BB2758" w:rsidRDefault="00813485" w:rsidP="006E0242">
      <w:pPr>
        <w:pStyle w:val="Heading2NoNumber"/>
      </w:pPr>
      <w:bookmarkStart w:id="73" w:name="_Toc240533504"/>
      <w:r w:rsidRPr="0072279D">
        <w:lastRenderedPageBreak/>
        <w:t xml:space="preserve">C1. </w:t>
      </w:r>
      <w:r w:rsidR="00583F3E" w:rsidRPr="0072279D">
        <w:t>Management discussion and analysis</w:t>
      </w:r>
      <w:bookmarkEnd w:id="70"/>
      <w:bookmarkEnd w:id="71"/>
      <w:bookmarkEnd w:id="72"/>
      <w:bookmarkEnd w:id="73"/>
    </w:p>
    <w:p w14:paraId="576B6168" w14:textId="77777777" w:rsidR="00CE0527" w:rsidRPr="00986788" w:rsidRDefault="00CE0527" w:rsidP="006E0242">
      <w:pPr>
        <w:pStyle w:val="Heading2"/>
        <w:sectPr w:rsidR="00CE0527" w:rsidRPr="00986788" w:rsidSect="00CD34BF">
          <w:headerReference w:type="even" r:id="rId55"/>
          <w:headerReference w:type="default" r:id="rId56"/>
          <w:footerReference w:type="even" r:id="rId57"/>
          <w:footerReference w:type="default" r:id="rId58"/>
          <w:headerReference w:type="first" r:id="rId59"/>
          <w:footerReference w:type="first" r:id="rId60"/>
          <w:type w:val="continuous"/>
          <w:pgSz w:w="11910" w:h="16840"/>
          <w:pgMar w:top="1202" w:right="907" w:bottom="1135" w:left="907" w:header="0" w:footer="615" w:gutter="0"/>
          <w:cols w:space="720"/>
          <w:docGrid w:linePitch="299"/>
        </w:sectPr>
      </w:pPr>
      <w:bookmarkStart w:id="74" w:name="_Toc428798641"/>
      <w:bookmarkStart w:id="75" w:name="_Toc19627254"/>
      <w:bookmarkStart w:id="76" w:name="_Toc171087069"/>
    </w:p>
    <w:p w14:paraId="14EF8EC4" w14:textId="77777777" w:rsidR="0085396D" w:rsidRPr="0085396D" w:rsidRDefault="0085396D" w:rsidP="006B70E5">
      <w:pPr>
        <w:pStyle w:val="Heading3"/>
        <w:rPr>
          <w:lang w:val="en-AU"/>
        </w:rPr>
      </w:pPr>
      <w:r w:rsidRPr="0085396D">
        <w:t>Objectives of ACT Leave </w:t>
      </w:r>
      <w:r w:rsidRPr="0085396D">
        <w:rPr>
          <w:lang w:val="en-AU"/>
        </w:rPr>
        <w:t> </w:t>
      </w:r>
    </w:p>
    <w:p w14:paraId="45449FC3" w14:textId="77777777" w:rsidR="0085396D" w:rsidRPr="0085396D" w:rsidRDefault="0085396D" w:rsidP="00051C0E">
      <w:pPr>
        <w:rPr>
          <w:lang w:val="en-AU"/>
        </w:rPr>
      </w:pPr>
      <w:r w:rsidRPr="0085396D">
        <w:rPr>
          <w:lang w:val="en-AU"/>
        </w:rPr>
        <w:t xml:space="preserve">ACT Leave in its current form was established in 2010 under the </w:t>
      </w:r>
      <w:r w:rsidRPr="0085396D">
        <w:rPr>
          <w:i/>
          <w:iCs/>
          <w:lang w:val="en-AU"/>
        </w:rPr>
        <w:t xml:space="preserve">Long Service Leave (Portable Schemes) Act 2009 </w:t>
      </w:r>
      <w:r w:rsidRPr="0085396D">
        <w:rPr>
          <w:lang w:val="en-AU"/>
        </w:rPr>
        <w:t xml:space="preserve">(the Act) to administer portable long service leave benefits for covered industries, including the Building and Construction Industry Scheme, Contract Cleaning Industry Scheme, Community Sector Industry Scheme, and the Security Industry Scheme. On 29 March 2023, the ACT Legislative Assembly passed the </w:t>
      </w:r>
      <w:r w:rsidRPr="0085396D">
        <w:rPr>
          <w:i/>
          <w:iCs/>
          <w:lang w:val="en-AU"/>
        </w:rPr>
        <w:t>Long Service Leave (Portable Schemes) Amendment Act 2023</w:t>
      </w:r>
      <w:r w:rsidRPr="0085396D">
        <w:rPr>
          <w:lang w:val="en-AU"/>
        </w:rPr>
        <w:t>, which expands portable long service leave schemes in the ACT to additional industries. The new Services Industry Scheme, incorporating the existing Contract Cleaning Scheme, commenced on 1 April 2025. The Services Industry Scheme will expand to cover hairdressing and beauty, and accommodation and food services from 1 January 2027.  </w:t>
      </w:r>
    </w:p>
    <w:p w14:paraId="74B1DC45" w14:textId="77777777" w:rsidR="0085396D" w:rsidRPr="0085396D" w:rsidRDefault="0085396D" w:rsidP="00051C0E">
      <w:pPr>
        <w:rPr>
          <w:lang w:val="en-AU"/>
        </w:rPr>
      </w:pPr>
      <w:r w:rsidRPr="0085396D">
        <w:rPr>
          <w:lang w:val="en-AU"/>
        </w:rPr>
        <w:t>ACT Leave’s objectives, in accordance with relevant obligations, are to:  </w:t>
      </w:r>
    </w:p>
    <w:p w14:paraId="665C3A80" w14:textId="77777777" w:rsidR="0085396D" w:rsidRPr="0085396D" w:rsidRDefault="0085396D" w:rsidP="000A630C">
      <w:pPr>
        <w:pStyle w:val="ListBullet"/>
      </w:pPr>
      <w:r w:rsidRPr="0085396D">
        <w:t>make long service leave benefit claim payments to employees and contractors, and reimbursements to employers in accordance with the Act </w:t>
      </w:r>
    </w:p>
    <w:p w14:paraId="7B3D2F04" w14:textId="77777777" w:rsidR="0085396D" w:rsidRPr="0085396D" w:rsidRDefault="0085396D" w:rsidP="000A630C">
      <w:pPr>
        <w:pStyle w:val="ListBullet"/>
      </w:pPr>
      <w:r w:rsidRPr="0085396D">
        <w:t>ensure eligible employers and employees of all administered schemes are registered with ACT Leave  </w:t>
      </w:r>
    </w:p>
    <w:p w14:paraId="7541A995" w14:textId="77777777" w:rsidR="0085396D" w:rsidRPr="0085396D" w:rsidRDefault="0085396D" w:rsidP="000A630C">
      <w:pPr>
        <w:pStyle w:val="ListBullet"/>
      </w:pPr>
      <w:r w:rsidRPr="0085396D">
        <w:t>efficiently and effectively collect contribution levies from registered employers and  </w:t>
      </w:r>
    </w:p>
    <w:p w14:paraId="7313A027" w14:textId="77777777" w:rsidR="0085396D" w:rsidRPr="0085396D" w:rsidRDefault="0085396D" w:rsidP="000A630C">
      <w:pPr>
        <w:pStyle w:val="ListBullet"/>
      </w:pPr>
      <w:r w:rsidRPr="0085396D">
        <w:t>invest funds to maintain the long-term sustainability of all schemes.  </w:t>
      </w:r>
    </w:p>
    <w:p w14:paraId="52F3EF14" w14:textId="77777777" w:rsidR="0085396D" w:rsidRPr="0085396D" w:rsidRDefault="0085396D" w:rsidP="006B70E5">
      <w:pPr>
        <w:pStyle w:val="Heading3"/>
        <w:rPr>
          <w:lang w:val="en-AU"/>
        </w:rPr>
      </w:pPr>
      <w:r w:rsidRPr="0085396D">
        <w:t>Risk management </w:t>
      </w:r>
      <w:r w:rsidRPr="0085396D">
        <w:rPr>
          <w:lang w:val="en-AU"/>
        </w:rPr>
        <w:t> </w:t>
      </w:r>
    </w:p>
    <w:p w14:paraId="7327B64B" w14:textId="77777777" w:rsidR="0085396D" w:rsidRPr="0085396D" w:rsidRDefault="0085396D" w:rsidP="00826AD5">
      <w:pPr>
        <w:rPr>
          <w:lang w:val="en-AU"/>
        </w:rPr>
      </w:pPr>
      <w:r w:rsidRPr="0085396D">
        <w:rPr>
          <w:lang w:val="en-AU"/>
        </w:rPr>
        <w:t>ACT Leave has in place a structured Risk Management Framework that is integrated with the organisation’s Strategic Plan and performance measures. The Risk Management Framework comprises an Enterprise Risk Register, a Risk Appetite Statement developed by the Governing Board, a risk register underpinning the organisation’s business transformation projects, and a specific Work Health and Safety (WHS) Risk Register to document and mitigate WHS risks.   </w:t>
      </w:r>
    </w:p>
    <w:p w14:paraId="558947E4" w14:textId="77777777" w:rsidR="0085396D" w:rsidRPr="0085396D" w:rsidRDefault="0085396D" w:rsidP="00826AD5">
      <w:pPr>
        <w:rPr>
          <w:lang w:val="en-AU"/>
        </w:rPr>
      </w:pPr>
      <w:r w:rsidRPr="0085396D">
        <w:rPr>
          <w:lang w:val="en-AU"/>
        </w:rPr>
        <w:t>ACT Leave’s Risk Management Framework is overseen by the ACT Leave Audit and Risk Committee, with the Enterprise Risk Register, comprising strategic and operational risks, presented for the approval of the Audit and Risk Committee when they meet four times per year. This ensures that there is opportunity to consider and review existing risks and identify emerging business risks. The Audit and Risk Committee presents the Enterprise Risk Register to the Governing Board on an annual basis for the Board’s review and approval.  </w:t>
      </w:r>
    </w:p>
    <w:p w14:paraId="0E97DE5B" w14:textId="77777777" w:rsidR="0085396D" w:rsidRPr="0085396D" w:rsidRDefault="0085396D" w:rsidP="00051C0E">
      <w:pPr>
        <w:rPr>
          <w:lang w:val="en-AU"/>
        </w:rPr>
      </w:pPr>
      <w:r w:rsidRPr="0085396D">
        <w:rPr>
          <w:lang w:val="en-AU"/>
        </w:rPr>
        <w:t>Several key risks have been identified as outlined below, that could, if not appropriately managed and controlled, have an impact on ACT Leave’s future financial position.  </w:t>
      </w:r>
    </w:p>
    <w:p w14:paraId="733A0B71" w14:textId="77777777" w:rsidR="0085396D" w:rsidRPr="0085396D" w:rsidRDefault="0085396D" w:rsidP="006B70E5">
      <w:pPr>
        <w:pStyle w:val="Heading4"/>
      </w:pPr>
      <w:r w:rsidRPr="0085396D">
        <w:t>Investment risk </w:t>
      </w:r>
    </w:p>
    <w:p w14:paraId="14D5EBB5" w14:textId="77777777" w:rsidR="0085396D" w:rsidRPr="0085396D" w:rsidRDefault="0085396D" w:rsidP="000A630C">
      <w:pPr>
        <w:pStyle w:val="ListBullet"/>
      </w:pPr>
      <w:r w:rsidRPr="0085396D">
        <w:t>ACT Leave is required to prudently invest employer contributions to ensure that there are sufficient assets to meet long service leave liabilities. Key risks for ACT Leave are that funds are not invested appropriately or that there are poor or negative returns on investments. ACT Leave ensures that funds are invested in accordance with the Strategic Asset Allocation outlined in the organisation’s Investment Plan, undertaking monthly rebalancing activities, comprehensive checks, and reviewing cash flow requirements regularly in consideration of market conditions. </w:t>
      </w:r>
    </w:p>
    <w:p w14:paraId="6DC049C1" w14:textId="77777777" w:rsidR="0085396D" w:rsidRPr="0085396D" w:rsidRDefault="0085396D" w:rsidP="006B70E5">
      <w:pPr>
        <w:pStyle w:val="Heading4"/>
      </w:pPr>
      <w:r w:rsidRPr="0085396D">
        <w:t>Information technology risk </w:t>
      </w:r>
    </w:p>
    <w:p w14:paraId="04DA6A80" w14:textId="5E33B8E7" w:rsidR="0085396D" w:rsidRPr="0085396D" w:rsidRDefault="0085396D" w:rsidP="000A630C">
      <w:pPr>
        <w:pStyle w:val="ListBullet"/>
      </w:pPr>
      <w:r w:rsidRPr="0085396D">
        <w:t xml:space="preserve">ACT Leave is heavily dependent on its IT systems, and as such the appropriate and reliable functioning of IT systems, effective management of data integrity, and maintaining overall system security are critical to successful business continuity. IT risks are mitigated through regular activities such as penetration testing, system monitoring and daily backups. In addition, ACT Leave has an IT disaster recovery plan which targets a Recovery Time Objective of no more than 24 hours for ACT Leave’s administration </w:t>
      </w:r>
      <w:r w:rsidRPr="0085396D" w:rsidDel="00F43EE2">
        <w:t>system</w:t>
      </w:r>
      <w:r w:rsidR="00F43EE2" w:rsidRPr="0085396D">
        <w:t>,</w:t>
      </w:r>
      <w:r w:rsidRPr="0085396D">
        <w:t xml:space="preserve"> which is tested </w:t>
      </w:r>
      <w:r w:rsidRPr="0085396D">
        <w:lastRenderedPageBreak/>
        <w:t>annually. System control and other IT related audits are regularly undertaken as part of ACT Leave’s internal audit program. </w:t>
      </w:r>
    </w:p>
    <w:p w14:paraId="4A346DDE" w14:textId="77777777" w:rsidR="0085396D" w:rsidRPr="0085396D" w:rsidRDefault="0085396D" w:rsidP="000A630C">
      <w:pPr>
        <w:pStyle w:val="ListBullet"/>
      </w:pPr>
      <w:r w:rsidRPr="0085396D">
        <w:t>ACT Leave deployed a new administration system in 2024 which has enhanced Customer Relationship Management (CRM) capabilities and functionality, provided administration capability for the new Services Industry Scheme as well as strengthened system stability and security. </w:t>
      </w:r>
    </w:p>
    <w:p w14:paraId="5867AE6C" w14:textId="77777777" w:rsidR="0085396D" w:rsidRPr="0085396D" w:rsidRDefault="0085396D" w:rsidP="000A630C">
      <w:pPr>
        <w:pStyle w:val="ListBullet"/>
      </w:pPr>
      <w:r w:rsidRPr="0085396D">
        <w:t>Design, implementation and operating effectiveness of general and key application controls and automated processes of the administration system are reviewed annually by an IT audit specialist engaged by the ACT Audit Office as part of the Financial Statements audit.  </w:t>
      </w:r>
    </w:p>
    <w:p w14:paraId="1C9B37BC" w14:textId="77777777" w:rsidR="0085396D" w:rsidRPr="0085396D" w:rsidRDefault="0085396D" w:rsidP="000A630C">
      <w:pPr>
        <w:pStyle w:val="ListBullet"/>
      </w:pPr>
      <w:r w:rsidRPr="0085396D">
        <w:t>ACT Leave has recently migrated to the ACT Government Network, which is an important risk mitigation for the organisation, and assists in improving the organisation’s protective security maturity. </w:t>
      </w:r>
    </w:p>
    <w:p w14:paraId="09B5DA40" w14:textId="77777777" w:rsidR="0085396D" w:rsidRPr="0085396D" w:rsidRDefault="0085396D" w:rsidP="00826AD5">
      <w:pPr>
        <w:pStyle w:val="Heading4"/>
      </w:pPr>
      <w:r w:rsidRPr="0085396D">
        <w:t>Non-compliance risk </w:t>
      </w:r>
    </w:p>
    <w:p w14:paraId="20829082" w14:textId="77777777" w:rsidR="0085396D" w:rsidRPr="0085396D" w:rsidRDefault="0085396D" w:rsidP="000A630C">
      <w:pPr>
        <w:pStyle w:val="ListBullet"/>
      </w:pPr>
      <w:r w:rsidRPr="0085396D">
        <w:t>An ongoing risk to ACT Leave is that eligible employers do not comply with the requirements to register, declare service for employees, or pay the required contribution levy. ACT Leave mitigates this risk by ensuring that there is a comprehensive Compliance and Education Strategy in place and compliance activities are undertaken in a thorough and systematic way. ACT Leave Compliance Team members monitor the activity of covered industries in the Territory and liaise with workers, employers, and their representative associations to ensure that eligible employers and employees are registered. ACT Leave also works cooperatively with other ACT Government organisations to promote awareness of portable long service leave arrangements and obligations with mutual client groups. </w:t>
      </w:r>
    </w:p>
    <w:p w14:paraId="4BEE9B1A" w14:textId="77777777" w:rsidR="0085396D" w:rsidRPr="0085396D" w:rsidRDefault="0085396D" w:rsidP="00826AD5">
      <w:pPr>
        <w:pStyle w:val="Heading4"/>
      </w:pPr>
      <w:r w:rsidRPr="0085396D">
        <w:t>Change management risk  </w:t>
      </w:r>
    </w:p>
    <w:p w14:paraId="1BC1000D" w14:textId="77777777" w:rsidR="0085396D" w:rsidRPr="0085396D" w:rsidRDefault="0085396D" w:rsidP="000A630C">
      <w:pPr>
        <w:pStyle w:val="ListBullet"/>
      </w:pPr>
      <w:r w:rsidRPr="0085396D">
        <w:t>ACT Leave is implementing major change programs in 2026-27 with the entry of new industries to the Service Industry Scheme and the implementation of recommendations following a comprehensive Workforce Review. The increase in workload increases the risk of operational disruption and reduced productivity. ACT Leave is managing this risk through a structured change management program and is providing additional support to staff throughout the process. </w:t>
      </w:r>
    </w:p>
    <w:p w14:paraId="562BB0C3" w14:textId="77777777" w:rsidR="0085396D" w:rsidRPr="0085396D" w:rsidRDefault="0085396D" w:rsidP="00826AD5">
      <w:pPr>
        <w:pStyle w:val="Heading3"/>
      </w:pPr>
      <w:r w:rsidRPr="0085396D">
        <w:t>Financial performance  </w:t>
      </w:r>
    </w:p>
    <w:p w14:paraId="652911F6" w14:textId="77777777" w:rsidR="0085396D" w:rsidRPr="0085396D" w:rsidRDefault="0085396D" w:rsidP="000A630C">
      <w:pPr>
        <w:pStyle w:val="ListBullet"/>
      </w:pPr>
      <w:r w:rsidRPr="0085396D">
        <w:t>ACT Leave operates four defined benefit schemes. ACT Leave's main asset is investments in pooled vehicles holding listed shares and marketable fixed interest. The main source of income for ACT Leave is levy contributions from employers. However, the main balance sheet liability item ‘Provision for Long Service Leave Benefits’ and the main expense item ‘Long Service Leave Benefit Expenses’ reflect actuarial calculations of the present value of future payments (balance sheet liability) and changes in that present value plus actual long service leave claims paid to eligible employees (operating expense). See Note 15 of the Financial Statements for details. Consequently, cash outlays by ACT Leave can vary significantly from expenses recorded in a particular year. The following financial information is based on the audited financial statements for the 2024-25 and 2025-26 financial years, the original budget contained in the 2025-26 Statement of Intent, and future trends in the 2026-27 Statement of Intent.  </w:t>
      </w:r>
    </w:p>
    <w:p w14:paraId="73A3047F" w14:textId="77777777" w:rsidR="0085396D" w:rsidRPr="0085396D" w:rsidRDefault="0085396D" w:rsidP="00B858D9">
      <w:pPr>
        <w:pStyle w:val="Heading4"/>
        <w:spacing w:after="0"/>
      </w:pPr>
      <w:r w:rsidRPr="0085396D">
        <w:t>Total income  </w:t>
      </w:r>
    </w:p>
    <w:p w14:paraId="4FF07F30" w14:textId="77777777" w:rsidR="0085396D" w:rsidRPr="0085396D" w:rsidRDefault="0085396D" w:rsidP="00B858D9">
      <w:pPr>
        <w:pStyle w:val="Heading6"/>
        <w:spacing w:before="120"/>
        <w:rPr>
          <w:lang w:val="en-AU"/>
        </w:rPr>
      </w:pPr>
      <w:r w:rsidRPr="0085396D">
        <w:rPr>
          <w:lang w:val="en-AU"/>
        </w:rPr>
        <w:t>Components of income  </w:t>
      </w:r>
    </w:p>
    <w:p w14:paraId="584C2270" w14:textId="77777777" w:rsidR="0085396D" w:rsidRPr="0085396D" w:rsidRDefault="0085396D" w:rsidP="0085396D">
      <w:pPr>
        <w:spacing w:before="120" w:after="120" w:line="240" w:lineRule="auto"/>
        <w:rPr>
          <w:lang w:val="en-AU"/>
        </w:rPr>
      </w:pPr>
      <w:r w:rsidRPr="0085396D">
        <w:rPr>
          <w:lang w:val="en-AU"/>
        </w:rPr>
        <w:t>ACT Leave’s consolidated total income in 2025-26 was $76.49 million which included: </w:t>
      </w:r>
    </w:p>
    <w:p w14:paraId="7BD1FFE5" w14:textId="72AA3EC6" w:rsidR="0085396D" w:rsidRPr="0085396D" w:rsidRDefault="0085396D" w:rsidP="000A630C">
      <w:pPr>
        <w:pStyle w:val="ListBullet"/>
      </w:pPr>
      <w:r w:rsidRPr="0085396D">
        <w:t>$51.06 million (66.75%) contributions revenue </w:t>
      </w:r>
    </w:p>
    <w:p w14:paraId="4252F2E5" w14:textId="4657AD72" w:rsidR="0085396D" w:rsidRPr="0085396D" w:rsidRDefault="0085396D" w:rsidP="000A630C">
      <w:pPr>
        <w:pStyle w:val="ListBullet"/>
      </w:pPr>
      <w:r w:rsidRPr="0085396D">
        <w:t>$15.57 million (20.36%) of total investment revenue including investment distributions of $15.09 million and management fee rebates of $0.48 million</w:t>
      </w:r>
    </w:p>
    <w:p w14:paraId="033D1B07" w14:textId="2CA5D0DF" w:rsidR="0085396D" w:rsidRPr="0085396D" w:rsidRDefault="0085396D" w:rsidP="000A630C">
      <w:pPr>
        <w:pStyle w:val="ListBullet"/>
      </w:pPr>
      <w:r w:rsidRPr="0085396D">
        <w:t>$9.06 million (11.84%) gains from remeasurement of assets and </w:t>
      </w:r>
    </w:p>
    <w:p w14:paraId="3E78F23D" w14:textId="77777777" w:rsidR="00B55E29" w:rsidRDefault="0085396D" w:rsidP="000A630C">
      <w:pPr>
        <w:pStyle w:val="ListBullet"/>
      </w:pPr>
      <w:r w:rsidRPr="0085396D">
        <w:lastRenderedPageBreak/>
        <w:t xml:space="preserve">$0.80 million (1.05%) of other income, comprising $0.39 million of interest revenue, $0.33 million of income from penalties, $0.05 million of </w:t>
      </w:r>
      <w:proofErr w:type="spellStart"/>
      <w:r w:rsidRPr="0085396D">
        <w:t>LeaveTrack</w:t>
      </w:r>
      <w:proofErr w:type="spellEnd"/>
      <w:r w:rsidRPr="0085396D">
        <w:t xml:space="preserve"> licence fees, and $0.03 million of resources received free of charge.</w:t>
      </w:r>
    </w:p>
    <w:p w14:paraId="5A429B3B" w14:textId="15036651" w:rsidR="0085396D" w:rsidRDefault="0085396D" w:rsidP="00B55E29">
      <w:pPr>
        <w:pStyle w:val="ListBullet"/>
        <w:numPr>
          <w:ilvl w:val="0"/>
          <w:numId w:val="0"/>
        </w:numPr>
        <w:ind w:left="360"/>
      </w:pPr>
      <w:r w:rsidRPr="0085396D">
        <w:t> </w:t>
      </w:r>
    </w:p>
    <w:p w14:paraId="484A0F69" w14:textId="77777777" w:rsidR="0085396D" w:rsidRPr="0085396D" w:rsidRDefault="0085396D" w:rsidP="0085396D">
      <w:pPr>
        <w:spacing w:before="120" w:after="120" w:line="240" w:lineRule="auto"/>
        <w:rPr>
          <w:lang w:val="en-AU"/>
        </w:rPr>
      </w:pPr>
      <w:r w:rsidRPr="0085396D">
        <w:rPr>
          <w:b/>
          <w:bCs/>
          <w:lang w:val="en-AU"/>
        </w:rPr>
        <w:t>Figure 1.  Sources of income</w:t>
      </w:r>
      <w:r w:rsidRPr="0085396D">
        <w:rPr>
          <w:lang w:val="en-AU"/>
        </w:rPr>
        <w:t> </w:t>
      </w:r>
    </w:p>
    <w:p w14:paraId="535E780B" w14:textId="40272EF4" w:rsidR="0085396D" w:rsidRPr="00676D97" w:rsidRDefault="00520C0B" w:rsidP="00676D97">
      <w:pPr>
        <w:spacing w:before="120" w:after="120" w:line="240" w:lineRule="auto"/>
        <w:rPr>
          <w:rStyle w:val="Heading6Char"/>
          <w:lang w:val="en-AU"/>
        </w:rPr>
      </w:pPr>
      <w:r>
        <w:rPr>
          <w:noProof/>
        </w:rPr>
        <w:drawing>
          <wp:inline distT="0" distB="0" distL="0" distR="0" wp14:anchorId="5DAFBFA3" wp14:editId="526D78C7">
            <wp:extent cx="6896100" cy="3314700"/>
            <wp:effectExtent l="0" t="0" r="0" b="0"/>
            <wp:docPr id="1623415751" name="Chart 1" descr="Pie chart showing the sources of income for ACT Leave in 2025-26. Contributions from employers and contractors make up the largest share at 66.75% of total income. Investment revenue accounts for 20.36%, gains from remeasurement of assets account for 11.84%, and other income accounts for 1.05%. Contributions from employers and contractors represent approximately two-thirds of total income, with investment-related income comprising most of the remaining income.">
              <a:extLst xmlns:a="http://schemas.openxmlformats.org/drawingml/2006/main">
                <a:ext uri="{FF2B5EF4-FFF2-40B4-BE49-F238E27FC236}">
                  <a16:creationId xmlns:a16="http://schemas.microsoft.com/office/drawing/2014/main" id="{00000000-0008-0000-0600-0000021C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sidR="0085396D" w:rsidRPr="00676D97">
        <w:rPr>
          <w:rStyle w:val="Heading6Char"/>
          <w:lang w:val="en-AU"/>
        </w:rPr>
        <w:t>Comparison to budget  </w:t>
      </w:r>
    </w:p>
    <w:p w14:paraId="6A30325C" w14:textId="77777777" w:rsidR="0085396D" w:rsidRPr="0085396D" w:rsidRDefault="0085396D" w:rsidP="00904510">
      <w:pPr>
        <w:rPr>
          <w:lang w:val="en-AU"/>
        </w:rPr>
      </w:pPr>
      <w:r w:rsidRPr="0085396D">
        <w:rPr>
          <w:lang w:val="en-AU"/>
        </w:rPr>
        <w:t>Total income in 2025-26 was $4.16 million (5.75%) higher than the original budget.  </w:t>
      </w:r>
    </w:p>
    <w:p w14:paraId="5608D0A2" w14:textId="77777777" w:rsidR="0085396D" w:rsidRPr="0085396D" w:rsidRDefault="0085396D" w:rsidP="00904510">
      <w:pPr>
        <w:rPr>
          <w:lang w:val="en-AU"/>
        </w:rPr>
      </w:pPr>
      <w:r w:rsidRPr="0085396D">
        <w:rPr>
          <w:lang w:val="en-GB"/>
        </w:rPr>
        <w:t xml:space="preserve">This was mainly due to the investment revenue of $15.57 million compared to the budgeted investment revenue of $8.35 million. </w:t>
      </w:r>
      <w:r w:rsidRPr="0085396D">
        <w:rPr>
          <w:lang w:val="en-AU"/>
        </w:rPr>
        <w:t>Higher investment revenue was predominantly caused by higher-than-expected quarterly investment distributions from ACT Leave’s underlying investment holdings of international fixed interest securities. Strengthening of Australian dollar against major currencies led to hedging gains, which</w:t>
      </w:r>
      <w:r w:rsidRPr="0085396D">
        <w:rPr>
          <w:vertAlign w:val="superscript"/>
          <w:lang w:val="en-AU"/>
        </w:rPr>
        <w:t xml:space="preserve"> </w:t>
      </w:r>
      <w:r w:rsidRPr="0085396D">
        <w:rPr>
          <w:lang w:val="en-AU"/>
        </w:rPr>
        <w:t>supported higher distributions. </w:t>
      </w:r>
    </w:p>
    <w:p w14:paraId="2B38AF32" w14:textId="77777777" w:rsidR="0085396D" w:rsidRPr="0085396D" w:rsidRDefault="0085396D" w:rsidP="00904510">
      <w:pPr>
        <w:rPr>
          <w:lang w:val="en-AU"/>
        </w:rPr>
      </w:pPr>
      <w:r w:rsidRPr="0085396D">
        <w:rPr>
          <w:lang w:val="en-AU"/>
        </w:rPr>
        <w:t>This was partially offset by $5.36 million lower than budgeted gains from remeasurement of assets caused by market volatility between November 2025 and March 2026. </w:t>
      </w:r>
    </w:p>
    <w:p w14:paraId="38A5CA8F" w14:textId="77777777" w:rsidR="0085396D" w:rsidRPr="0085396D" w:rsidRDefault="0085396D" w:rsidP="00B858D9">
      <w:pPr>
        <w:pStyle w:val="Heading6"/>
        <w:rPr>
          <w:lang w:val="en-AU"/>
        </w:rPr>
      </w:pPr>
      <w:r w:rsidRPr="0085396D">
        <w:rPr>
          <w:lang w:val="en-AU"/>
        </w:rPr>
        <w:t>Comparison to 2024-25 actual income  </w:t>
      </w:r>
    </w:p>
    <w:p w14:paraId="4B58AF08" w14:textId="77777777" w:rsidR="0085396D" w:rsidRPr="0085396D" w:rsidRDefault="0085396D" w:rsidP="00904510">
      <w:pPr>
        <w:rPr>
          <w:lang w:val="en-AU"/>
        </w:rPr>
      </w:pPr>
      <w:r w:rsidRPr="0085396D">
        <w:rPr>
          <w:lang w:val="en-GB"/>
        </w:rPr>
        <w:t>Total income in 2025-26 decreased by $10.70 million (12.27%) from the 2024-25 actual. </w:t>
      </w:r>
      <w:r w:rsidRPr="0085396D">
        <w:rPr>
          <w:lang w:val="en-AU"/>
        </w:rPr>
        <w:t>  </w:t>
      </w:r>
    </w:p>
    <w:p w14:paraId="243FB301" w14:textId="77777777" w:rsidR="0085396D" w:rsidRPr="0085396D" w:rsidRDefault="0085396D" w:rsidP="00904510">
      <w:pPr>
        <w:rPr>
          <w:lang w:val="en-AU"/>
        </w:rPr>
      </w:pPr>
      <w:r w:rsidRPr="0085396D">
        <w:rPr>
          <w:lang w:val="en-GB"/>
        </w:rPr>
        <w:t xml:space="preserve">In 2025-26, ACT Leave achieved an average investment return of 6.79% per annum compared with 13.74% per annum in 2024-25. </w:t>
      </w:r>
      <w:r w:rsidRPr="0085396D">
        <w:rPr>
          <w:lang w:val="en-AU"/>
        </w:rPr>
        <w:t>This was caused by the lower-than-expected return on investments due to market volatility between November 2025 and March 2026.</w:t>
      </w:r>
      <w:r w:rsidRPr="0085396D">
        <w:rPr>
          <w:lang w:val="en-GB"/>
        </w:rPr>
        <w:t>This contributed to lower gains from remeasurement of assets by $20.94 million (69.80%).</w:t>
      </w:r>
      <w:r w:rsidRPr="0085396D">
        <w:rPr>
          <w:lang w:val="en-AU"/>
        </w:rPr>
        <w:t>  </w:t>
      </w:r>
    </w:p>
    <w:p w14:paraId="3AC2F2D3" w14:textId="77777777" w:rsidR="0085396D" w:rsidRPr="0085396D" w:rsidRDefault="0085396D" w:rsidP="00904510">
      <w:pPr>
        <w:rPr>
          <w:lang w:val="en-AU"/>
        </w:rPr>
      </w:pPr>
      <w:r w:rsidRPr="0085396D">
        <w:rPr>
          <w:lang w:val="en-GB"/>
        </w:rPr>
        <w:t>This was partially offset by the increase in investment revenue by $5.94 million (61.62%) due to higher quarterly investment distributions; and the increase in contributions from employers and contractors by $4.10 million (8.72%) due to a higher number of active workers with</w:t>
      </w:r>
      <w:r w:rsidRPr="0085396D">
        <w:rPr>
          <w:lang w:val="en-AU"/>
        </w:rPr>
        <w:t xml:space="preserve"> </w:t>
      </w:r>
      <w:r w:rsidRPr="0085396D">
        <w:rPr>
          <w:lang w:val="en-GB"/>
        </w:rPr>
        <w:t>service recorded in 2025-26 and baseline wage inflation.</w:t>
      </w:r>
      <w:r w:rsidRPr="0085396D">
        <w:rPr>
          <w:lang w:val="en-AU"/>
        </w:rPr>
        <w:t> </w:t>
      </w:r>
    </w:p>
    <w:p w14:paraId="52FAEFB8" w14:textId="77777777" w:rsidR="003674C2" w:rsidRDefault="003674C2">
      <w:pPr>
        <w:spacing w:before="120" w:after="120" w:line="240" w:lineRule="auto"/>
        <w:rPr>
          <w:rFonts w:eastAsiaTheme="majorEastAsia" w:cstheme="majorBidi"/>
          <w:i/>
          <w:sz w:val="22"/>
          <w:szCs w:val="18"/>
          <w:lang w:val="en-AU"/>
        </w:rPr>
      </w:pPr>
      <w:r>
        <w:rPr>
          <w:lang w:val="en-AU"/>
        </w:rPr>
        <w:br w:type="page"/>
      </w:r>
    </w:p>
    <w:p w14:paraId="63EA4ABD" w14:textId="7C6893CC" w:rsidR="0085396D" w:rsidRPr="0085396D" w:rsidRDefault="0085396D" w:rsidP="00B858D9">
      <w:pPr>
        <w:pStyle w:val="Heading6"/>
        <w:rPr>
          <w:lang w:val="en-AU"/>
        </w:rPr>
      </w:pPr>
      <w:r w:rsidRPr="0085396D">
        <w:rPr>
          <w:lang w:val="en-AU"/>
        </w:rPr>
        <w:lastRenderedPageBreak/>
        <w:t xml:space="preserve">Future </w:t>
      </w:r>
      <w:r w:rsidRPr="0085396D">
        <w:t>trends</w:t>
      </w:r>
      <w:r w:rsidRPr="0085396D">
        <w:rPr>
          <w:lang w:val="en-AU"/>
        </w:rPr>
        <w:t>  </w:t>
      </w:r>
    </w:p>
    <w:p w14:paraId="2E421671" w14:textId="77777777" w:rsidR="0085396D" w:rsidRPr="0085396D" w:rsidRDefault="0085396D" w:rsidP="00B858D9">
      <w:pPr>
        <w:rPr>
          <w:lang w:val="en-AU"/>
        </w:rPr>
      </w:pPr>
      <w:r w:rsidRPr="0085396D">
        <w:rPr>
          <w:lang w:val="en-AU"/>
        </w:rPr>
        <w:t>Total Income for 2026-27 is budgeted to increase by $5.84 million (7.64%) mainly due to higher expected contributions from employers and contractors by $7.18 million (14.07%) as a result of the entry of the new industries into the Services Industry Scheme. However, it is important to note that the 2026-27 Statement of Intent was prepared under the assumption that the hairdressing and beauty and food and accommodation industries would enter the Services Industry Scheme on 1 July 2026 and full contributions would be payable by the employers in these industries from this date. The Government made an announcement on 3 May 2026 to defer the commencement of the new industries into the Services Industry Scheme from 1 July 2026 to 1 January 2027. Due to the timing of the announcement the Statement of Intent could not be updated to reflect the delayed entry, as the impacted line items rely on actuarial projections which require a longer lead time to be updated. While the exact impacts cannot be determined, it is anticipated that actual consolidated revenue from contributions received in 2026-27 will be approximately 10% lower than the budget. </w:t>
      </w:r>
    </w:p>
    <w:p w14:paraId="3863C877" w14:textId="77777777" w:rsidR="0085396D" w:rsidRPr="0085396D" w:rsidRDefault="0085396D" w:rsidP="00B858D9">
      <w:pPr>
        <w:pStyle w:val="Heading4"/>
      </w:pPr>
      <w:r w:rsidRPr="0085396D">
        <w:t>Total expenses   </w:t>
      </w:r>
    </w:p>
    <w:p w14:paraId="670E47C8" w14:textId="77777777" w:rsidR="0085396D" w:rsidRPr="0085396D" w:rsidRDefault="0085396D" w:rsidP="0085396D">
      <w:pPr>
        <w:spacing w:before="120" w:after="120" w:line="240" w:lineRule="auto"/>
        <w:rPr>
          <w:lang w:val="en-AU"/>
        </w:rPr>
      </w:pPr>
      <w:r w:rsidRPr="0085396D">
        <w:rPr>
          <w:i/>
          <w:iCs/>
        </w:rPr>
        <w:t>Components of expenses</w:t>
      </w:r>
      <w:r w:rsidRPr="0085396D">
        <w:rPr>
          <w:i/>
          <w:iCs/>
          <w:lang w:val="en-AU"/>
        </w:rPr>
        <w:t> </w:t>
      </w:r>
      <w:r w:rsidRPr="0085396D">
        <w:rPr>
          <w:lang w:val="en-AU"/>
        </w:rPr>
        <w:t> </w:t>
      </w:r>
    </w:p>
    <w:p w14:paraId="29E4B998" w14:textId="77777777" w:rsidR="0085396D" w:rsidRPr="0085396D" w:rsidRDefault="0085396D" w:rsidP="00B858D9">
      <w:pPr>
        <w:rPr>
          <w:lang w:val="en-AU"/>
        </w:rPr>
      </w:pPr>
      <w:r w:rsidRPr="0085396D">
        <w:rPr>
          <w:lang w:val="en-GB"/>
        </w:rPr>
        <w:t>ACT Leave’s 2025-26 expenses include the long service leave benefit expenses of the four administered schemes combined, and the general administration expenses for ACT Leave’s daily operations.</w:t>
      </w:r>
      <w:r w:rsidRPr="0085396D">
        <w:rPr>
          <w:lang w:val="en-AU"/>
        </w:rPr>
        <w:t> </w:t>
      </w:r>
    </w:p>
    <w:p w14:paraId="46B0D250" w14:textId="77777777" w:rsidR="0085396D" w:rsidRPr="0085396D" w:rsidRDefault="0085396D" w:rsidP="00B858D9">
      <w:pPr>
        <w:rPr>
          <w:lang w:val="en-AU"/>
        </w:rPr>
      </w:pPr>
      <w:r w:rsidRPr="0085396D">
        <w:rPr>
          <w:lang w:val="en-GB"/>
        </w:rPr>
        <w:t>Figure 2 shows the components of ACT Leave’s expenses for 2025-26 including:</w:t>
      </w:r>
      <w:r w:rsidRPr="0085396D">
        <w:rPr>
          <w:lang w:val="en-AU"/>
        </w:rPr>
        <w:t> </w:t>
      </w:r>
    </w:p>
    <w:p w14:paraId="08811597" w14:textId="77777777" w:rsidR="0085396D" w:rsidRPr="0085396D" w:rsidRDefault="0085396D" w:rsidP="000A630C">
      <w:pPr>
        <w:pStyle w:val="ListBullet"/>
      </w:pPr>
      <w:r w:rsidRPr="0085396D">
        <w:t>$38.77 million (54.58%) of long service leave benefit expenses </w:t>
      </w:r>
    </w:p>
    <w:p w14:paraId="5B26031E" w14:textId="77777777" w:rsidR="0085396D" w:rsidRPr="0085396D" w:rsidRDefault="0085396D" w:rsidP="000A630C">
      <w:pPr>
        <w:pStyle w:val="ListBullet"/>
      </w:pPr>
      <w:r w:rsidRPr="0085396D">
        <w:t>$24.04 million (33.84%) of finance costs, comprising mostly of the unwinding of the discount rate used for assessing the long service leave benefits provision </w:t>
      </w:r>
    </w:p>
    <w:p w14:paraId="5C5277C1" w14:textId="77777777" w:rsidR="0085396D" w:rsidRPr="0085396D" w:rsidRDefault="0085396D" w:rsidP="000A630C">
      <w:pPr>
        <w:pStyle w:val="ListBullet"/>
      </w:pPr>
      <w:r w:rsidRPr="0085396D">
        <w:t>$5.36 million (7.56%) of employee and superannuation expenses </w:t>
      </w:r>
    </w:p>
    <w:p w14:paraId="62C9097E" w14:textId="77777777" w:rsidR="0085396D" w:rsidRPr="0085396D" w:rsidRDefault="0085396D" w:rsidP="000A630C">
      <w:pPr>
        <w:pStyle w:val="ListBullet"/>
      </w:pPr>
      <w:r w:rsidRPr="0085396D">
        <w:t>$2.15 million (3.02%) of supplies and services costs </w:t>
      </w:r>
    </w:p>
    <w:p w14:paraId="557E1391" w14:textId="77777777" w:rsidR="0085396D" w:rsidRPr="0085396D" w:rsidRDefault="0085396D" w:rsidP="000A630C">
      <w:pPr>
        <w:pStyle w:val="ListBullet"/>
      </w:pPr>
      <w:r w:rsidRPr="0085396D">
        <w:t>$0.46 million (0.64%) of other expenses related to impairment losses and waivers and </w:t>
      </w:r>
    </w:p>
    <w:p w14:paraId="60C197FC" w14:textId="77777777" w:rsidR="0085396D" w:rsidRPr="0085396D" w:rsidRDefault="0085396D" w:rsidP="000A630C">
      <w:pPr>
        <w:pStyle w:val="ListBullet"/>
      </w:pPr>
      <w:r w:rsidRPr="0085396D">
        <w:t>$0.25 million (0.36%) of depreciation and amortisation costs. </w:t>
      </w:r>
    </w:p>
    <w:p w14:paraId="2D9700B8" w14:textId="77777777" w:rsidR="00B55E29" w:rsidRDefault="00B55E29" w:rsidP="0085396D">
      <w:pPr>
        <w:spacing w:before="120" w:after="120" w:line="240" w:lineRule="auto"/>
        <w:rPr>
          <w:b/>
          <w:bCs/>
          <w:lang w:val="en-AU"/>
        </w:rPr>
      </w:pPr>
    </w:p>
    <w:p w14:paraId="4381DD14" w14:textId="686609E8" w:rsidR="0085396D" w:rsidRPr="0085396D" w:rsidRDefault="0085396D" w:rsidP="0085396D">
      <w:pPr>
        <w:spacing w:before="120" w:after="120" w:line="240" w:lineRule="auto"/>
        <w:rPr>
          <w:lang w:val="en-AU"/>
        </w:rPr>
      </w:pPr>
      <w:r w:rsidRPr="0085396D">
        <w:rPr>
          <w:b/>
          <w:bCs/>
          <w:lang w:val="en-AU"/>
        </w:rPr>
        <w:t>Figure 2.  Components of expenses</w:t>
      </w:r>
      <w:r w:rsidRPr="0085396D">
        <w:rPr>
          <w:lang w:val="en-AU"/>
        </w:rPr>
        <w:t>  </w:t>
      </w:r>
    </w:p>
    <w:p w14:paraId="680B26C0" w14:textId="02E9758A" w:rsidR="0085396D" w:rsidRPr="0085396D" w:rsidRDefault="004E68DF" w:rsidP="00D42ADE">
      <w:pPr>
        <w:spacing w:after="0" w:line="240" w:lineRule="auto"/>
        <w:rPr>
          <w:lang w:val="en-AU"/>
        </w:rPr>
      </w:pPr>
      <w:r>
        <w:rPr>
          <w:noProof/>
        </w:rPr>
        <w:drawing>
          <wp:inline distT="0" distB="0" distL="0" distR="0" wp14:anchorId="514ED472" wp14:editId="1A8AA59F">
            <wp:extent cx="6724650" cy="3343275"/>
            <wp:effectExtent l="0" t="0" r="0" b="0"/>
            <wp:docPr id="255410485" name="Chart 1" descr="Pie chart showing the components of ACT Leave’s expenses for 2025-26. Long service leave benefit expenses are the largest component, accounting for 54.58% of total expenses. Finance costs make up 33.84%, employee and superannuation expenses 7.56%, supplies and services 3.02%, other expenses 0.64%, and depreciation and amortisation 0.36%. Long service leave benefit expenses and finance costs together represent more than 88% of total expenditure.">
              <a:extLst xmlns:a="http://schemas.openxmlformats.org/drawingml/2006/main">
                <a:ext uri="{FF2B5EF4-FFF2-40B4-BE49-F238E27FC236}">
                  <a16:creationId xmlns:a16="http://schemas.microsoft.com/office/drawing/2014/main" id="{00000000-0008-0000-0800-0000012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0EDA6F77" w14:textId="02BE6955" w:rsidR="0085396D" w:rsidRPr="0085396D" w:rsidRDefault="0085396D" w:rsidP="001257A1">
      <w:pPr>
        <w:pStyle w:val="Heading6"/>
        <w:spacing w:before="120"/>
        <w:rPr>
          <w:lang w:val="en-AU"/>
        </w:rPr>
      </w:pPr>
      <w:r w:rsidRPr="0085396D">
        <w:lastRenderedPageBreak/>
        <w:t>Comparison to budget</w:t>
      </w:r>
    </w:p>
    <w:p w14:paraId="6CF2E84B" w14:textId="77777777" w:rsidR="0085396D" w:rsidRPr="0085396D" w:rsidRDefault="0085396D" w:rsidP="007E41F3">
      <w:pPr>
        <w:rPr>
          <w:lang w:val="en-AU"/>
        </w:rPr>
      </w:pPr>
      <w:r w:rsidRPr="0085396D">
        <w:t>Total expenses in 2025-26 were $8.21 million (10.37%) lower than budget primarily due to lower long service leave benefit expenses by $15.43 million (28.47%) as a result of the actuarial valuation of the present value of the long-term long service leave liability for the four administered schemes.</w:t>
      </w:r>
      <w:r w:rsidRPr="0085396D">
        <w:rPr>
          <w:lang w:val="en-AU"/>
        </w:rPr>
        <w:t> </w:t>
      </w:r>
    </w:p>
    <w:p w14:paraId="3DC66AB3" w14:textId="77777777" w:rsidR="0085396D" w:rsidRPr="0085396D" w:rsidRDefault="0085396D" w:rsidP="007E41F3">
      <w:pPr>
        <w:spacing w:after="240"/>
        <w:rPr>
          <w:lang w:val="en-AU"/>
        </w:rPr>
      </w:pPr>
      <w:r w:rsidRPr="0085396D">
        <w:t xml:space="preserve">This was partially offset by $7.02 million (41.24%) higher finance costs primarily related to </w:t>
      </w:r>
      <w:r w:rsidRPr="0085396D">
        <w:rPr>
          <w:lang w:val="en-GB"/>
        </w:rPr>
        <w:t xml:space="preserve">the unwinding of the discount rate used for assessing the long service leave benefits provision. </w:t>
      </w:r>
      <w:r w:rsidRPr="0085396D">
        <w:t>The discount rate was reduced from 6.0% to 5.6% in the 2025-26 financial year following the review of the expected long-term return on investments, which contributed to higher than budgeted finance costs.</w:t>
      </w:r>
      <w:r w:rsidRPr="0085396D">
        <w:rPr>
          <w:lang w:val="en-AU"/>
        </w:rPr>
        <w:t> </w:t>
      </w:r>
    </w:p>
    <w:p w14:paraId="7FF82CC4" w14:textId="77777777" w:rsidR="0085396D" w:rsidRPr="0085396D" w:rsidRDefault="0085396D" w:rsidP="0085396D">
      <w:pPr>
        <w:spacing w:before="120" w:after="120" w:line="240" w:lineRule="auto"/>
        <w:rPr>
          <w:lang w:val="en-AU"/>
        </w:rPr>
      </w:pPr>
      <w:r w:rsidRPr="007E41F3">
        <w:rPr>
          <w:rStyle w:val="Heading6Char"/>
        </w:rPr>
        <w:t>Comparison to 2024-25 actual expenses </w:t>
      </w:r>
      <w:r w:rsidRPr="0085396D">
        <w:rPr>
          <w:i/>
          <w:iCs/>
          <w:lang w:val="en-AU"/>
        </w:rPr>
        <w:t> </w:t>
      </w:r>
      <w:r w:rsidRPr="0085396D">
        <w:rPr>
          <w:lang w:val="en-AU"/>
        </w:rPr>
        <w:t> </w:t>
      </w:r>
    </w:p>
    <w:p w14:paraId="6EDA4FF0" w14:textId="77777777" w:rsidR="0085396D" w:rsidRPr="0085396D" w:rsidRDefault="0085396D" w:rsidP="007E41F3">
      <w:pPr>
        <w:rPr>
          <w:lang w:val="en-AU"/>
        </w:rPr>
      </w:pPr>
      <w:r w:rsidRPr="0085396D">
        <w:rPr>
          <w:lang w:val="en-GB"/>
        </w:rPr>
        <w:t xml:space="preserve">Total expenses increased by $8.99 million (14.50%) compared to the 2024-25 actual primarily due to the increase in finance costs of $9.74 million (68.11%). The majority of the finance costs is attributed to the unwinding of the discount rate used for assessing the long service leave benefits provision. </w:t>
      </w:r>
      <w:r w:rsidRPr="0085396D">
        <w:t>The discount rate was reduced from 6.0% to 5.6% in the 2025-26 financial year following the review of the expected long-term return on investments, which contributed to increase in the finance costs compared to 2024-25.</w:t>
      </w:r>
      <w:r w:rsidRPr="0085396D">
        <w:rPr>
          <w:lang w:val="en-GB"/>
        </w:rPr>
        <w:t xml:space="preserve">  </w:t>
      </w:r>
      <w:r w:rsidRPr="0085396D">
        <w:rPr>
          <w:lang w:val="en-AU"/>
        </w:rPr>
        <w:t>  </w:t>
      </w:r>
    </w:p>
    <w:p w14:paraId="4839AA64" w14:textId="77777777" w:rsidR="0085396D" w:rsidRPr="0085396D" w:rsidRDefault="0085396D" w:rsidP="007E41F3">
      <w:pPr>
        <w:pStyle w:val="Heading6"/>
        <w:rPr>
          <w:lang w:val="en-AU"/>
        </w:rPr>
      </w:pPr>
      <w:r w:rsidRPr="0085396D">
        <w:t>Future trends </w:t>
      </w:r>
      <w:r w:rsidRPr="0085396D">
        <w:rPr>
          <w:lang w:val="en-AU"/>
        </w:rPr>
        <w:t> </w:t>
      </w:r>
    </w:p>
    <w:p w14:paraId="674A9013" w14:textId="77777777" w:rsidR="0085396D" w:rsidRPr="0085396D" w:rsidRDefault="0085396D" w:rsidP="007E41F3">
      <w:pPr>
        <w:rPr>
          <w:lang w:val="en-AU"/>
        </w:rPr>
      </w:pPr>
      <w:r w:rsidRPr="0085396D">
        <w:t>Total expenses in the 2026-27 budget are expected to increase by $19.86 million (27.97%) mainly due to higher long service leave benefit expenses for all the four administered schemes in accordance with actuarial projections.</w:t>
      </w:r>
      <w:r w:rsidRPr="0085396D">
        <w:rPr>
          <w:lang w:val="en-AU"/>
        </w:rPr>
        <w:t> </w:t>
      </w:r>
    </w:p>
    <w:p w14:paraId="32860943" w14:textId="77777777" w:rsidR="0085396D" w:rsidRPr="0085396D" w:rsidRDefault="0085396D" w:rsidP="00C32005">
      <w:pPr>
        <w:rPr>
          <w:lang w:val="en-AU"/>
        </w:rPr>
      </w:pPr>
      <w:r w:rsidRPr="0085396D">
        <w:t>Employee and superannuation expenses are expected to increase by $2.39 million (44.53%) due to additional positions expected to be required to support the increased client base following the entry of the new industries to the Services Industry Scheme in 2026-27, and to meet the management requirements of a larger workforce.</w:t>
      </w:r>
      <w:r w:rsidRPr="0085396D">
        <w:rPr>
          <w:lang w:val="en-AU"/>
        </w:rPr>
        <w:t> </w:t>
      </w:r>
    </w:p>
    <w:p w14:paraId="5B1E1971" w14:textId="77777777" w:rsidR="0085396D" w:rsidRPr="0085396D" w:rsidRDefault="0085396D" w:rsidP="0085396D">
      <w:pPr>
        <w:spacing w:before="120" w:after="120" w:line="240" w:lineRule="auto"/>
        <w:rPr>
          <w:lang w:val="en-AU"/>
        </w:rPr>
      </w:pPr>
      <w:r w:rsidRPr="0085396D">
        <w:rPr>
          <w:lang w:val="en-AU"/>
        </w:rPr>
        <w:t> </w:t>
      </w:r>
    </w:p>
    <w:p w14:paraId="30431885" w14:textId="77777777" w:rsidR="00977EFB" w:rsidRDefault="00977EFB">
      <w:pPr>
        <w:spacing w:before="120" w:after="120" w:line="240" w:lineRule="auto"/>
        <w:rPr>
          <w:rStyle w:val="Heading3Char"/>
        </w:rPr>
      </w:pPr>
      <w:r>
        <w:rPr>
          <w:rStyle w:val="Heading3Char"/>
        </w:rPr>
        <w:br w:type="page"/>
      </w:r>
    </w:p>
    <w:p w14:paraId="2CC2F68B" w14:textId="77777777" w:rsidR="0085396D" w:rsidRPr="0085396D" w:rsidRDefault="0085396D" w:rsidP="0085396D">
      <w:pPr>
        <w:spacing w:before="120" w:after="120" w:line="240" w:lineRule="auto"/>
        <w:rPr>
          <w:b/>
          <w:bCs/>
          <w:lang w:val="en-AU"/>
        </w:rPr>
      </w:pPr>
      <w:r w:rsidRPr="007E41F3">
        <w:rPr>
          <w:rStyle w:val="Heading3Char"/>
        </w:rPr>
        <w:lastRenderedPageBreak/>
        <w:t>Financial position</w:t>
      </w:r>
      <w:r w:rsidRPr="007E41F3">
        <w:rPr>
          <w:rStyle w:val="Heading3Char"/>
          <w:lang w:val="en-AU"/>
        </w:rPr>
        <w:tab/>
      </w:r>
      <w:r w:rsidRPr="0085396D">
        <w:rPr>
          <w:b/>
          <w:bCs/>
        </w:rPr>
        <w:t> </w:t>
      </w:r>
      <w:r w:rsidRPr="0085396D">
        <w:rPr>
          <w:b/>
          <w:bCs/>
          <w:lang w:val="en-AU"/>
        </w:rPr>
        <w:t> </w:t>
      </w:r>
    </w:p>
    <w:p w14:paraId="4E78FAF4" w14:textId="77777777" w:rsidR="0085396D" w:rsidRPr="0085396D" w:rsidRDefault="0085396D" w:rsidP="007E41F3">
      <w:pPr>
        <w:pStyle w:val="Heading4"/>
      </w:pPr>
      <w:r w:rsidRPr="0085396D">
        <w:t>Total assets  </w:t>
      </w:r>
    </w:p>
    <w:p w14:paraId="12402EEC" w14:textId="77777777" w:rsidR="0085396D" w:rsidRPr="0085396D" w:rsidRDefault="0085396D" w:rsidP="007E41F3">
      <w:pPr>
        <w:pStyle w:val="Heading6"/>
        <w:rPr>
          <w:lang w:val="en-AU"/>
        </w:rPr>
      </w:pPr>
      <w:r w:rsidRPr="0085396D">
        <w:t>Components of assets </w:t>
      </w:r>
      <w:r w:rsidRPr="0085396D">
        <w:rPr>
          <w:lang w:val="en-AU"/>
        </w:rPr>
        <w:t> </w:t>
      </w:r>
    </w:p>
    <w:p w14:paraId="4354C3C3" w14:textId="77777777" w:rsidR="0085396D" w:rsidRPr="0085396D" w:rsidRDefault="0085396D" w:rsidP="00C32005">
      <w:pPr>
        <w:rPr>
          <w:lang w:val="en-AU"/>
        </w:rPr>
      </w:pPr>
      <w:r w:rsidRPr="00BD76BB">
        <w:rPr>
          <w:lang w:val="en-AU"/>
        </w:rPr>
        <w:t>Figure 3 below shows that ACT Leave’s assets comprise cash $8.50 million (2.08%) and investments of $380.27 million (92.89%), receivables of $19.08 million (4.66%), property, plant and equipment of $1.50 million (0.36%), intangible assets of $0.03 million (0.01%), and prepayments of $0.01 million (0.00%).</w:t>
      </w:r>
      <w:r w:rsidRPr="0085396D">
        <w:rPr>
          <w:lang w:val="en-AU"/>
        </w:rPr>
        <w:t>  </w:t>
      </w:r>
    </w:p>
    <w:p w14:paraId="25E6FA3D" w14:textId="77777777" w:rsidR="0085396D" w:rsidRPr="0085396D" w:rsidRDefault="0085396D" w:rsidP="0085396D">
      <w:pPr>
        <w:spacing w:before="120" w:after="120" w:line="240" w:lineRule="auto"/>
        <w:rPr>
          <w:lang w:val="en-AU"/>
        </w:rPr>
      </w:pPr>
      <w:r w:rsidRPr="0085396D">
        <w:rPr>
          <w:b/>
          <w:bCs/>
          <w:lang w:val="en-AU"/>
        </w:rPr>
        <w:t>Figure 3.  Components of assets</w:t>
      </w:r>
      <w:r w:rsidRPr="0085396D">
        <w:rPr>
          <w:lang w:val="en-AU"/>
        </w:rPr>
        <w:t>  </w:t>
      </w:r>
    </w:p>
    <w:p w14:paraId="0725796D" w14:textId="77777777" w:rsidR="00847DEF" w:rsidRPr="00847DEF" w:rsidRDefault="00847DEF" w:rsidP="00BD76BB">
      <w:pPr>
        <w:spacing w:before="120" w:after="120"/>
        <w:rPr>
          <w:noProof/>
          <w:lang w:val="en-AU"/>
        </w:rPr>
      </w:pPr>
      <w:r w:rsidRPr="00BD76BB">
        <w:rPr>
          <w:lang w:val="en-AU"/>
        </w:rPr>
        <w:t>Pie chart showing the composition of ACT Leave’s assets as at 30 June 2026. Investments represent the overwhelming majority of assets at 92.89%. Receivables account for 4.66%, cash 2.08%, property, plant and equipment 0.36%, and intangible assets 0.01%. The chart highlights that nearly all of ACT Leave’s assets are held as investments, with only a small proportion represented by cash, receivables and other assets</w:t>
      </w:r>
      <w:r w:rsidRPr="00847DEF">
        <w:rPr>
          <w:noProof/>
          <w:lang w:val="en-AU"/>
        </w:rPr>
        <w:t>.</w:t>
      </w:r>
    </w:p>
    <w:p w14:paraId="291ACD4E" w14:textId="32C7E622" w:rsidR="0085396D" w:rsidRPr="0085396D" w:rsidRDefault="00D75F50" w:rsidP="0085396D">
      <w:pPr>
        <w:spacing w:before="120" w:after="120" w:line="240" w:lineRule="auto"/>
        <w:rPr>
          <w:lang w:val="en-AU"/>
        </w:rPr>
      </w:pPr>
      <w:r w:rsidRPr="0085396D">
        <w:rPr>
          <w:noProof/>
          <w:lang w:val="en-AU"/>
        </w:rPr>
        <w:drawing>
          <wp:anchor distT="0" distB="0" distL="114300" distR="114300" simplePos="0" relativeHeight="251658256" behindDoc="0" locked="0" layoutInCell="1" allowOverlap="1" wp14:anchorId="6D647AAD" wp14:editId="522D1D9A">
            <wp:simplePos x="0" y="0"/>
            <wp:positionH relativeFrom="column">
              <wp:posOffset>4954270</wp:posOffset>
            </wp:positionH>
            <wp:positionV relativeFrom="paragraph">
              <wp:posOffset>1425575</wp:posOffset>
            </wp:positionV>
            <wp:extent cx="129540" cy="342900"/>
            <wp:effectExtent l="0" t="0" r="3810" b="0"/>
            <wp:wrapNone/>
            <wp:docPr id="605517017"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17017" name="Picture 15">
                      <a:extLst>
                        <a:ext uri="{C183D7F6-B498-43B3-948B-1728B52AA6E4}">
                          <adec:decorative xmlns:adec="http://schemas.microsoft.com/office/drawing/2017/decorative" val="1"/>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9540" cy="342900"/>
                    </a:xfrm>
                    <a:prstGeom prst="rect">
                      <a:avLst/>
                    </a:prstGeom>
                    <a:noFill/>
                    <a:ln>
                      <a:noFill/>
                    </a:ln>
                  </pic:spPr>
                </pic:pic>
              </a:graphicData>
            </a:graphic>
            <wp14:sizeRelH relativeFrom="margin">
              <wp14:pctWidth>0</wp14:pctWidth>
            </wp14:sizeRelH>
          </wp:anchor>
        </w:drawing>
      </w:r>
      <w:r w:rsidR="007D3349">
        <w:rPr>
          <w:noProof/>
        </w:rPr>
        <w:drawing>
          <wp:inline distT="0" distB="0" distL="0" distR="0" wp14:anchorId="077DFBE4" wp14:editId="61E560A8">
            <wp:extent cx="6515100" cy="3057525"/>
            <wp:effectExtent l="0" t="0" r="0" b="0"/>
            <wp:docPr id="1935987824" name="Chart 1" descr="Pie chart showing the composition of ACT Leave’s assets as at 30 June 2026. Investments represent the overwhelming majority of assets at 92.89%. Receivables account for 4.66%, cash 2.08%, property, plant and equipment 0.36%, and intangible assets 0.01%. The chart highlights that nearly all of ACT Leave’s assets are held as investments, with only a small proportion represented by cash, receivables and other assets.">
              <a:extLst xmlns:a="http://schemas.openxmlformats.org/drawingml/2006/main">
                <a:ext uri="{FF2B5EF4-FFF2-40B4-BE49-F238E27FC236}">
                  <a16:creationId xmlns:a16="http://schemas.microsoft.com/office/drawing/2014/main" id="{9CCFE242-7DAE-42BC-AE7E-ADA023F273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0442E655" w14:textId="77777777" w:rsidR="0085396D" w:rsidRPr="0085396D" w:rsidRDefault="0085396D" w:rsidP="007D3349">
      <w:pPr>
        <w:spacing w:after="120" w:line="240" w:lineRule="auto"/>
        <w:rPr>
          <w:lang w:val="en-AU"/>
        </w:rPr>
      </w:pPr>
      <w:r w:rsidRPr="0085396D">
        <w:rPr>
          <w:i/>
          <w:iCs/>
          <w:lang w:val="en-GB"/>
        </w:rPr>
        <w:t>Comparison to budget</w:t>
      </w:r>
      <w:r w:rsidRPr="0085396D">
        <w:rPr>
          <w:i/>
          <w:iCs/>
          <w:lang w:val="en-AU"/>
        </w:rPr>
        <w:t> </w:t>
      </w:r>
      <w:r w:rsidRPr="0085396D">
        <w:rPr>
          <w:lang w:val="en-AU"/>
        </w:rPr>
        <w:t> </w:t>
      </w:r>
    </w:p>
    <w:p w14:paraId="158AF8D0" w14:textId="77777777" w:rsidR="0085396D" w:rsidRPr="0085396D" w:rsidRDefault="0085396D" w:rsidP="005C4F6B">
      <w:pPr>
        <w:rPr>
          <w:lang w:val="en-AU"/>
        </w:rPr>
      </w:pPr>
      <w:r w:rsidRPr="0085396D">
        <w:rPr>
          <w:lang w:val="en-GB"/>
        </w:rPr>
        <w:t>The total asset position of $409.38 million as at 30 June 2026 was materially consistent with the original budget of $411.08 million.</w:t>
      </w:r>
      <w:r w:rsidRPr="0085396D">
        <w:rPr>
          <w:lang w:val="en-AU"/>
        </w:rPr>
        <w:t> </w:t>
      </w:r>
    </w:p>
    <w:p w14:paraId="0F78044E" w14:textId="77777777" w:rsidR="0085396D" w:rsidRPr="0085396D" w:rsidRDefault="0085396D" w:rsidP="005C4F6B">
      <w:pPr>
        <w:rPr>
          <w:lang w:val="en-AU"/>
        </w:rPr>
      </w:pPr>
      <w:r w:rsidRPr="0085396D">
        <w:rPr>
          <w:lang w:val="en-GB"/>
        </w:rPr>
        <w:t>Receivables were higher than budgeted by $4.72 million (32.88%) mainly due to higher-than-expected contributions from employers and contractors in 2025-26 and higher than expected investment distributions for the fourth quarter of 2025-26.</w:t>
      </w:r>
      <w:r w:rsidRPr="0085396D">
        <w:rPr>
          <w:lang w:val="en-AU"/>
        </w:rPr>
        <w:t> </w:t>
      </w:r>
    </w:p>
    <w:p w14:paraId="0A49D56B" w14:textId="77777777" w:rsidR="0085396D" w:rsidRPr="0085396D" w:rsidRDefault="0085396D" w:rsidP="005C4F6B">
      <w:pPr>
        <w:rPr>
          <w:lang w:val="en-AU"/>
        </w:rPr>
      </w:pPr>
      <w:r w:rsidRPr="0085396D">
        <w:rPr>
          <w:lang w:val="en-GB"/>
        </w:rPr>
        <w:t>This was offset by lower than budgeted investments by $4.38 million (1.14%) - less cash was available for investment during 2025-26 as higher cash reserves were required to support higher than expected long service leave benefits payments across the four administered schemes.</w:t>
      </w:r>
      <w:r w:rsidRPr="0085396D">
        <w:rPr>
          <w:lang w:val="en-AU"/>
        </w:rPr>
        <w:t> </w:t>
      </w:r>
    </w:p>
    <w:p w14:paraId="4D8D1C5F" w14:textId="0C268BA2" w:rsidR="0085396D" w:rsidRPr="0085396D" w:rsidRDefault="0085396D" w:rsidP="0085396D">
      <w:pPr>
        <w:spacing w:before="120" w:after="120" w:line="240" w:lineRule="auto"/>
        <w:rPr>
          <w:lang w:val="en-AU"/>
        </w:rPr>
      </w:pPr>
      <w:r w:rsidRPr="0085396D">
        <w:rPr>
          <w:i/>
          <w:iCs/>
        </w:rPr>
        <w:t>Comparison to 2024-25 actuals </w:t>
      </w:r>
      <w:r w:rsidRPr="0085396D">
        <w:rPr>
          <w:lang w:val="en-AU"/>
        </w:rPr>
        <w:t> </w:t>
      </w:r>
    </w:p>
    <w:p w14:paraId="711EEC2C" w14:textId="3EE9AD70" w:rsidR="0085396D" w:rsidRPr="0085396D" w:rsidRDefault="0085396D" w:rsidP="00240388">
      <w:pPr>
        <w:rPr>
          <w:lang w:val="en-AU"/>
        </w:rPr>
      </w:pPr>
      <w:r w:rsidRPr="0085396D">
        <w:rPr>
          <w:lang w:val="en-GB"/>
        </w:rPr>
        <w:t>ACT Leave’s total asset position at 30 June 2026 was higher than at 30 June 2025 by $34.87 million (9.31%) primarily as a result of an increase in the value of investments due to the positive investment return of 6.79% in 2025-26 and additional investments made during the year, including investment distributions that ACT Leave reinvested for additional units.</w:t>
      </w:r>
      <w:r w:rsidRPr="0085396D">
        <w:rPr>
          <w:lang w:val="en-AU"/>
        </w:rPr>
        <w:t>  </w:t>
      </w:r>
    </w:p>
    <w:p w14:paraId="4A5743B4" w14:textId="77777777" w:rsidR="0085396D" w:rsidRDefault="0085396D" w:rsidP="00240388">
      <w:pPr>
        <w:pStyle w:val="Heading4"/>
      </w:pPr>
      <w:r w:rsidRPr="0085396D">
        <w:lastRenderedPageBreak/>
        <w:t>Total liabilities  </w:t>
      </w:r>
    </w:p>
    <w:p w14:paraId="10CD23A4" w14:textId="77777777" w:rsidR="0085396D" w:rsidRPr="0085396D" w:rsidRDefault="0085396D" w:rsidP="00240388">
      <w:pPr>
        <w:pStyle w:val="Heading6"/>
        <w:spacing w:before="0"/>
        <w:rPr>
          <w:lang w:val="en-AU"/>
        </w:rPr>
      </w:pPr>
      <w:r w:rsidRPr="0085396D">
        <w:t>Components of liabilities </w:t>
      </w:r>
      <w:r w:rsidRPr="0085396D">
        <w:rPr>
          <w:lang w:val="en-AU"/>
        </w:rPr>
        <w:t> </w:t>
      </w:r>
    </w:p>
    <w:p w14:paraId="28DCF67D" w14:textId="77777777" w:rsidR="0085396D" w:rsidRPr="0085396D" w:rsidRDefault="0085396D" w:rsidP="00C32005">
      <w:pPr>
        <w:spacing w:after="240"/>
        <w:rPr>
          <w:lang w:val="en-AU"/>
        </w:rPr>
      </w:pPr>
      <w:r w:rsidRPr="00C32005">
        <w:rPr>
          <w:lang w:val="en-GB"/>
        </w:rPr>
        <w:t>Figure 4 below indicates that the majority of ACT Leave’s liabilities are provisions for long service leave benefits of $305.34 million (97.99%). Liabilities also include payables of $3.46 million (1.11%), employee benefits of $1.46 million (0.47%), and lease liabilities of $1.35 million (0.43%)</w:t>
      </w:r>
      <w:r w:rsidRPr="0085396D">
        <w:rPr>
          <w:lang w:val="en-GB"/>
        </w:rPr>
        <w:t>.</w:t>
      </w:r>
      <w:r w:rsidRPr="0085396D">
        <w:rPr>
          <w:lang w:val="en-AU"/>
        </w:rPr>
        <w:t> </w:t>
      </w:r>
    </w:p>
    <w:p w14:paraId="3B7B82FA" w14:textId="5F6965CB" w:rsidR="00CE19DC" w:rsidRDefault="0085396D" w:rsidP="00CE19DC">
      <w:pPr>
        <w:spacing w:before="120" w:after="120" w:line="240" w:lineRule="auto"/>
        <w:rPr>
          <w:lang w:val="en-AU"/>
        </w:rPr>
      </w:pPr>
      <w:r w:rsidRPr="0085396D">
        <w:rPr>
          <w:b/>
          <w:bCs/>
          <w:lang w:val="en-AU"/>
        </w:rPr>
        <w:t>Figure 4.  Components of liabilities</w:t>
      </w:r>
      <w:r w:rsidRPr="0085396D">
        <w:rPr>
          <w:lang w:val="en-AU"/>
        </w:rPr>
        <w:t> </w:t>
      </w:r>
      <w:r w:rsidR="00CE19DC">
        <w:rPr>
          <w:lang w:val="en-AU"/>
        </w:rPr>
        <w:t xml:space="preserve"> </w:t>
      </w:r>
    </w:p>
    <w:p w14:paraId="557C8C9F" w14:textId="367BDF67" w:rsidR="00881ACA" w:rsidRDefault="00802D0D" w:rsidP="00CE19DC">
      <w:pPr>
        <w:spacing w:after="0" w:line="240" w:lineRule="auto"/>
        <w:rPr>
          <w:lang w:val="en-AU"/>
        </w:rPr>
      </w:pPr>
      <w:r>
        <w:rPr>
          <w:noProof/>
        </w:rPr>
        <w:drawing>
          <wp:inline distT="0" distB="0" distL="0" distR="0" wp14:anchorId="493641B1" wp14:editId="4ED1DE6E">
            <wp:extent cx="7048500" cy="3476625"/>
            <wp:effectExtent l="0" t="0" r="0" b="0"/>
            <wp:docPr id="1518260543" name="Chart 1" descr="Pie chart showing the composition of ACT Leave’s liabilities as at 30 June 2026. The provision for long service leave benefits represents 97.99% of total liabilities and is by far the largest liability. Payables account for 1.11%, employee benefits 0.47%, and lease liabilities 0.43%. The chart highlights that almost all liabilities relate to accrued long service leave benefit obligations.">
              <a:extLst xmlns:a="http://schemas.openxmlformats.org/drawingml/2006/main">
                <a:ext uri="{FF2B5EF4-FFF2-40B4-BE49-F238E27FC236}">
                  <a16:creationId xmlns:a16="http://schemas.microsoft.com/office/drawing/2014/main" id="{2C21A91D-0B04-5A64-ECF6-C6F2361094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639294E8" w14:textId="77777777" w:rsidR="0085396D" w:rsidRPr="0085396D" w:rsidRDefault="0085396D" w:rsidP="00CE19DC">
      <w:pPr>
        <w:pStyle w:val="Heading6"/>
        <w:spacing w:before="0"/>
        <w:rPr>
          <w:lang w:val="en-AU"/>
        </w:rPr>
      </w:pPr>
      <w:r w:rsidRPr="0085396D">
        <w:t>Comparison to Budget</w:t>
      </w:r>
      <w:r w:rsidRPr="0085396D">
        <w:rPr>
          <w:lang w:val="en-AU"/>
        </w:rPr>
        <w:t> </w:t>
      </w:r>
    </w:p>
    <w:p w14:paraId="09677D66" w14:textId="3CE066E6" w:rsidR="0085396D" w:rsidRPr="0085396D" w:rsidRDefault="0085396D" w:rsidP="00881ACA">
      <w:pPr>
        <w:rPr>
          <w:lang w:val="en-AU"/>
        </w:rPr>
      </w:pPr>
      <w:r w:rsidRPr="0085396D">
        <w:rPr>
          <w:lang w:val="en-GB"/>
        </w:rPr>
        <w:t xml:space="preserve">The total liabilities position as at 30 June 2026 was lower than the budget expectation by $35.67 million (10.27%) mainly due to higher benefit payments made throughout the year, which reduced the accrued benefits remaining at 30 June 2026. In addition, lower service accrual of active workers resulted in a lower level of new benefit accrual over the year. Actuarial valuations are based </w:t>
      </w:r>
      <w:r w:rsidRPr="0085396D">
        <w:rPr>
          <w:lang w:val="en-AU"/>
        </w:rPr>
        <w:t>on the projected number of workers, wage growth, and other actuarial demographic assumptions, for all administered schemes.  </w:t>
      </w:r>
    </w:p>
    <w:p w14:paraId="624261DB" w14:textId="77777777" w:rsidR="0085396D" w:rsidRPr="0085396D" w:rsidRDefault="0085396D" w:rsidP="00881ACA">
      <w:pPr>
        <w:pStyle w:val="Heading6"/>
        <w:rPr>
          <w:lang w:val="en-AU"/>
        </w:rPr>
      </w:pPr>
      <w:r w:rsidRPr="0085396D">
        <w:t>Comparison to 2024-25 Actuals </w:t>
      </w:r>
      <w:r w:rsidRPr="0085396D">
        <w:rPr>
          <w:lang w:val="en-AU"/>
        </w:rPr>
        <w:t> </w:t>
      </w:r>
    </w:p>
    <w:p w14:paraId="4DE96803" w14:textId="25817E62" w:rsidR="0085396D" w:rsidRPr="0085396D" w:rsidRDefault="0085396D" w:rsidP="00603C63">
      <w:pPr>
        <w:rPr>
          <w:lang w:val="en-AU"/>
        </w:rPr>
      </w:pPr>
      <w:r w:rsidRPr="0085396D">
        <w:rPr>
          <w:lang w:val="en-GB"/>
        </w:rPr>
        <w:t xml:space="preserve">The total liabilities position as at 30 June 2026 was $29.40 million (10.42%) higher than the position as at 30 June 2025 primarily due to </w:t>
      </w:r>
      <w:r w:rsidRPr="0085396D">
        <w:rPr>
          <w:lang w:val="en-AU"/>
        </w:rPr>
        <w:t>the actuarial valuation of the present value of the long service leave liability for the four administered schemes. All four schemes’ long service leave liability increased, with the growth mainly from the Community Sector Industry Scheme ($15.12 million) and Building and Construction Industry Scheme ($12.39 million). The key factors contributing to the increase include service-based wage inflation, moderate growth in all four industries, and unwinding of the discount rate to recognise that ACT Leave’s liabilities are one year closer. The reduction in the discount rate from 6.0% to 5.6% further contributed to the increase.  </w:t>
      </w:r>
    </w:p>
    <w:p w14:paraId="516E3924" w14:textId="77777777" w:rsidR="00A9139A" w:rsidRDefault="00A9139A">
      <w:pPr>
        <w:spacing w:before="120" w:after="120" w:line="240" w:lineRule="auto"/>
        <w:rPr>
          <w:rFonts w:ascii="Arial" w:eastAsiaTheme="majorEastAsia" w:hAnsi="Arial" w:cstheme="majorBidi"/>
          <w:b/>
          <w:spacing w:val="4"/>
          <w:sz w:val="24"/>
          <w:szCs w:val="24"/>
          <w:lang w:eastAsia="en-US"/>
        </w:rPr>
      </w:pPr>
      <w:r>
        <w:br w:type="page"/>
      </w:r>
    </w:p>
    <w:p w14:paraId="0E481D53" w14:textId="77777777" w:rsidR="0085396D" w:rsidRPr="0085396D" w:rsidRDefault="0085396D" w:rsidP="000B3F1B">
      <w:pPr>
        <w:pStyle w:val="Heading3"/>
      </w:pPr>
      <w:r w:rsidRPr="0085396D">
        <w:lastRenderedPageBreak/>
        <w:t>Liquidity  </w:t>
      </w:r>
    </w:p>
    <w:p w14:paraId="7F99B1A5" w14:textId="77777777" w:rsidR="0085396D" w:rsidRPr="0085396D" w:rsidRDefault="0085396D" w:rsidP="007F3C42">
      <w:pPr>
        <w:rPr>
          <w:lang w:val="en-AU"/>
        </w:rPr>
      </w:pPr>
      <w:r w:rsidRPr="00603C63">
        <w:rPr>
          <w:lang w:val="en-GB"/>
        </w:rPr>
        <w:t>Liquidity is the ability of ACT Leave to satisfy its short-term debts as they fall due. A common indicator for liquidity is the current ratio, which compares the ability to fund short-term liabilities from short-term assets. As funds are quarantined within each scheme, the tables below indicate the liquidity position of each of the administered schemes.</w:t>
      </w:r>
      <w:r w:rsidRPr="0085396D">
        <w:rPr>
          <w:lang w:val="en-AU"/>
        </w:rPr>
        <w:t>  </w:t>
      </w:r>
    </w:p>
    <w:p w14:paraId="4641057F" w14:textId="77777777" w:rsidR="0085396D" w:rsidRPr="0085396D" w:rsidRDefault="0085396D" w:rsidP="00454AC2">
      <w:pPr>
        <w:pStyle w:val="Heading4"/>
        <w:rPr>
          <w:b w:val="0"/>
        </w:rPr>
      </w:pPr>
      <w:r w:rsidRPr="0085396D">
        <w:t>Building and Const</w:t>
      </w:r>
      <w:r w:rsidRPr="0085396D">
        <w:rPr>
          <w:b w:val="0"/>
        </w:rPr>
        <w:t>ruction Industry Scheme  </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1370"/>
        <w:gridCol w:w="1370"/>
        <w:gridCol w:w="1371"/>
        <w:gridCol w:w="1370"/>
        <w:gridCol w:w="1370"/>
        <w:gridCol w:w="1371"/>
      </w:tblGrid>
      <w:tr w:rsidR="0085396D" w:rsidRPr="0085396D" w14:paraId="46BC7E2F" w14:textId="77777777" w:rsidTr="0016688C">
        <w:trPr>
          <w:trHeight w:val="285"/>
        </w:trPr>
        <w:tc>
          <w:tcPr>
            <w:tcW w:w="1843" w:type="dxa"/>
            <w:tcBorders>
              <w:top w:val="nil"/>
              <w:left w:val="nil"/>
              <w:bottom w:val="single" w:sz="6" w:space="0" w:color="auto"/>
              <w:right w:val="nil"/>
            </w:tcBorders>
            <w:shd w:val="clear" w:color="auto" w:fill="081DA4"/>
            <w:tcMar>
              <w:left w:w="85" w:type="dxa"/>
            </w:tcMar>
            <w:hideMark/>
          </w:tcPr>
          <w:p w14:paraId="477CAB09" w14:textId="77777777" w:rsidR="0085396D" w:rsidRPr="000E532B" w:rsidRDefault="0085396D" w:rsidP="000E532B">
            <w:pPr>
              <w:spacing w:before="120" w:after="120" w:line="240" w:lineRule="auto"/>
              <w:rPr>
                <w:b/>
                <w:bCs/>
                <w:color w:val="FFFFFF" w:themeColor="background1"/>
                <w:lang w:val="en-AU"/>
              </w:rPr>
            </w:pPr>
            <w:r w:rsidRPr="000E532B">
              <w:rPr>
                <w:b/>
                <w:bCs/>
                <w:color w:val="FFFFFF" w:themeColor="background1"/>
                <w:lang w:val="en-AU"/>
              </w:rPr>
              <w:t>Description  </w:t>
            </w:r>
          </w:p>
          <w:p w14:paraId="14BA4034" w14:textId="77777777" w:rsidR="0085396D" w:rsidRPr="000E532B" w:rsidRDefault="0085396D" w:rsidP="000E532B">
            <w:pPr>
              <w:spacing w:before="120" w:after="120" w:line="240" w:lineRule="auto"/>
              <w:rPr>
                <w:b/>
                <w:bCs/>
                <w:color w:val="FFFFFF" w:themeColor="background1"/>
                <w:lang w:val="en-AU"/>
              </w:rPr>
            </w:pPr>
            <w:r w:rsidRPr="000E532B">
              <w:rPr>
                <w:b/>
                <w:bCs/>
                <w:color w:val="FFFFFF" w:themeColor="background1"/>
                <w:lang w:val="en-AU"/>
              </w:rPr>
              <w:t>  </w:t>
            </w:r>
          </w:p>
          <w:p w14:paraId="483DCCC1" w14:textId="77777777" w:rsidR="0085396D" w:rsidRPr="000E532B" w:rsidRDefault="0085396D" w:rsidP="000E532B">
            <w:pPr>
              <w:spacing w:before="120" w:after="120" w:line="240" w:lineRule="auto"/>
              <w:rPr>
                <w:b/>
                <w:bCs/>
                <w:color w:val="FFFFFF" w:themeColor="background1"/>
                <w:lang w:val="en-AU"/>
              </w:rPr>
            </w:pPr>
            <w:r w:rsidRPr="000E532B">
              <w:rPr>
                <w:b/>
                <w:bCs/>
                <w:color w:val="FFFFFF" w:themeColor="background1"/>
                <w:lang w:val="en-AU"/>
              </w:rPr>
              <w:t>  </w:t>
            </w:r>
          </w:p>
          <w:p w14:paraId="05E4D4FE" w14:textId="77777777" w:rsidR="0085396D" w:rsidRPr="000E532B" w:rsidRDefault="0085396D" w:rsidP="000E532B">
            <w:pPr>
              <w:spacing w:before="120" w:after="120" w:line="240" w:lineRule="auto"/>
              <w:rPr>
                <w:b/>
                <w:bCs/>
                <w:color w:val="FFFFFF" w:themeColor="background1"/>
                <w:lang w:val="en-AU"/>
              </w:rPr>
            </w:pPr>
            <w:r w:rsidRPr="000E532B">
              <w:rPr>
                <w:b/>
                <w:bCs/>
                <w:color w:val="FFFFFF" w:themeColor="background1"/>
                <w:lang w:val="en-AU"/>
              </w:rPr>
              <w:t>  </w:t>
            </w:r>
          </w:p>
          <w:p w14:paraId="36CBD5B0" w14:textId="77777777" w:rsidR="0085396D" w:rsidRPr="000E532B" w:rsidRDefault="0085396D" w:rsidP="000E532B">
            <w:pPr>
              <w:spacing w:before="120" w:after="120" w:line="240" w:lineRule="auto"/>
              <w:rPr>
                <w:b/>
                <w:bCs/>
                <w:color w:val="FFFFFF" w:themeColor="background1"/>
                <w:lang w:val="en-AU"/>
              </w:rPr>
            </w:pPr>
            <w:r w:rsidRPr="000E532B">
              <w:rPr>
                <w:b/>
                <w:bCs/>
                <w:color w:val="FFFFFF" w:themeColor="background1"/>
                <w:lang w:val="en-AU"/>
              </w:rPr>
              <w:t>At 30 June  </w:t>
            </w:r>
          </w:p>
        </w:tc>
        <w:tc>
          <w:tcPr>
            <w:tcW w:w="1370" w:type="dxa"/>
            <w:tcBorders>
              <w:top w:val="nil"/>
              <w:left w:val="nil"/>
              <w:bottom w:val="single" w:sz="6" w:space="0" w:color="auto"/>
              <w:right w:val="nil"/>
            </w:tcBorders>
            <w:shd w:val="clear" w:color="auto" w:fill="081DA4"/>
            <w:hideMark/>
          </w:tcPr>
          <w:p w14:paraId="44D18A5E" w14:textId="0FE848B0" w:rsidR="0085396D"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Prior</w:t>
            </w:r>
          </w:p>
          <w:p w14:paraId="35B6124A" w14:textId="5D392E99" w:rsidR="0085396D"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Year</w:t>
            </w:r>
          </w:p>
          <w:p w14:paraId="24E86811" w14:textId="75BD994B" w:rsidR="0085396D"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Actual</w:t>
            </w:r>
          </w:p>
          <w:p w14:paraId="02ED1D16" w14:textId="05AEB9CD" w:rsidR="0085396D"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2025</w:t>
            </w:r>
          </w:p>
          <w:p w14:paraId="5D817E5A" w14:textId="1B1AA226" w:rsidR="0085396D"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$’000s</w:t>
            </w:r>
          </w:p>
        </w:tc>
        <w:tc>
          <w:tcPr>
            <w:tcW w:w="1370" w:type="dxa"/>
            <w:tcBorders>
              <w:top w:val="nil"/>
              <w:left w:val="nil"/>
              <w:bottom w:val="single" w:sz="6" w:space="0" w:color="auto"/>
              <w:right w:val="nil"/>
            </w:tcBorders>
            <w:shd w:val="clear" w:color="auto" w:fill="081DA4"/>
            <w:hideMark/>
          </w:tcPr>
          <w:p w14:paraId="067DF07A" w14:textId="67CB59E1" w:rsidR="001D0AB1"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Current</w:t>
            </w:r>
          </w:p>
          <w:p w14:paraId="2C50A7FC" w14:textId="59796114" w:rsidR="001D0AB1"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Year</w:t>
            </w:r>
          </w:p>
          <w:p w14:paraId="75E509C1" w14:textId="77777777" w:rsidR="001D0AB1"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Budget</w:t>
            </w:r>
          </w:p>
          <w:p w14:paraId="4BD926BA" w14:textId="7F43F0EA" w:rsidR="0085396D"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2026</w:t>
            </w:r>
          </w:p>
          <w:p w14:paraId="64AF8ADB" w14:textId="58D3BEA6" w:rsidR="0085396D"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$’000s</w:t>
            </w:r>
          </w:p>
        </w:tc>
        <w:tc>
          <w:tcPr>
            <w:tcW w:w="1371" w:type="dxa"/>
            <w:tcBorders>
              <w:top w:val="nil"/>
              <w:left w:val="nil"/>
              <w:bottom w:val="single" w:sz="6" w:space="0" w:color="auto"/>
              <w:right w:val="nil"/>
            </w:tcBorders>
            <w:shd w:val="clear" w:color="auto" w:fill="081DA4"/>
            <w:hideMark/>
          </w:tcPr>
          <w:p w14:paraId="3D6ED2DE" w14:textId="35DA17AF" w:rsidR="0085396D"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Current Year</w:t>
            </w:r>
          </w:p>
          <w:p w14:paraId="5F9C6A49" w14:textId="0ACB65E0" w:rsidR="0085396D"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Actual 2026</w:t>
            </w:r>
          </w:p>
          <w:p w14:paraId="0EA651FB" w14:textId="380FF8EC" w:rsidR="0085396D" w:rsidRPr="000E532B" w:rsidRDefault="0085396D" w:rsidP="0016688C">
            <w:pPr>
              <w:spacing w:before="120" w:after="120" w:line="240" w:lineRule="auto"/>
              <w:jc w:val="center"/>
              <w:rPr>
                <w:b/>
                <w:bCs/>
                <w:color w:val="FFFFFF" w:themeColor="background1"/>
                <w:lang w:val="en-AU"/>
              </w:rPr>
            </w:pPr>
            <w:r w:rsidRPr="000E532B">
              <w:rPr>
                <w:b/>
                <w:bCs/>
                <w:color w:val="FFFFFF" w:themeColor="background1"/>
                <w:lang w:val="en-AU"/>
              </w:rPr>
              <w:t>$’000s</w:t>
            </w:r>
          </w:p>
        </w:tc>
        <w:tc>
          <w:tcPr>
            <w:tcW w:w="1370" w:type="dxa"/>
            <w:tcBorders>
              <w:top w:val="nil"/>
              <w:left w:val="nil"/>
              <w:bottom w:val="single" w:sz="6" w:space="0" w:color="auto"/>
              <w:right w:val="nil"/>
            </w:tcBorders>
            <w:shd w:val="clear" w:color="auto" w:fill="081DA4"/>
            <w:hideMark/>
          </w:tcPr>
          <w:p w14:paraId="468DD901" w14:textId="57CD5890" w:rsidR="001D0AB1" w:rsidRPr="000E532B" w:rsidRDefault="0085396D" w:rsidP="0016688C">
            <w:pPr>
              <w:keepNext/>
              <w:tabs>
                <w:tab w:val="left" w:pos="0"/>
              </w:tabs>
              <w:adjustRightInd w:val="0"/>
              <w:snapToGrid w:val="0"/>
              <w:spacing w:before="120" w:after="0" w:line="360" w:lineRule="auto"/>
              <w:jc w:val="center"/>
              <w:rPr>
                <w:b/>
                <w:bCs/>
                <w:i/>
                <w:iCs/>
                <w:color w:val="FFFFFF" w:themeColor="background1"/>
                <w:lang w:val="en-AU"/>
              </w:rPr>
            </w:pPr>
            <w:r w:rsidRPr="000E532B">
              <w:rPr>
                <w:b/>
                <w:bCs/>
                <w:i/>
                <w:iCs/>
                <w:color w:val="FFFFFF" w:themeColor="background1"/>
                <w:lang w:val="en-AU"/>
              </w:rPr>
              <w:t>Forward</w:t>
            </w:r>
          </w:p>
          <w:p w14:paraId="1DA3CD66" w14:textId="7BCB7C8D" w:rsidR="0085396D" w:rsidRPr="000E532B" w:rsidRDefault="0085396D" w:rsidP="0016688C">
            <w:pPr>
              <w:keepNext/>
              <w:tabs>
                <w:tab w:val="left" w:pos="0"/>
              </w:tabs>
              <w:adjustRightInd w:val="0"/>
              <w:snapToGrid w:val="0"/>
              <w:spacing w:after="0" w:line="360" w:lineRule="auto"/>
              <w:jc w:val="center"/>
              <w:rPr>
                <w:b/>
                <w:bCs/>
                <w:i/>
                <w:iCs/>
                <w:color w:val="FFFFFF" w:themeColor="background1"/>
                <w:lang w:val="en-AU"/>
              </w:rPr>
            </w:pPr>
            <w:r w:rsidRPr="000E532B">
              <w:rPr>
                <w:b/>
                <w:bCs/>
                <w:i/>
                <w:iCs/>
                <w:color w:val="FFFFFF" w:themeColor="background1"/>
                <w:lang w:val="en-AU"/>
              </w:rPr>
              <w:t>Year Budget 2027</w:t>
            </w:r>
          </w:p>
          <w:p w14:paraId="300B72E9" w14:textId="4876312C" w:rsidR="0085396D" w:rsidRPr="000E532B" w:rsidRDefault="0085396D" w:rsidP="0016688C">
            <w:pPr>
              <w:keepNext/>
              <w:tabs>
                <w:tab w:val="left" w:pos="0"/>
              </w:tabs>
              <w:adjustRightInd w:val="0"/>
              <w:snapToGrid w:val="0"/>
              <w:spacing w:before="120" w:after="0" w:line="360" w:lineRule="auto"/>
              <w:jc w:val="center"/>
              <w:rPr>
                <w:b/>
                <w:bCs/>
                <w:i/>
                <w:iCs/>
                <w:color w:val="FFFFFF" w:themeColor="background1"/>
                <w:lang w:val="en-AU"/>
              </w:rPr>
            </w:pPr>
            <w:r w:rsidRPr="000E532B">
              <w:rPr>
                <w:b/>
                <w:bCs/>
                <w:i/>
                <w:iCs/>
                <w:color w:val="FFFFFF" w:themeColor="background1"/>
                <w:lang w:val="en-AU"/>
              </w:rPr>
              <w:t>$’000s</w:t>
            </w:r>
          </w:p>
        </w:tc>
        <w:tc>
          <w:tcPr>
            <w:tcW w:w="1370" w:type="dxa"/>
            <w:tcBorders>
              <w:top w:val="nil"/>
              <w:left w:val="nil"/>
              <w:bottom w:val="single" w:sz="6" w:space="0" w:color="auto"/>
              <w:right w:val="nil"/>
            </w:tcBorders>
            <w:shd w:val="clear" w:color="auto" w:fill="081DA4"/>
            <w:hideMark/>
          </w:tcPr>
          <w:p w14:paraId="33B34199" w14:textId="794939E0" w:rsidR="001D0AB1" w:rsidRPr="000E532B" w:rsidRDefault="0085396D" w:rsidP="0016688C">
            <w:pPr>
              <w:keepNext/>
              <w:tabs>
                <w:tab w:val="left" w:pos="0"/>
              </w:tabs>
              <w:adjustRightInd w:val="0"/>
              <w:snapToGrid w:val="0"/>
              <w:spacing w:before="120" w:after="0" w:line="360" w:lineRule="auto"/>
              <w:jc w:val="center"/>
              <w:rPr>
                <w:b/>
                <w:bCs/>
                <w:i/>
                <w:iCs/>
                <w:color w:val="FFFFFF" w:themeColor="background1"/>
                <w:lang w:val="en-AU"/>
              </w:rPr>
            </w:pPr>
            <w:r w:rsidRPr="000E532B">
              <w:rPr>
                <w:b/>
                <w:bCs/>
                <w:i/>
                <w:iCs/>
                <w:color w:val="FFFFFF" w:themeColor="background1"/>
                <w:lang w:val="en-AU"/>
              </w:rPr>
              <w:t>Forward</w:t>
            </w:r>
          </w:p>
          <w:p w14:paraId="4244189B" w14:textId="093E3EDD" w:rsidR="0085396D" w:rsidRPr="000E532B" w:rsidRDefault="0085396D" w:rsidP="0016688C">
            <w:pPr>
              <w:keepNext/>
              <w:tabs>
                <w:tab w:val="left" w:pos="0"/>
              </w:tabs>
              <w:adjustRightInd w:val="0"/>
              <w:snapToGrid w:val="0"/>
              <w:spacing w:after="0" w:line="360" w:lineRule="auto"/>
              <w:jc w:val="center"/>
              <w:rPr>
                <w:b/>
                <w:bCs/>
                <w:i/>
                <w:iCs/>
                <w:color w:val="FFFFFF" w:themeColor="background1"/>
                <w:lang w:val="en-AU"/>
              </w:rPr>
            </w:pPr>
            <w:r w:rsidRPr="000E532B">
              <w:rPr>
                <w:b/>
                <w:bCs/>
                <w:i/>
                <w:iCs/>
                <w:color w:val="FFFFFF" w:themeColor="background1"/>
                <w:lang w:val="en-AU"/>
              </w:rPr>
              <w:t>Year Budget 2028</w:t>
            </w:r>
          </w:p>
          <w:p w14:paraId="4970C27B" w14:textId="33FE5AC2" w:rsidR="0085396D" w:rsidRPr="000E532B" w:rsidRDefault="0085396D" w:rsidP="0016688C">
            <w:pPr>
              <w:keepNext/>
              <w:tabs>
                <w:tab w:val="left" w:pos="0"/>
              </w:tabs>
              <w:adjustRightInd w:val="0"/>
              <w:snapToGrid w:val="0"/>
              <w:spacing w:before="120" w:after="0" w:line="360" w:lineRule="auto"/>
              <w:jc w:val="center"/>
              <w:rPr>
                <w:b/>
                <w:bCs/>
                <w:i/>
                <w:iCs/>
                <w:color w:val="FFFFFF" w:themeColor="background1"/>
                <w:lang w:val="en-AU"/>
              </w:rPr>
            </w:pPr>
            <w:r w:rsidRPr="000E532B">
              <w:rPr>
                <w:b/>
                <w:bCs/>
                <w:i/>
                <w:iCs/>
                <w:color w:val="FFFFFF" w:themeColor="background1"/>
                <w:lang w:val="en-AU"/>
              </w:rPr>
              <w:t>$’000s</w:t>
            </w:r>
          </w:p>
        </w:tc>
        <w:tc>
          <w:tcPr>
            <w:tcW w:w="1371" w:type="dxa"/>
            <w:tcBorders>
              <w:top w:val="nil"/>
              <w:left w:val="nil"/>
              <w:bottom w:val="single" w:sz="6" w:space="0" w:color="auto"/>
              <w:right w:val="nil"/>
            </w:tcBorders>
            <w:shd w:val="clear" w:color="auto" w:fill="081DA4"/>
            <w:hideMark/>
          </w:tcPr>
          <w:p w14:paraId="78D1EE0E" w14:textId="3FECA057" w:rsidR="001D0AB1" w:rsidRPr="000E532B" w:rsidRDefault="0085396D" w:rsidP="0016688C">
            <w:pPr>
              <w:keepNext/>
              <w:tabs>
                <w:tab w:val="left" w:pos="0"/>
              </w:tabs>
              <w:adjustRightInd w:val="0"/>
              <w:snapToGrid w:val="0"/>
              <w:spacing w:before="120" w:after="0" w:line="360" w:lineRule="auto"/>
              <w:jc w:val="center"/>
              <w:rPr>
                <w:b/>
                <w:bCs/>
                <w:i/>
                <w:iCs/>
                <w:color w:val="FFFFFF" w:themeColor="background1"/>
                <w:lang w:val="en-AU"/>
              </w:rPr>
            </w:pPr>
            <w:r w:rsidRPr="000E532B">
              <w:rPr>
                <w:b/>
                <w:bCs/>
                <w:i/>
                <w:iCs/>
                <w:color w:val="FFFFFF" w:themeColor="background1"/>
                <w:lang w:val="en-AU"/>
              </w:rPr>
              <w:t>Forward</w:t>
            </w:r>
          </w:p>
          <w:p w14:paraId="05E1D02A" w14:textId="73CFF79A" w:rsidR="0085396D" w:rsidRPr="000E532B" w:rsidRDefault="0085396D" w:rsidP="0016688C">
            <w:pPr>
              <w:keepNext/>
              <w:tabs>
                <w:tab w:val="left" w:pos="0"/>
              </w:tabs>
              <w:adjustRightInd w:val="0"/>
              <w:snapToGrid w:val="0"/>
              <w:spacing w:after="0" w:line="360" w:lineRule="auto"/>
              <w:jc w:val="center"/>
              <w:rPr>
                <w:b/>
                <w:bCs/>
                <w:i/>
                <w:iCs/>
                <w:color w:val="FFFFFF" w:themeColor="background1"/>
                <w:lang w:val="en-AU"/>
              </w:rPr>
            </w:pPr>
            <w:r w:rsidRPr="000E532B">
              <w:rPr>
                <w:b/>
                <w:bCs/>
                <w:i/>
                <w:iCs/>
                <w:color w:val="FFFFFF" w:themeColor="background1"/>
                <w:lang w:val="en-AU"/>
              </w:rPr>
              <w:t>Year Budget 2029</w:t>
            </w:r>
          </w:p>
          <w:p w14:paraId="42FB88D0" w14:textId="0C5AD286" w:rsidR="0085396D" w:rsidRPr="000E532B" w:rsidRDefault="0085396D" w:rsidP="0016688C">
            <w:pPr>
              <w:keepNext/>
              <w:tabs>
                <w:tab w:val="left" w:pos="0"/>
              </w:tabs>
              <w:adjustRightInd w:val="0"/>
              <w:snapToGrid w:val="0"/>
              <w:spacing w:before="120" w:after="0" w:line="360" w:lineRule="auto"/>
              <w:jc w:val="center"/>
              <w:rPr>
                <w:b/>
                <w:bCs/>
                <w:i/>
                <w:iCs/>
                <w:color w:val="FFFFFF" w:themeColor="background1"/>
                <w:lang w:val="en-AU"/>
              </w:rPr>
            </w:pPr>
            <w:r w:rsidRPr="000E532B">
              <w:rPr>
                <w:b/>
                <w:bCs/>
                <w:i/>
                <w:iCs/>
                <w:color w:val="FFFFFF" w:themeColor="background1"/>
                <w:lang w:val="en-AU"/>
              </w:rPr>
              <w:t>$’000s</w:t>
            </w:r>
          </w:p>
        </w:tc>
      </w:tr>
      <w:tr w:rsidR="0085396D" w:rsidRPr="0085396D" w14:paraId="39F28CEA" w14:textId="77777777" w:rsidTr="0032148A">
        <w:trPr>
          <w:trHeight w:val="285"/>
        </w:trPr>
        <w:tc>
          <w:tcPr>
            <w:tcW w:w="1843" w:type="dxa"/>
            <w:tcBorders>
              <w:top w:val="single" w:sz="6" w:space="0" w:color="auto"/>
              <w:left w:val="nil"/>
              <w:bottom w:val="single" w:sz="6" w:space="0" w:color="auto"/>
              <w:right w:val="nil"/>
            </w:tcBorders>
            <w:tcMar>
              <w:left w:w="85" w:type="dxa"/>
            </w:tcMar>
            <w:vAlign w:val="bottom"/>
            <w:hideMark/>
          </w:tcPr>
          <w:p w14:paraId="4841BD1F" w14:textId="77777777" w:rsidR="0085396D" w:rsidRPr="0085396D" w:rsidRDefault="0085396D" w:rsidP="0085396D">
            <w:pPr>
              <w:spacing w:before="120" w:after="120" w:line="240" w:lineRule="auto"/>
              <w:rPr>
                <w:lang w:val="en-AU"/>
              </w:rPr>
            </w:pPr>
            <w:r w:rsidRPr="0085396D">
              <w:rPr>
                <w:lang w:val="en-AU"/>
              </w:rPr>
              <w:t>Current Assets   </w:t>
            </w:r>
          </w:p>
        </w:tc>
        <w:tc>
          <w:tcPr>
            <w:tcW w:w="1370" w:type="dxa"/>
            <w:tcBorders>
              <w:top w:val="single" w:sz="6" w:space="0" w:color="auto"/>
              <w:left w:val="nil"/>
              <w:bottom w:val="single" w:sz="6" w:space="0" w:color="auto"/>
              <w:right w:val="nil"/>
            </w:tcBorders>
            <w:vAlign w:val="center"/>
            <w:hideMark/>
          </w:tcPr>
          <w:p w14:paraId="1D012542" w14:textId="6158A34C" w:rsidR="0085396D" w:rsidRPr="0085396D" w:rsidRDefault="0085396D" w:rsidP="00A9139A">
            <w:pPr>
              <w:spacing w:before="120" w:after="120" w:line="240" w:lineRule="auto"/>
              <w:jc w:val="center"/>
              <w:rPr>
                <w:lang w:val="en-AU"/>
              </w:rPr>
            </w:pPr>
            <w:r w:rsidRPr="0085396D">
              <w:rPr>
                <w:lang w:val="en-AU"/>
              </w:rPr>
              <w:t>213,983</w:t>
            </w:r>
          </w:p>
        </w:tc>
        <w:tc>
          <w:tcPr>
            <w:tcW w:w="1370" w:type="dxa"/>
            <w:tcBorders>
              <w:top w:val="single" w:sz="6" w:space="0" w:color="auto"/>
              <w:left w:val="nil"/>
              <w:bottom w:val="single" w:sz="6" w:space="0" w:color="auto"/>
              <w:right w:val="nil"/>
            </w:tcBorders>
            <w:vAlign w:val="center"/>
            <w:hideMark/>
          </w:tcPr>
          <w:p w14:paraId="4FFF0408" w14:textId="207D8A08" w:rsidR="0085396D" w:rsidRPr="0085396D" w:rsidRDefault="0085396D" w:rsidP="00A9139A">
            <w:pPr>
              <w:spacing w:before="120" w:after="120" w:line="240" w:lineRule="auto"/>
              <w:jc w:val="center"/>
              <w:rPr>
                <w:lang w:val="en-AU"/>
              </w:rPr>
            </w:pPr>
            <w:r w:rsidRPr="0085396D">
              <w:rPr>
                <w:i/>
                <w:iCs/>
                <w:lang w:val="en-AU"/>
              </w:rPr>
              <w:t>231,746</w:t>
            </w:r>
          </w:p>
        </w:tc>
        <w:tc>
          <w:tcPr>
            <w:tcW w:w="1371" w:type="dxa"/>
            <w:tcBorders>
              <w:top w:val="single" w:sz="6" w:space="0" w:color="auto"/>
              <w:left w:val="nil"/>
              <w:bottom w:val="single" w:sz="6" w:space="0" w:color="auto"/>
              <w:right w:val="nil"/>
            </w:tcBorders>
            <w:vAlign w:val="center"/>
            <w:hideMark/>
          </w:tcPr>
          <w:p w14:paraId="054A8372" w14:textId="0B250C35" w:rsidR="0085396D" w:rsidRPr="0085396D" w:rsidRDefault="0085396D" w:rsidP="00A9139A">
            <w:pPr>
              <w:spacing w:before="120" w:after="120" w:line="240" w:lineRule="auto"/>
              <w:jc w:val="center"/>
              <w:rPr>
                <w:lang w:val="en-AU"/>
              </w:rPr>
            </w:pPr>
            <w:r w:rsidRPr="0085396D">
              <w:rPr>
                <w:lang w:val="en-AU"/>
              </w:rPr>
              <w:t>230,700</w:t>
            </w:r>
          </w:p>
        </w:tc>
        <w:tc>
          <w:tcPr>
            <w:tcW w:w="1370" w:type="dxa"/>
            <w:tcBorders>
              <w:top w:val="single" w:sz="6" w:space="0" w:color="auto"/>
              <w:left w:val="nil"/>
              <w:bottom w:val="single" w:sz="6" w:space="0" w:color="auto"/>
              <w:right w:val="nil"/>
            </w:tcBorders>
            <w:vAlign w:val="center"/>
            <w:hideMark/>
          </w:tcPr>
          <w:p w14:paraId="16A16C68" w14:textId="275202AE" w:rsidR="0085396D" w:rsidRPr="0085396D" w:rsidRDefault="0085396D" w:rsidP="00A9139A">
            <w:pPr>
              <w:spacing w:before="120" w:after="120" w:line="240" w:lineRule="auto"/>
              <w:jc w:val="center"/>
              <w:rPr>
                <w:lang w:val="en-AU"/>
              </w:rPr>
            </w:pPr>
            <w:r w:rsidRPr="0085396D">
              <w:rPr>
                <w:i/>
                <w:iCs/>
                <w:lang w:val="en-AU"/>
              </w:rPr>
              <w:t>246,648</w:t>
            </w:r>
          </w:p>
        </w:tc>
        <w:tc>
          <w:tcPr>
            <w:tcW w:w="1370" w:type="dxa"/>
            <w:tcBorders>
              <w:top w:val="single" w:sz="6" w:space="0" w:color="auto"/>
              <w:left w:val="nil"/>
              <w:bottom w:val="single" w:sz="6" w:space="0" w:color="auto"/>
              <w:right w:val="nil"/>
            </w:tcBorders>
            <w:vAlign w:val="center"/>
            <w:hideMark/>
          </w:tcPr>
          <w:p w14:paraId="49C889E7" w14:textId="103D943F" w:rsidR="0085396D" w:rsidRPr="0085396D" w:rsidRDefault="0085396D" w:rsidP="00A9139A">
            <w:pPr>
              <w:spacing w:before="120" w:after="120" w:line="240" w:lineRule="auto"/>
              <w:jc w:val="center"/>
              <w:rPr>
                <w:lang w:val="en-AU"/>
              </w:rPr>
            </w:pPr>
            <w:r w:rsidRPr="0085396D">
              <w:rPr>
                <w:i/>
                <w:iCs/>
                <w:lang w:val="en-AU"/>
              </w:rPr>
              <w:t>264,846</w:t>
            </w:r>
          </w:p>
        </w:tc>
        <w:tc>
          <w:tcPr>
            <w:tcW w:w="1371" w:type="dxa"/>
            <w:tcBorders>
              <w:top w:val="single" w:sz="6" w:space="0" w:color="auto"/>
              <w:left w:val="nil"/>
              <w:bottom w:val="single" w:sz="6" w:space="0" w:color="auto"/>
              <w:right w:val="nil"/>
            </w:tcBorders>
            <w:vAlign w:val="center"/>
            <w:hideMark/>
          </w:tcPr>
          <w:p w14:paraId="2D5F3EA2" w14:textId="256CEFDB" w:rsidR="0085396D" w:rsidRPr="0085396D" w:rsidRDefault="0085396D" w:rsidP="00A9139A">
            <w:pPr>
              <w:spacing w:before="120" w:after="120" w:line="240" w:lineRule="auto"/>
              <w:jc w:val="center"/>
              <w:rPr>
                <w:lang w:val="en-AU"/>
              </w:rPr>
            </w:pPr>
            <w:r w:rsidRPr="0085396D">
              <w:rPr>
                <w:i/>
                <w:iCs/>
                <w:lang w:val="en-AU"/>
              </w:rPr>
              <w:t>283,290</w:t>
            </w:r>
          </w:p>
        </w:tc>
      </w:tr>
      <w:tr w:rsidR="0085396D" w:rsidRPr="0085396D" w14:paraId="1E8BFB12" w14:textId="77777777" w:rsidTr="0032148A">
        <w:trPr>
          <w:trHeight w:val="285"/>
        </w:trPr>
        <w:tc>
          <w:tcPr>
            <w:tcW w:w="1843" w:type="dxa"/>
            <w:tcBorders>
              <w:top w:val="single" w:sz="6" w:space="0" w:color="auto"/>
              <w:left w:val="nil"/>
              <w:bottom w:val="single" w:sz="6" w:space="0" w:color="auto"/>
              <w:right w:val="nil"/>
            </w:tcBorders>
            <w:shd w:val="clear" w:color="auto" w:fill="F5FBFE"/>
            <w:tcMar>
              <w:left w:w="85" w:type="dxa"/>
            </w:tcMar>
            <w:vAlign w:val="bottom"/>
            <w:hideMark/>
          </w:tcPr>
          <w:p w14:paraId="2914D276" w14:textId="77777777" w:rsidR="0085396D" w:rsidRPr="0085396D" w:rsidRDefault="0085396D" w:rsidP="0085396D">
            <w:pPr>
              <w:spacing w:before="120" w:after="120" w:line="240" w:lineRule="auto"/>
              <w:rPr>
                <w:lang w:val="en-AU"/>
              </w:rPr>
            </w:pPr>
            <w:r w:rsidRPr="0085396D">
              <w:rPr>
                <w:lang w:val="en-AU"/>
              </w:rPr>
              <w:t>Current Liabilities   </w:t>
            </w:r>
          </w:p>
        </w:tc>
        <w:tc>
          <w:tcPr>
            <w:tcW w:w="1370" w:type="dxa"/>
            <w:tcBorders>
              <w:top w:val="single" w:sz="6" w:space="0" w:color="auto"/>
              <w:left w:val="nil"/>
              <w:bottom w:val="single" w:sz="6" w:space="0" w:color="auto"/>
              <w:right w:val="nil"/>
            </w:tcBorders>
            <w:shd w:val="clear" w:color="auto" w:fill="F5FBFE"/>
            <w:vAlign w:val="center"/>
            <w:hideMark/>
          </w:tcPr>
          <w:p w14:paraId="1EDAD076" w14:textId="5F3A7C86" w:rsidR="0085396D" w:rsidRPr="0085396D" w:rsidRDefault="0085396D" w:rsidP="00A9139A">
            <w:pPr>
              <w:spacing w:before="120" w:after="120" w:line="240" w:lineRule="auto"/>
              <w:jc w:val="center"/>
              <w:rPr>
                <w:lang w:val="en-AU"/>
              </w:rPr>
            </w:pPr>
            <w:r w:rsidRPr="0085396D">
              <w:rPr>
                <w:lang w:val="en-AU"/>
              </w:rPr>
              <w:t>145,261</w:t>
            </w:r>
          </w:p>
        </w:tc>
        <w:tc>
          <w:tcPr>
            <w:tcW w:w="1370" w:type="dxa"/>
            <w:tcBorders>
              <w:top w:val="single" w:sz="6" w:space="0" w:color="auto"/>
              <w:left w:val="nil"/>
              <w:bottom w:val="single" w:sz="6" w:space="0" w:color="auto"/>
              <w:right w:val="nil"/>
            </w:tcBorders>
            <w:shd w:val="clear" w:color="auto" w:fill="F5FBFE"/>
            <w:vAlign w:val="center"/>
            <w:hideMark/>
          </w:tcPr>
          <w:p w14:paraId="4B7BFF4E" w14:textId="61C803F5" w:rsidR="0085396D" w:rsidRPr="0085396D" w:rsidRDefault="0085396D" w:rsidP="00A9139A">
            <w:pPr>
              <w:spacing w:before="120" w:after="120" w:line="240" w:lineRule="auto"/>
              <w:jc w:val="center"/>
              <w:rPr>
                <w:lang w:val="en-AU"/>
              </w:rPr>
            </w:pPr>
            <w:r w:rsidRPr="0085396D">
              <w:rPr>
                <w:i/>
                <w:iCs/>
                <w:lang w:val="en-AU"/>
              </w:rPr>
              <w:t>163,551</w:t>
            </w:r>
          </w:p>
        </w:tc>
        <w:tc>
          <w:tcPr>
            <w:tcW w:w="1371" w:type="dxa"/>
            <w:tcBorders>
              <w:top w:val="single" w:sz="6" w:space="0" w:color="auto"/>
              <w:left w:val="nil"/>
              <w:bottom w:val="single" w:sz="6" w:space="0" w:color="auto"/>
              <w:right w:val="nil"/>
            </w:tcBorders>
            <w:shd w:val="clear" w:color="auto" w:fill="F5FBFE"/>
            <w:vAlign w:val="center"/>
            <w:hideMark/>
          </w:tcPr>
          <w:p w14:paraId="6EFE3544" w14:textId="514CC1B1" w:rsidR="0085396D" w:rsidRPr="0085396D" w:rsidRDefault="0085396D" w:rsidP="00A9139A">
            <w:pPr>
              <w:spacing w:before="120" w:after="120" w:line="240" w:lineRule="auto"/>
              <w:jc w:val="center"/>
              <w:rPr>
                <w:lang w:val="en-AU"/>
              </w:rPr>
            </w:pPr>
            <w:r w:rsidRPr="0085396D">
              <w:rPr>
                <w:lang w:val="en-AU"/>
              </w:rPr>
              <w:t>156,514</w:t>
            </w:r>
          </w:p>
        </w:tc>
        <w:tc>
          <w:tcPr>
            <w:tcW w:w="1370" w:type="dxa"/>
            <w:tcBorders>
              <w:top w:val="single" w:sz="6" w:space="0" w:color="auto"/>
              <w:left w:val="nil"/>
              <w:bottom w:val="single" w:sz="6" w:space="0" w:color="auto"/>
              <w:right w:val="nil"/>
            </w:tcBorders>
            <w:shd w:val="clear" w:color="auto" w:fill="F5FBFE"/>
            <w:vAlign w:val="center"/>
            <w:hideMark/>
          </w:tcPr>
          <w:p w14:paraId="294E5B0E" w14:textId="08AF8E87" w:rsidR="0085396D" w:rsidRPr="0085396D" w:rsidRDefault="0085396D" w:rsidP="00A9139A">
            <w:pPr>
              <w:spacing w:before="120" w:after="120" w:line="240" w:lineRule="auto"/>
              <w:jc w:val="center"/>
              <w:rPr>
                <w:lang w:val="en-AU"/>
              </w:rPr>
            </w:pPr>
            <w:r w:rsidRPr="0085396D">
              <w:rPr>
                <w:i/>
                <w:iCs/>
                <w:lang w:val="en-AU"/>
              </w:rPr>
              <w:t>182,236</w:t>
            </w:r>
          </w:p>
        </w:tc>
        <w:tc>
          <w:tcPr>
            <w:tcW w:w="1370" w:type="dxa"/>
            <w:tcBorders>
              <w:top w:val="single" w:sz="6" w:space="0" w:color="auto"/>
              <w:left w:val="nil"/>
              <w:bottom w:val="single" w:sz="6" w:space="0" w:color="auto"/>
              <w:right w:val="nil"/>
            </w:tcBorders>
            <w:shd w:val="clear" w:color="auto" w:fill="F5FBFE"/>
            <w:vAlign w:val="center"/>
            <w:hideMark/>
          </w:tcPr>
          <w:p w14:paraId="3E07EA8C" w14:textId="51FB81BF" w:rsidR="0085396D" w:rsidRPr="0085396D" w:rsidRDefault="0085396D" w:rsidP="00A9139A">
            <w:pPr>
              <w:spacing w:before="120" w:after="120" w:line="240" w:lineRule="auto"/>
              <w:jc w:val="center"/>
              <w:rPr>
                <w:lang w:val="en-AU"/>
              </w:rPr>
            </w:pPr>
            <w:r w:rsidRPr="0085396D">
              <w:rPr>
                <w:i/>
                <w:iCs/>
                <w:lang w:val="en-AU"/>
              </w:rPr>
              <w:t>200,805</w:t>
            </w:r>
          </w:p>
        </w:tc>
        <w:tc>
          <w:tcPr>
            <w:tcW w:w="1371" w:type="dxa"/>
            <w:tcBorders>
              <w:top w:val="single" w:sz="6" w:space="0" w:color="auto"/>
              <w:left w:val="nil"/>
              <w:bottom w:val="single" w:sz="6" w:space="0" w:color="auto"/>
              <w:right w:val="nil"/>
            </w:tcBorders>
            <w:shd w:val="clear" w:color="auto" w:fill="F5FBFE"/>
            <w:vAlign w:val="center"/>
            <w:hideMark/>
          </w:tcPr>
          <w:p w14:paraId="50BDDB1E" w14:textId="38AD58C6" w:rsidR="0085396D" w:rsidRPr="0085396D" w:rsidRDefault="0085396D" w:rsidP="00A9139A">
            <w:pPr>
              <w:spacing w:before="120" w:after="120" w:line="240" w:lineRule="auto"/>
              <w:jc w:val="center"/>
              <w:rPr>
                <w:lang w:val="en-AU"/>
              </w:rPr>
            </w:pPr>
            <w:r w:rsidRPr="0085396D">
              <w:rPr>
                <w:i/>
                <w:iCs/>
                <w:lang w:val="en-AU"/>
              </w:rPr>
              <w:t>224,604</w:t>
            </w:r>
          </w:p>
        </w:tc>
      </w:tr>
      <w:tr w:rsidR="0085396D" w:rsidRPr="0085396D" w14:paraId="7FE27570" w14:textId="77777777" w:rsidTr="0032148A">
        <w:trPr>
          <w:trHeight w:val="285"/>
        </w:trPr>
        <w:tc>
          <w:tcPr>
            <w:tcW w:w="1843" w:type="dxa"/>
            <w:tcBorders>
              <w:top w:val="single" w:sz="6" w:space="0" w:color="auto"/>
              <w:left w:val="nil"/>
              <w:bottom w:val="single" w:sz="6" w:space="0" w:color="auto"/>
              <w:right w:val="nil"/>
            </w:tcBorders>
            <w:tcMar>
              <w:left w:w="85" w:type="dxa"/>
            </w:tcMar>
            <w:vAlign w:val="bottom"/>
            <w:hideMark/>
          </w:tcPr>
          <w:p w14:paraId="7B2BADF6" w14:textId="77777777" w:rsidR="0085396D" w:rsidRPr="0085396D" w:rsidRDefault="0085396D" w:rsidP="0085396D">
            <w:pPr>
              <w:spacing w:before="120" w:after="120" w:line="240" w:lineRule="auto"/>
              <w:rPr>
                <w:lang w:val="en-AU"/>
              </w:rPr>
            </w:pPr>
            <w:r w:rsidRPr="0085396D">
              <w:rPr>
                <w:lang w:val="en-AU"/>
              </w:rPr>
              <w:t>Current Ratio  </w:t>
            </w:r>
          </w:p>
        </w:tc>
        <w:tc>
          <w:tcPr>
            <w:tcW w:w="1370" w:type="dxa"/>
            <w:tcBorders>
              <w:top w:val="single" w:sz="6" w:space="0" w:color="auto"/>
              <w:left w:val="nil"/>
              <w:bottom w:val="single" w:sz="6" w:space="0" w:color="auto"/>
              <w:right w:val="nil"/>
            </w:tcBorders>
            <w:vAlign w:val="center"/>
            <w:hideMark/>
          </w:tcPr>
          <w:p w14:paraId="55BDC10F" w14:textId="6D337C58" w:rsidR="0085396D" w:rsidRPr="0085396D" w:rsidRDefault="0085396D" w:rsidP="00A9139A">
            <w:pPr>
              <w:spacing w:before="120" w:after="120" w:line="240" w:lineRule="auto"/>
              <w:jc w:val="center"/>
              <w:rPr>
                <w:lang w:val="en-AU"/>
              </w:rPr>
            </w:pPr>
            <w:r w:rsidRPr="0085396D">
              <w:rPr>
                <w:b/>
                <w:bCs/>
                <w:lang w:val="en-AU"/>
              </w:rPr>
              <w:t>1.47:1</w:t>
            </w:r>
          </w:p>
        </w:tc>
        <w:tc>
          <w:tcPr>
            <w:tcW w:w="1370" w:type="dxa"/>
            <w:tcBorders>
              <w:top w:val="single" w:sz="6" w:space="0" w:color="auto"/>
              <w:left w:val="nil"/>
              <w:bottom w:val="single" w:sz="6" w:space="0" w:color="auto"/>
              <w:right w:val="nil"/>
            </w:tcBorders>
            <w:vAlign w:val="center"/>
            <w:hideMark/>
          </w:tcPr>
          <w:p w14:paraId="6BA43EAE" w14:textId="6B3622B1" w:rsidR="0085396D" w:rsidRPr="0085396D" w:rsidRDefault="0085396D" w:rsidP="00A9139A">
            <w:pPr>
              <w:spacing w:before="120" w:after="120" w:line="240" w:lineRule="auto"/>
              <w:jc w:val="center"/>
              <w:rPr>
                <w:lang w:val="en-AU"/>
              </w:rPr>
            </w:pPr>
            <w:r w:rsidRPr="0085396D">
              <w:rPr>
                <w:b/>
                <w:bCs/>
                <w:i/>
                <w:iCs/>
                <w:lang w:val="en-AU"/>
              </w:rPr>
              <w:t>1.42:1</w:t>
            </w:r>
          </w:p>
        </w:tc>
        <w:tc>
          <w:tcPr>
            <w:tcW w:w="1371" w:type="dxa"/>
            <w:tcBorders>
              <w:top w:val="single" w:sz="6" w:space="0" w:color="auto"/>
              <w:left w:val="nil"/>
              <w:bottom w:val="single" w:sz="6" w:space="0" w:color="auto"/>
              <w:right w:val="nil"/>
            </w:tcBorders>
            <w:vAlign w:val="center"/>
            <w:hideMark/>
          </w:tcPr>
          <w:p w14:paraId="17057813" w14:textId="16DDE1B4" w:rsidR="0085396D" w:rsidRPr="0085396D" w:rsidRDefault="0085396D" w:rsidP="00A9139A">
            <w:pPr>
              <w:spacing w:before="120" w:after="120" w:line="240" w:lineRule="auto"/>
              <w:jc w:val="center"/>
              <w:rPr>
                <w:lang w:val="en-AU"/>
              </w:rPr>
            </w:pPr>
            <w:r w:rsidRPr="0085396D">
              <w:rPr>
                <w:b/>
                <w:bCs/>
                <w:lang w:val="en-AU"/>
              </w:rPr>
              <w:t>1.47:1</w:t>
            </w:r>
          </w:p>
        </w:tc>
        <w:tc>
          <w:tcPr>
            <w:tcW w:w="1370" w:type="dxa"/>
            <w:tcBorders>
              <w:top w:val="single" w:sz="6" w:space="0" w:color="auto"/>
              <w:left w:val="nil"/>
              <w:bottom w:val="single" w:sz="6" w:space="0" w:color="auto"/>
              <w:right w:val="nil"/>
            </w:tcBorders>
            <w:vAlign w:val="center"/>
            <w:hideMark/>
          </w:tcPr>
          <w:p w14:paraId="47DC22E1" w14:textId="5928848A" w:rsidR="0085396D" w:rsidRPr="0085396D" w:rsidRDefault="0085396D" w:rsidP="00A9139A">
            <w:pPr>
              <w:spacing w:before="120" w:after="120" w:line="240" w:lineRule="auto"/>
              <w:jc w:val="center"/>
              <w:rPr>
                <w:lang w:val="en-AU"/>
              </w:rPr>
            </w:pPr>
            <w:r w:rsidRPr="0085396D">
              <w:rPr>
                <w:b/>
                <w:bCs/>
                <w:i/>
                <w:iCs/>
                <w:lang w:val="en-AU"/>
              </w:rPr>
              <w:t>1.35:1</w:t>
            </w:r>
          </w:p>
        </w:tc>
        <w:tc>
          <w:tcPr>
            <w:tcW w:w="1370" w:type="dxa"/>
            <w:tcBorders>
              <w:top w:val="single" w:sz="6" w:space="0" w:color="auto"/>
              <w:left w:val="nil"/>
              <w:bottom w:val="single" w:sz="6" w:space="0" w:color="auto"/>
              <w:right w:val="nil"/>
            </w:tcBorders>
            <w:vAlign w:val="center"/>
            <w:hideMark/>
          </w:tcPr>
          <w:p w14:paraId="6332F17F" w14:textId="02718D49" w:rsidR="0085396D" w:rsidRPr="0085396D" w:rsidRDefault="0085396D" w:rsidP="00A9139A">
            <w:pPr>
              <w:spacing w:before="120" w:after="120" w:line="240" w:lineRule="auto"/>
              <w:jc w:val="center"/>
              <w:rPr>
                <w:lang w:val="en-AU"/>
              </w:rPr>
            </w:pPr>
            <w:r w:rsidRPr="0085396D">
              <w:rPr>
                <w:b/>
                <w:bCs/>
                <w:i/>
                <w:iCs/>
                <w:lang w:val="en-AU"/>
              </w:rPr>
              <w:t>1.32:1</w:t>
            </w:r>
          </w:p>
        </w:tc>
        <w:tc>
          <w:tcPr>
            <w:tcW w:w="1371" w:type="dxa"/>
            <w:tcBorders>
              <w:top w:val="single" w:sz="6" w:space="0" w:color="auto"/>
              <w:left w:val="nil"/>
              <w:bottom w:val="single" w:sz="6" w:space="0" w:color="auto"/>
              <w:right w:val="nil"/>
            </w:tcBorders>
            <w:vAlign w:val="center"/>
            <w:hideMark/>
          </w:tcPr>
          <w:p w14:paraId="34677439" w14:textId="5945D341" w:rsidR="0085396D" w:rsidRPr="0085396D" w:rsidRDefault="0085396D" w:rsidP="00A9139A">
            <w:pPr>
              <w:spacing w:before="120" w:after="120" w:line="240" w:lineRule="auto"/>
              <w:jc w:val="center"/>
              <w:rPr>
                <w:lang w:val="en-AU"/>
              </w:rPr>
            </w:pPr>
            <w:r w:rsidRPr="0085396D">
              <w:rPr>
                <w:b/>
                <w:bCs/>
                <w:i/>
                <w:iCs/>
                <w:lang w:val="en-AU"/>
              </w:rPr>
              <w:t>1.26:1</w:t>
            </w:r>
          </w:p>
        </w:tc>
      </w:tr>
    </w:tbl>
    <w:p w14:paraId="2DC03583" w14:textId="77777777" w:rsidR="0085396D" w:rsidRPr="0085396D" w:rsidRDefault="0085396D" w:rsidP="00603C63">
      <w:pPr>
        <w:spacing w:before="120"/>
        <w:rPr>
          <w:lang w:val="en-AU"/>
        </w:rPr>
      </w:pPr>
      <w:r w:rsidRPr="0085396D">
        <w:rPr>
          <w:lang w:val="en-AU"/>
        </w:rPr>
        <w:t xml:space="preserve">ACT Leave classified the current long service leave liabilities in accordance with the </w:t>
      </w:r>
      <w:r w:rsidRPr="0085396D">
        <w:rPr>
          <w:i/>
          <w:iCs/>
          <w:lang w:val="en-AU"/>
        </w:rPr>
        <w:t>Australian Accounting Standard AASB 101: ‘Presentation of Financial Statements’</w:t>
      </w:r>
      <w:r w:rsidRPr="0085396D">
        <w:rPr>
          <w:lang w:val="en-AU"/>
        </w:rPr>
        <w:t>, which includes the liabilities that ACT Leave has no unconditional right to defer within the 12 months after the end of the reporting period. The rest of the long service leave liability is then classified as non-current.   </w:t>
      </w:r>
    </w:p>
    <w:p w14:paraId="41D1A4C0" w14:textId="77777777" w:rsidR="0085396D" w:rsidRPr="0085396D" w:rsidRDefault="0085396D" w:rsidP="00603C63">
      <w:pPr>
        <w:rPr>
          <w:lang w:val="en-AU"/>
        </w:rPr>
      </w:pPr>
      <w:r w:rsidRPr="0085396D">
        <w:rPr>
          <w:lang w:val="en-AU"/>
        </w:rPr>
        <w:t>The Building and Construction Industry Scheme’s current ratio at 30 June 2026 is 1.47:1, which is consistent with the actual current ratio at 30 June 2025, and higher than the budgeted ratio at 30 June 2026. The scheme’s liquidity ratio is expected to decrease over the next three years. The Building and Construction Industry Scheme has sufficient assets to cover liabilities in the short term and future years.  </w:t>
      </w:r>
    </w:p>
    <w:p w14:paraId="22AA4280" w14:textId="77777777" w:rsidR="0085396D" w:rsidRPr="0085396D" w:rsidRDefault="0085396D" w:rsidP="00454AC2">
      <w:pPr>
        <w:pStyle w:val="Heading4"/>
      </w:pPr>
      <w:r w:rsidRPr="0085396D">
        <w:t>Services Industry Scheme  </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1370"/>
        <w:gridCol w:w="1370"/>
        <w:gridCol w:w="1371"/>
        <w:gridCol w:w="1370"/>
        <w:gridCol w:w="1370"/>
        <w:gridCol w:w="1371"/>
      </w:tblGrid>
      <w:tr w:rsidR="0085396D" w:rsidRPr="0085396D" w14:paraId="55FDF861" w14:textId="77777777" w:rsidTr="0016688C">
        <w:trPr>
          <w:trHeight w:val="285"/>
        </w:trPr>
        <w:tc>
          <w:tcPr>
            <w:tcW w:w="1843" w:type="dxa"/>
            <w:tcBorders>
              <w:top w:val="nil"/>
              <w:left w:val="nil"/>
              <w:bottom w:val="single" w:sz="6" w:space="0" w:color="auto"/>
              <w:right w:val="nil"/>
            </w:tcBorders>
            <w:shd w:val="clear" w:color="auto" w:fill="081DA4"/>
            <w:tcMar>
              <w:left w:w="85" w:type="dxa"/>
            </w:tcMar>
            <w:hideMark/>
          </w:tcPr>
          <w:p w14:paraId="78C5FFCA" w14:textId="77777777" w:rsidR="0085396D" w:rsidRPr="001D0AB1" w:rsidRDefault="0085396D" w:rsidP="000E532B">
            <w:pPr>
              <w:spacing w:before="120" w:after="120" w:line="240" w:lineRule="auto"/>
              <w:rPr>
                <w:color w:val="FFFFFF" w:themeColor="background1"/>
                <w:lang w:val="en-AU"/>
              </w:rPr>
            </w:pPr>
            <w:r w:rsidRPr="001D0AB1">
              <w:rPr>
                <w:b/>
                <w:bCs/>
                <w:color w:val="FFFFFF" w:themeColor="background1"/>
                <w:lang w:val="en-AU"/>
              </w:rPr>
              <w:t>Description </w:t>
            </w:r>
            <w:r w:rsidRPr="001D0AB1">
              <w:rPr>
                <w:color w:val="FFFFFF" w:themeColor="background1"/>
                <w:lang w:val="en-AU"/>
              </w:rPr>
              <w:t> </w:t>
            </w:r>
          </w:p>
          <w:p w14:paraId="5EF2D9AC" w14:textId="77777777" w:rsidR="0085396D" w:rsidRPr="001D0AB1" w:rsidRDefault="0085396D" w:rsidP="000E532B">
            <w:pPr>
              <w:spacing w:before="120" w:after="120" w:line="240" w:lineRule="auto"/>
              <w:rPr>
                <w:color w:val="FFFFFF" w:themeColor="background1"/>
                <w:lang w:val="en-AU"/>
              </w:rPr>
            </w:pPr>
            <w:r w:rsidRPr="001D0AB1">
              <w:rPr>
                <w:b/>
                <w:bCs/>
                <w:color w:val="FFFFFF" w:themeColor="background1"/>
                <w:lang w:val="en-AU"/>
              </w:rPr>
              <w:t> </w:t>
            </w:r>
            <w:r w:rsidRPr="001D0AB1">
              <w:rPr>
                <w:color w:val="FFFFFF" w:themeColor="background1"/>
                <w:lang w:val="en-AU"/>
              </w:rPr>
              <w:t> </w:t>
            </w:r>
          </w:p>
          <w:p w14:paraId="25958DE7" w14:textId="77777777" w:rsidR="0085396D" w:rsidRPr="001D0AB1" w:rsidRDefault="0085396D" w:rsidP="000E532B">
            <w:pPr>
              <w:spacing w:before="120" w:after="120" w:line="240" w:lineRule="auto"/>
              <w:rPr>
                <w:color w:val="FFFFFF" w:themeColor="background1"/>
                <w:lang w:val="en-AU"/>
              </w:rPr>
            </w:pPr>
            <w:r w:rsidRPr="001D0AB1">
              <w:rPr>
                <w:b/>
                <w:bCs/>
                <w:color w:val="FFFFFF" w:themeColor="background1"/>
                <w:lang w:val="en-AU"/>
              </w:rPr>
              <w:t> </w:t>
            </w:r>
            <w:r w:rsidRPr="001D0AB1">
              <w:rPr>
                <w:color w:val="FFFFFF" w:themeColor="background1"/>
                <w:lang w:val="en-AU"/>
              </w:rPr>
              <w:t> </w:t>
            </w:r>
          </w:p>
          <w:p w14:paraId="75719867" w14:textId="77777777" w:rsidR="0085396D" w:rsidRPr="001D0AB1" w:rsidRDefault="0085396D" w:rsidP="000E532B">
            <w:pPr>
              <w:spacing w:before="120" w:after="120" w:line="240" w:lineRule="auto"/>
              <w:rPr>
                <w:color w:val="FFFFFF" w:themeColor="background1"/>
                <w:lang w:val="en-AU"/>
              </w:rPr>
            </w:pPr>
            <w:r w:rsidRPr="001D0AB1">
              <w:rPr>
                <w:b/>
                <w:bCs/>
                <w:color w:val="FFFFFF" w:themeColor="background1"/>
                <w:lang w:val="en-AU"/>
              </w:rPr>
              <w:t> </w:t>
            </w:r>
            <w:r w:rsidRPr="001D0AB1">
              <w:rPr>
                <w:color w:val="FFFFFF" w:themeColor="background1"/>
                <w:lang w:val="en-AU"/>
              </w:rPr>
              <w:t> </w:t>
            </w:r>
          </w:p>
          <w:p w14:paraId="21F09E2E" w14:textId="77777777" w:rsidR="0085396D" w:rsidRPr="001D0AB1" w:rsidRDefault="0085396D" w:rsidP="000E532B">
            <w:pPr>
              <w:spacing w:before="120" w:after="120" w:line="240" w:lineRule="auto"/>
              <w:rPr>
                <w:color w:val="FFFFFF" w:themeColor="background1"/>
                <w:lang w:val="en-AU"/>
              </w:rPr>
            </w:pPr>
            <w:r w:rsidRPr="001D0AB1">
              <w:rPr>
                <w:b/>
                <w:bCs/>
                <w:color w:val="FFFFFF" w:themeColor="background1"/>
                <w:lang w:val="en-AU"/>
              </w:rPr>
              <w:t>At 30 June </w:t>
            </w:r>
            <w:r w:rsidRPr="001D0AB1">
              <w:rPr>
                <w:color w:val="FFFFFF" w:themeColor="background1"/>
                <w:lang w:val="en-AU"/>
              </w:rPr>
              <w:t> </w:t>
            </w:r>
          </w:p>
        </w:tc>
        <w:tc>
          <w:tcPr>
            <w:tcW w:w="1370" w:type="dxa"/>
            <w:tcBorders>
              <w:top w:val="nil"/>
              <w:left w:val="nil"/>
              <w:bottom w:val="single" w:sz="6" w:space="0" w:color="auto"/>
              <w:right w:val="nil"/>
            </w:tcBorders>
            <w:shd w:val="clear" w:color="auto" w:fill="081DA4"/>
            <w:hideMark/>
          </w:tcPr>
          <w:p w14:paraId="26F120CE" w14:textId="7D3B7EF0" w:rsidR="0085396D" w:rsidRPr="001D0AB1" w:rsidRDefault="0085396D" w:rsidP="000E532B">
            <w:pPr>
              <w:spacing w:before="120" w:after="120" w:line="240" w:lineRule="auto"/>
              <w:jc w:val="center"/>
              <w:rPr>
                <w:color w:val="FFFFFF" w:themeColor="background1"/>
                <w:lang w:val="en-AU"/>
              </w:rPr>
            </w:pPr>
            <w:r w:rsidRPr="001D0AB1">
              <w:rPr>
                <w:b/>
                <w:bCs/>
                <w:color w:val="FFFFFF" w:themeColor="background1"/>
                <w:lang w:val="en-AU"/>
              </w:rPr>
              <w:t>Prior</w:t>
            </w:r>
          </w:p>
          <w:p w14:paraId="0B844D5D" w14:textId="6E81C149" w:rsidR="0085396D" w:rsidRPr="001D0AB1" w:rsidRDefault="0085396D" w:rsidP="000E532B">
            <w:pPr>
              <w:spacing w:before="120" w:after="120" w:line="240" w:lineRule="auto"/>
              <w:jc w:val="center"/>
              <w:rPr>
                <w:color w:val="FFFFFF" w:themeColor="background1"/>
                <w:lang w:val="en-AU"/>
              </w:rPr>
            </w:pPr>
            <w:r w:rsidRPr="001D0AB1">
              <w:rPr>
                <w:b/>
                <w:bCs/>
                <w:color w:val="FFFFFF" w:themeColor="background1"/>
                <w:lang w:val="en-AU"/>
              </w:rPr>
              <w:t>Year</w:t>
            </w:r>
          </w:p>
          <w:p w14:paraId="6D98AA0C" w14:textId="02E0F05B" w:rsidR="0085396D" w:rsidRPr="001D0AB1" w:rsidRDefault="0085396D" w:rsidP="000E532B">
            <w:pPr>
              <w:spacing w:before="120" w:after="120" w:line="240" w:lineRule="auto"/>
              <w:jc w:val="center"/>
              <w:rPr>
                <w:color w:val="FFFFFF" w:themeColor="background1"/>
                <w:lang w:val="en-AU"/>
              </w:rPr>
            </w:pPr>
            <w:r w:rsidRPr="001D0AB1">
              <w:rPr>
                <w:b/>
                <w:bCs/>
                <w:color w:val="FFFFFF" w:themeColor="background1"/>
                <w:lang w:val="en-AU"/>
              </w:rPr>
              <w:t>Actual</w:t>
            </w:r>
          </w:p>
          <w:p w14:paraId="14C07038" w14:textId="0A7176A7" w:rsidR="0085396D" w:rsidRPr="001D0AB1" w:rsidRDefault="0085396D" w:rsidP="000E532B">
            <w:pPr>
              <w:spacing w:before="120" w:after="120" w:line="240" w:lineRule="auto"/>
              <w:jc w:val="center"/>
              <w:rPr>
                <w:color w:val="FFFFFF" w:themeColor="background1"/>
                <w:lang w:val="en-AU"/>
              </w:rPr>
            </w:pPr>
            <w:r w:rsidRPr="001D0AB1">
              <w:rPr>
                <w:b/>
                <w:bCs/>
                <w:color w:val="FFFFFF" w:themeColor="background1"/>
                <w:lang w:val="en-AU"/>
              </w:rPr>
              <w:t>2025</w:t>
            </w:r>
          </w:p>
          <w:p w14:paraId="359DD083" w14:textId="3DE1A2DC" w:rsidR="0085396D" w:rsidRPr="001D0AB1" w:rsidRDefault="0085396D" w:rsidP="000E532B">
            <w:pPr>
              <w:spacing w:before="120" w:after="120" w:line="240" w:lineRule="auto"/>
              <w:jc w:val="center"/>
              <w:rPr>
                <w:color w:val="FFFFFF" w:themeColor="background1"/>
                <w:lang w:val="en-AU"/>
              </w:rPr>
            </w:pPr>
            <w:r w:rsidRPr="001D0AB1">
              <w:rPr>
                <w:b/>
                <w:bCs/>
                <w:color w:val="FFFFFF" w:themeColor="background1"/>
                <w:lang w:val="en-AU"/>
              </w:rPr>
              <w:t>$’000s</w:t>
            </w:r>
          </w:p>
        </w:tc>
        <w:tc>
          <w:tcPr>
            <w:tcW w:w="1370" w:type="dxa"/>
            <w:tcBorders>
              <w:top w:val="nil"/>
              <w:left w:val="nil"/>
              <w:bottom w:val="single" w:sz="6" w:space="0" w:color="auto"/>
              <w:right w:val="nil"/>
            </w:tcBorders>
            <w:shd w:val="clear" w:color="auto" w:fill="081DA4"/>
            <w:hideMark/>
          </w:tcPr>
          <w:p w14:paraId="1297FFB4" w14:textId="1431B99E" w:rsidR="001D0AB1" w:rsidRDefault="0085396D" w:rsidP="000E532B">
            <w:pPr>
              <w:spacing w:before="120" w:after="120" w:line="240" w:lineRule="auto"/>
              <w:jc w:val="center"/>
              <w:rPr>
                <w:b/>
                <w:bCs/>
                <w:i/>
                <w:iCs/>
                <w:color w:val="FFFFFF" w:themeColor="background1"/>
                <w:lang w:val="en-AU"/>
              </w:rPr>
            </w:pPr>
            <w:r w:rsidRPr="001D0AB1">
              <w:rPr>
                <w:b/>
                <w:bCs/>
                <w:i/>
                <w:iCs/>
                <w:color w:val="FFFFFF" w:themeColor="background1"/>
                <w:lang w:val="en-AU"/>
              </w:rPr>
              <w:t>Current</w:t>
            </w:r>
          </w:p>
          <w:p w14:paraId="583EC3E2" w14:textId="77777777" w:rsidR="001D0AB1" w:rsidRDefault="0085396D" w:rsidP="000E532B">
            <w:pPr>
              <w:spacing w:before="120" w:after="120" w:line="240" w:lineRule="auto"/>
              <w:jc w:val="center"/>
              <w:rPr>
                <w:b/>
                <w:bCs/>
                <w:i/>
                <w:iCs/>
                <w:color w:val="FFFFFF" w:themeColor="background1"/>
                <w:lang w:val="en-AU"/>
              </w:rPr>
            </w:pPr>
            <w:r w:rsidRPr="001D0AB1">
              <w:rPr>
                <w:b/>
                <w:bCs/>
                <w:i/>
                <w:iCs/>
                <w:color w:val="FFFFFF" w:themeColor="background1"/>
                <w:lang w:val="en-AU"/>
              </w:rPr>
              <w:t>Year</w:t>
            </w:r>
          </w:p>
          <w:p w14:paraId="1E505CEB" w14:textId="77777777" w:rsidR="001D0AB1" w:rsidRDefault="0085396D" w:rsidP="000E532B">
            <w:pPr>
              <w:spacing w:before="120" w:after="120" w:line="240" w:lineRule="auto"/>
              <w:jc w:val="center"/>
              <w:rPr>
                <w:b/>
                <w:bCs/>
                <w:i/>
                <w:iCs/>
                <w:color w:val="FFFFFF" w:themeColor="background1"/>
                <w:lang w:val="en-AU"/>
              </w:rPr>
            </w:pPr>
            <w:r w:rsidRPr="001D0AB1">
              <w:rPr>
                <w:b/>
                <w:bCs/>
                <w:i/>
                <w:iCs/>
                <w:color w:val="FFFFFF" w:themeColor="background1"/>
                <w:lang w:val="en-AU"/>
              </w:rPr>
              <w:t>Budget</w:t>
            </w:r>
          </w:p>
          <w:p w14:paraId="025505F7" w14:textId="52AA9593" w:rsidR="0085396D" w:rsidRPr="001D0AB1" w:rsidRDefault="0085396D" w:rsidP="000E532B">
            <w:pPr>
              <w:spacing w:before="120" w:after="120" w:line="240" w:lineRule="auto"/>
              <w:jc w:val="center"/>
              <w:rPr>
                <w:color w:val="FFFFFF" w:themeColor="background1"/>
                <w:lang w:val="en-AU"/>
              </w:rPr>
            </w:pPr>
            <w:r w:rsidRPr="001D0AB1">
              <w:rPr>
                <w:b/>
                <w:bCs/>
                <w:i/>
                <w:iCs/>
                <w:color w:val="FFFFFF" w:themeColor="background1"/>
                <w:lang w:val="en-AU"/>
              </w:rPr>
              <w:t>2026</w:t>
            </w:r>
          </w:p>
          <w:p w14:paraId="12D27614" w14:textId="75390490" w:rsidR="0085396D" w:rsidRPr="001D0AB1" w:rsidRDefault="0085396D" w:rsidP="000E532B">
            <w:pPr>
              <w:spacing w:before="120" w:after="120" w:line="240" w:lineRule="auto"/>
              <w:jc w:val="center"/>
              <w:rPr>
                <w:color w:val="FFFFFF" w:themeColor="background1"/>
                <w:lang w:val="en-AU"/>
              </w:rPr>
            </w:pPr>
            <w:r w:rsidRPr="001D0AB1">
              <w:rPr>
                <w:b/>
                <w:bCs/>
                <w:i/>
                <w:iCs/>
                <w:color w:val="FFFFFF" w:themeColor="background1"/>
                <w:lang w:val="en-AU"/>
              </w:rPr>
              <w:t>$’000s</w:t>
            </w:r>
          </w:p>
        </w:tc>
        <w:tc>
          <w:tcPr>
            <w:tcW w:w="1371" w:type="dxa"/>
            <w:tcBorders>
              <w:top w:val="nil"/>
              <w:left w:val="nil"/>
              <w:bottom w:val="single" w:sz="6" w:space="0" w:color="auto"/>
              <w:right w:val="nil"/>
            </w:tcBorders>
            <w:shd w:val="clear" w:color="auto" w:fill="081DA4"/>
            <w:hideMark/>
          </w:tcPr>
          <w:p w14:paraId="2F088A3A" w14:textId="2770F230" w:rsidR="0085396D" w:rsidRPr="001D0AB1" w:rsidRDefault="0085396D" w:rsidP="000E532B">
            <w:pPr>
              <w:spacing w:before="120" w:after="120" w:line="240" w:lineRule="auto"/>
              <w:jc w:val="center"/>
              <w:rPr>
                <w:color w:val="FFFFFF" w:themeColor="background1"/>
                <w:lang w:val="en-AU"/>
              </w:rPr>
            </w:pPr>
            <w:r w:rsidRPr="001D0AB1">
              <w:rPr>
                <w:b/>
                <w:bCs/>
                <w:color w:val="FFFFFF" w:themeColor="background1"/>
                <w:lang w:val="en-AU"/>
              </w:rPr>
              <w:t>Current Year</w:t>
            </w:r>
          </w:p>
          <w:p w14:paraId="75AB9CF2" w14:textId="3307E83D" w:rsidR="0085396D" w:rsidRPr="001D0AB1" w:rsidRDefault="0085396D" w:rsidP="000E532B">
            <w:pPr>
              <w:spacing w:before="120" w:after="120" w:line="240" w:lineRule="auto"/>
              <w:jc w:val="center"/>
              <w:rPr>
                <w:color w:val="FFFFFF" w:themeColor="background1"/>
                <w:lang w:val="en-AU"/>
              </w:rPr>
            </w:pPr>
            <w:r w:rsidRPr="001D0AB1">
              <w:rPr>
                <w:b/>
                <w:bCs/>
                <w:color w:val="FFFFFF" w:themeColor="background1"/>
                <w:lang w:val="en-AU"/>
              </w:rPr>
              <w:t>Actual 2026</w:t>
            </w:r>
          </w:p>
          <w:p w14:paraId="53B0F3DD" w14:textId="51654CF7" w:rsidR="0085396D" w:rsidRPr="001D0AB1" w:rsidRDefault="0085396D" w:rsidP="000E532B">
            <w:pPr>
              <w:spacing w:before="120" w:after="120" w:line="240" w:lineRule="auto"/>
              <w:jc w:val="center"/>
              <w:rPr>
                <w:color w:val="FFFFFF" w:themeColor="background1"/>
                <w:lang w:val="en-AU"/>
              </w:rPr>
            </w:pPr>
            <w:r w:rsidRPr="001D0AB1">
              <w:rPr>
                <w:b/>
                <w:bCs/>
                <w:color w:val="FFFFFF" w:themeColor="background1"/>
                <w:lang w:val="en-AU"/>
              </w:rPr>
              <w:t>$’000s</w:t>
            </w:r>
          </w:p>
        </w:tc>
        <w:tc>
          <w:tcPr>
            <w:tcW w:w="1370" w:type="dxa"/>
            <w:tcBorders>
              <w:top w:val="nil"/>
              <w:left w:val="nil"/>
              <w:bottom w:val="single" w:sz="6" w:space="0" w:color="auto"/>
              <w:right w:val="nil"/>
            </w:tcBorders>
            <w:shd w:val="clear" w:color="auto" w:fill="081DA4"/>
            <w:hideMark/>
          </w:tcPr>
          <w:p w14:paraId="2DD09107" w14:textId="77777777" w:rsidR="002A58D8" w:rsidRDefault="0085396D" w:rsidP="002A58D8">
            <w:pPr>
              <w:keepNext/>
              <w:tabs>
                <w:tab w:val="left" w:pos="0"/>
              </w:tabs>
              <w:adjustRightInd w:val="0"/>
              <w:snapToGrid w:val="0"/>
              <w:spacing w:before="120" w:after="0" w:line="360" w:lineRule="auto"/>
              <w:jc w:val="center"/>
              <w:rPr>
                <w:b/>
                <w:bCs/>
                <w:i/>
                <w:iCs/>
                <w:color w:val="FFFFFF" w:themeColor="background1"/>
                <w:lang w:val="en-AU"/>
              </w:rPr>
            </w:pPr>
            <w:r w:rsidRPr="0098403E">
              <w:rPr>
                <w:b/>
                <w:bCs/>
                <w:i/>
                <w:iCs/>
                <w:color w:val="FFFFFF" w:themeColor="background1"/>
                <w:lang w:val="en-AU"/>
              </w:rPr>
              <w:t xml:space="preserve">Forward </w:t>
            </w:r>
          </w:p>
          <w:p w14:paraId="46883A2E" w14:textId="2182B117" w:rsidR="0085396D" w:rsidRPr="0098403E" w:rsidRDefault="0085396D" w:rsidP="002A58D8">
            <w:pPr>
              <w:keepNext/>
              <w:tabs>
                <w:tab w:val="left" w:pos="0"/>
              </w:tabs>
              <w:adjustRightInd w:val="0"/>
              <w:snapToGrid w:val="0"/>
              <w:spacing w:before="120" w:after="0" w:line="360" w:lineRule="auto"/>
              <w:contextualSpacing/>
              <w:jc w:val="center"/>
              <w:rPr>
                <w:b/>
                <w:bCs/>
                <w:i/>
                <w:iCs/>
                <w:color w:val="FFFFFF" w:themeColor="background1"/>
                <w:lang w:val="en-AU"/>
              </w:rPr>
            </w:pPr>
            <w:r w:rsidRPr="0098403E">
              <w:rPr>
                <w:b/>
                <w:bCs/>
                <w:i/>
                <w:iCs/>
                <w:color w:val="FFFFFF" w:themeColor="background1"/>
                <w:lang w:val="en-AU"/>
              </w:rPr>
              <w:t>Year Budget 2027</w:t>
            </w:r>
          </w:p>
          <w:p w14:paraId="732CC8D4" w14:textId="4C9AFAB4" w:rsidR="0085396D" w:rsidRPr="0098403E" w:rsidRDefault="0085396D" w:rsidP="002A58D8">
            <w:pPr>
              <w:keepNext/>
              <w:tabs>
                <w:tab w:val="left" w:pos="0"/>
              </w:tabs>
              <w:adjustRightInd w:val="0"/>
              <w:snapToGrid w:val="0"/>
              <w:spacing w:before="120" w:after="0" w:line="360" w:lineRule="auto"/>
              <w:contextualSpacing/>
              <w:jc w:val="center"/>
              <w:rPr>
                <w:b/>
                <w:bCs/>
                <w:i/>
                <w:iCs/>
                <w:color w:val="FFFFFF" w:themeColor="background1"/>
                <w:lang w:val="en-AU"/>
              </w:rPr>
            </w:pPr>
            <w:r w:rsidRPr="0098403E">
              <w:rPr>
                <w:b/>
                <w:bCs/>
                <w:i/>
                <w:iCs/>
                <w:color w:val="FFFFFF" w:themeColor="background1"/>
                <w:lang w:val="en-AU"/>
              </w:rPr>
              <w:t>$’000s</w:t>
            </w:r>
          </w:p>
        </w:tc>
        <w:tc>
          <w:tcPr>
            <w:tcW w:w="1370" w:type="dxa"/>
            <w:tcBorders>
              <w:top w:val="nil"/>
              <w:left w:val="nil"/>
              <w:bottom w:val="single" w:sz="6" w:space="0" w:color="auto"/>
              <w:right w:val="nil"/>
            </w:tcBorders>
            <w:shd w:val="clear" w:color="auto" w:fill="081DA4"/>
            <w:hideMark/>
          </w:tcPr>
          <w:p w14:paraId="67A72379" w14:textId="77777777" w:rsidR="002A58D8" w:rsidRDefault="0085396D" w:rsidP="002A58D8">
            <w:pPr>
              <w:keepNext/>
              <w:tabs>
                <w:tab w:val="left" w:pos="0"/>
              </w:tabs>
              <w:adjustRightInd w:val="0"/>
              <w:snapToGrid w:val="0"/>
              <w:spacing w:before="120" w:after="0" w:line="360" w:lineRule="auto"/>
              <w:jc w:val="center"/>
              <w:rPr>
                <w:b/>
                <w:bCs/>
                <w:i/>
                <w:iCs/>
                <w:color w:val="FFFFFF" w:themeColor="background1"/>
                <w:lang w:val="en-AU"/>
              </w:rPr>
            </w:pPr>
            <w:r w:rsidRPr="0098403E">
              <w:rPr>
                <w:b/>
                <w:bCs/>
                <w:i/>
                <w:iCs/>
                <w:color w:val="FFFFFF" w:themeColor="background1"/>
                <w:lang w:val="en-AU"/>
              </w:rPr>
              <w:t>Forward</w:t>
            </w:r>
          </w:p>
          <w:p w14:paraId="18217038" w14:textId="28CECD4B" w:rsidR="0085396D" w:rsidRPr="0098403E" w:rsidRDefault="0085396D" w:rsidP="002A58D8">
            <w:pPr>
              <w:keepNext/>
              <w:tabs>
                <w:tab w:val="left" w:pos="0"/>
              </w:tabs>
              <w:adjustRightInd w:val="0"/>
              <w:snapToGrid w:val="0"/>
              <w:spacing w:before="120" w:after="0" w:line="360" w:lineRule="auto"/>
              <w:contextualSpacing/>
              <w:jc w:val="center"/>
              <w:rPr>
                <w:b/>
                <w:bCs/>
                <w:i/>
                <w:iCs/>
                <w:color w:val="FFFFFF" w:themeColor="background1"/>
                <w:lang w:val="en-AU"/>
              </w:rPr>
            </w:pPr>
            <w:r w:rsidRPr="0098403E">
              <w:rPr>
                <w:b/>
                <w:bCs/>
                <w:i/>
                <w:iCs/>
                <w:color w:val="FFFFFF" w:themeColor="background1"/>
                <w:lang w:val="en-AU"/>
              </w:rPr>
              <w:t>Year Budget 2028</w:t>
            </w:r>
          </w:p>
          <w:p w14:paraId="55DAC9EB" w14:textId="7B9AB203" w:rsidR="0085396D" w:rsidRPr="0098403E" w:rsidRDefault="0085396D" w:rsidP="002A58D8">
            <w:pPr>
              <w:keepNext/>
              <w:tabs>
                <w:tab w:val="left" w:pos="0"/>
              </w:tabs>
              <w:adjustRightInd w:val="0"/>
              <w:snapToGrid w:val="0"/>
              <w:spacing w:before="120" w:after="0" w:line="360" w:lineRule="auto"/>
              <w:contextualSpacing/>
              <w:jc w:val="center"/>
              <w:rPr>
                <w:b/>
                <w:bCs/>
                <w:i/>
                <w:iCs/>
                <w:color w:val="FFFFFF" w:themeColor="background1"/>
                <w:lang w:val="en-AU"/>
              </w:rPr>
            </w:pPr>
            <w:r w:rsidRPr="0098403E">
              <w:rPr>
                <w:b/>
                <w:bCs/>
                <w:i/>
                <w:iCs/>
                <w:color w:val="FFFFFF" w:themeColor="background1"/>
                <w:lang w:val="en-AU"/>
              </w:rPr>
              <w:t>$’000s</w:t>
            </w:r>
          </w:p>
        </w:tc>
        <w:tc>
          <w:tcPr>
            <w:tcW w:w="1371" w:type="dxa"/>
            <w:tcBorders>
              <w:top w:val="nil"/>
              <w:left w:val="nil"/>
              <w:bottom w:val="single" w:sz="6" w:space="0" w:color="auto"/>
              <w:right w:val="nil"/>
            </w:tcBorders>
            <w:shd w:val="clear" w:color="auto" w:fill="081DA4"/>
            <w:hideMark/>
          </w:tcPr>
          <w:p w14:paraId="2B6FB0AD" w14:textId="77777777" w:rsidR="002A58D8" w:rsidRDefault="0085396D" w:rsidP="002A58D8">
            <w:pPr>
              <w:keepNext/>
              <w:tabs>
                <w:tab w:val="left" w:pos="0"/>
              </w:tabs>
              <w:adjustRightInd w:val="0"/>
              <w:snapToGrid w:val="0"/>
              <w:spacing w:before="120" w:after="0" w:line="360" w:lineRule="auto"/>
              <w:jc w:val="center"/>
              <w:rPr>
                <w:b/>
                <w:bCs/>
                <w:i/>
                <w:iCs/>
                <w:color w:val="FFFFFF" w:themeColor="background1"/>
                <w:lang w:val="en-AU"/>
              </w:rPr>
            </w:pPr>
            <w:r w:rsidRPr="0098403E">
              <w:rPr>
                <w:b/>
                <w:bCs/>
                <w:i/>
                <w:iCs/>
                <w:color w:val="FFFFFF" w:themeColor="background1"/>
                <w:lang w:val="en-AU"/>
              </w:rPr>
              <w:t xml:space="preserve">Forward </w:t>
            </w:r>
          </w:p>
          <w:p w14:paraId="45811157" w14:textId="3FFEC245" w:rsidR="0085396D" w:rsidRPr="0098403E" w:rsidRDefault="0085396D" w:rsidP="002A58D8">
            <w:pPr>
              <w:keepNext/>
              <w:tabs>
                <w:tab w:val="left" w:pos="0"/>
              </w:tabs>
              <w:adjustRightInd w:val="0"/>
              <w:snapToGrid w:val="0"/>
              <w:spacing w:before="120" w:after="0" w:line="360" w:lineRule="auto"/>
              <w:contextualSpacing/>
              <w:jc w:val="center"/>
              <w:rPr>
                <w:b/>
                <w:bCs/>
                <w:i/>
                <w:iCs/>
                <w:color w:val="FFFFFF" w:themeColor="background1"/>
                <w:lang w:val="en-AU"/>
              </w:rPr>
            </w:pPr>
            <w:r w:rsidRPr="0098403E">
              <w:rPr>
                <w:b/>
                <w:bCs/>
                <w:i/>
                <w:iCs/>
                <w:color w:val="FFFFFF" w:themeColor="background1"/>
                <w:lang w:val="en-AU"/>
              </w:rPr>
              <w:t>Year Budget 2029</w:t>
            </w:r>
          </w:p>
          <w:p w14:paraId="03830FB3" w14:textId="7C20ACAF" w:rsidR="0085396D" w:rsidRPr="0098403E" w:rsidRDefault="0085396D" w:rsidP="002A58D8">
            <w:pPr>
              <w:keepNext/>
              <w:tabs>
                <w:tab w:val="left" w:pos="0"/>
              </w:tabs>
              <w:adjustRightInd w:val="0"/>
              <w:snapToGrid w:val="0"/>
              <w:spacing w:before="120" w:after="0" w:line="360" w:lineRule="auto"/>
              <w:contextualSpacing/>
              <w:jc w:val="center"/>
              <w:rPr>
                <w:b/>
                <w:bCs/>
                <w:i/>
                <w:iCs/>
                <w:color w:val="FFFFFF" w:themeColor="background1"/>
                <w:lang w:val="en-AU"/>
              </w:rPr>
            </w:pPr>
            <w:r w:rsidRPr="0098403E">
              <w:rPr>
                <w:b/>
                <w:bCs/>
                <w:i/>
                <w:iCs/>
                <w:color w:val="FFFFFF" w:themeColor="background1"/>
                <w:lang w:val="en-AU"/>
              </w:rPr>
              <w:t>$’000s</w:t>
            </w:r>
          </w:p>
        </w:tc>
      </w:tr>
      <w:tr w:rsidR="0085396D" w:rsidRPr="0085396D" w14:paraId="3CB10F96" w14:textId="77777777" w:rsidTr="0016688C">
        <w:trPr>
          <w:trHeight w:val="285"/>
        </w:trPr>
        <w:tc>
          <w:tcPr>
            <w:tcW w:w="1843" w:type="dxa"/>
            <w:tcBorders>
              <w:top w:val="single" w:sz="6" w:space="0" w:color="auto"/>
              <w:left w:val="nil"/>
              <w:bottom w:val="single" w:sz="6" w:space="0" w:color="auto"/>
              <w:right w:val="nil"/>
            </w:tcBorders>
            <w:tcMar>
              <w:left w:w="85" w:type="dxa"/>
            </w:tcMar>
            <w:vAlign w:val="bottom"/>
            <w:hideMark/>
          </w:tcPr>
          <w:p w14:paraId="0B2E7D7B" w14:textId="77777777" w:rsidR="0085396D" w:rsidRPr="0085396D" w:rsidRDefault="0085396D" w:rsidP="0085396D">
            <w:pPr>
              <w:spacing w:before="120" w:after="120" w:line="240" w:lineRule="auto"/>
              <w:rPr>
                <w:lang w:val="en-AU"/>
              </w:rPr>
            </w:pPr>
            <w:r w:rsidRPr="0085396D">
              <w:rPr>
                <w:lang w:val="en-AU"/>
              </w:rPr>
              <w:t>Current Assets  </w:t>
            </w:r>
          </w:p>
        </w:tc>
        <w:tc>
          <w:tcPr>
            <w:tcW w:w="1370" w:type="dxa"/>
            <w:tcBorders>
              <w:top w:val="single" w:sz="6" w:space="0" w:color="auto"/>
              <w:left w:val="nil"/>
              <w:bottom w:val="single" w:sz="6" w:space="0" w:color="auto"/>
              <w:right w:val="nil"/>
            </w:tcBorders>
            <w:vAlign w:val="center"/>
            <w:hideMark/>
          </w:tcPr>
          <w:p w14:paraId="11907BCD" w14:textId="6A27DBFD" w:rsidR="0085396D" w:rsidRPr="0085396D" w:rsidRDefault="0085396D" w:rsidP="00A9139A">
            <w:pPr>
              <w:spacing w:before="120" w:after="120" w:line="240" w:lineRule="auto"/>
              <w:jc w:val="center"/>
              <w:rPr>
                <w:lang w:val="en-AU"/>
              </w:rPr>
            </w:pPr>
            <w:r w:rsidRPr="0085396D">
              <w:rPr>
                <w:lang w:val="en-AU"/>
              </w:rPr>
              <w:t>24,498</w:t>
            </w:r>
          </w:p>
        </w:tc>
        <w:tc>
          <w:tcPr>
            <w:tcW w:w="1370" w:type="dxa"/>
            <w:tcBorders>
              <w:top w:val="single" w:sz="6" w:space="0" w:color="auto"/>
              <w:left w:val="nil"/>
              <w:bottom w:val="single" w:sz="6" w:space="0" w:color="auto"/>
              <w:right w:val="nil"/>
            </w:tcBorders>
            <w:vAlign w:val="center"/>
            <w:hideMark/>
          </w:tcPr>
          <w:p w14:paraId="6EEA3013" w14:textId="162F6F73" w:rsidR="0085396D" w:rsidRPr="0085396D" w:rsidRDefault="0085396D" w:rsidP="00A9139A">
            <w:pPr>
              <w:spacing w:before="120" w:after="120" w:line="240" w:lineRule="auto"/>
              <w:jc w:val="center"/>
              <w:rPr>
                <w:lang w:val="en-AU"/>
              </w:rPr>
            </w:pPr>
            <w:r w:rsidRPr="0085396D">
              <w:rPr>
                <w:i/>
                <w:iCs/>
                <w:lang w:val="en-AU"/>
              </w:rPr>
              <w:t>25,547</w:t>
            </w:r>
          </w:p>
        </w:tc>
        <w:tc>
          <w:tcPr>
            <w:tcW w:w="1371" w:type="dxa"/>
            <w:tcBorders>
              <w:top w:val="single" w:sz="6" w:space="0" w:color="auto"/>
              <w:left w:val="nil"/>
              <w:bottom w:val="single" w:sz="6" w:space="0" w:color="auto"/>
              <w:right w:val="nil"/>
            </w:tcBorders>
            <w:vAlign w:val="center"/>
            <w:hideMark/>
          </w:tcPr>
          <w:p w14:paraId="2943497B" w14:textId="34D34FE4" w:rsidR="0085396D" w:rsidRPr="0085396D" w:rsidRDefault="0085396D" w:rsidP="00A9139A">
            <w:pPr>
              <w:spacing w:before="120" w:after="120" w:line="240" w:lineRule="auto"/>
              <w:jc w:val="center"/>
              <w:rPr>
                <w:lang w:val="en-AU"/>
              </w:rPr>
            </w:pPr>
            <w:r w:rsidRPr="0085396D">
              <w:rPr>
                <w:lang w:val="en-AU"/>
              </w:rPr>
              <w:t>24,603</w:t>
            </w:r>
          </w:p>
        </w:tc>
        <w:tc>
          <w:tcPr>
            <w:tcW w:w="1370" w:type="dxa"/>
            <w:tcBorders>
              <w:top w:val="single" w:sz="6" w:space="0" w:color="auto"/>
              <w:left w:val="nil"/>
              <w:bottom w:val="single" w:sz="6" w:space="0" w:color="auto"/>
              <w:right w:val="nil"/>
            </w:tcBorders>
            <w:vAlign w:val="center"/>
            <w:hideMark/>
          </w:tcPr>
          <w:p w14:paraId="1566C1D6" w14:textId="29ACB1C0" w:rsidR="0085396D" w:rsidRPr="0085396D" w:rsidRDefault="0085396D" w:rsidP="00A9139A">
            <w:pPr>
              <w:spacing w:before="120" w:after="120" w:line="240" w:lineRule="auto"/>
              <w:jc w:val="center"/>
              <w:rPr>
                <w:lang w:val="en-AU"/>
              </w:rPr>
            </w:pPr>
            <w:r w:rsidRPr="0085396D">
              <w:rPr>
                <w:i/>
                <w:iCs/>
                <w:lang w:val="en-AU"/>
              </w:rPr>
              <w:t>30,356</w:t>
            </w:r>
          </w:p>
        </w:tc>
        <w:tc>
          <w:tcPr>
            <w:tcW w:w="1370" w:type="dxa"/>
            <w:tcBorders>
              <w:top w:val="single" w:sz="6" w:space="0" w:color="auto"/>
              <w:left w:val="nil"/>
              <w:bottom w:val="single" w:sz="6" w:space="0" w:color="auto"/>
              <w:right w:val="nil"/>
            </w:tcBorders>
            <w:vAlign w:val="center"/>
            <w:hideMark/>
          </w:tcPr>
          <w:p w14:paraId="2226F387" w14:textId="612BD702" w:rsidR="0085396D" w:rsidRPr="0085396D" w:rsidRDefault="0085396D" w:rsidP="00A9139A">
            <w:pPr>
              <w:spacing w:before="120" w:after="120" w:line="240" w:lineRule="auto"/>
              <w:jc w:val="center"/>
              <w:rPr>
                <w:lang w:val="en-AU"/>
              </w:rPr>
            </w:pPr>
            <w:r w:rsidRPr="0085396D">
              <w:rPr>
                <w:i/>
                <w:iCs/>
                <w:lang w:val="en-AU"/>
              </w:rPr>
              <w:t>36,525</w:t>
            </w:r>
          </w:p>
        </w:tc>
        <w:tc>
          <w:tcPr>
            <w:tcW w:w="1371" w:type="dxa"/>
            <w:tcBorders>
              <w:top w:val="single" w:sz="6" w:space="0" w:color="auto"/>
              <w:left w:val="nil"/>
              <w:bottom w:val="single" w:sz="6" w:space="0" w:color="auto"/>
              <w:right w:val="nil"/>
            </w:tcBorders>
            <w:vAlign w:val="center"/>
            <w:hideMark/>
          </w:tcPr>
          <w:p w14:paraId="4B595224" w14:textId="69E453C5" w:rsidR="0085396D" w:rsidRPr="0085396D" w:rsidRDefault="0085396D" w:rsidP="00A9139A">
            <w:pPr>
              <w:spacing w:before="120" w:after="120" w:line="240" w:lineRule="auto"/>
              <w:jc w:val="center"/>
              <w:rPr>
                <w:lang w:val="en-AU"/>
              </w:rPr>
            </w:pPr>
            <w:r w:rsidRPr="0085396D">
              <w:rPr>
                <w:i/>
                <w:iCs/>
                <w:lang w:val="en-AU"/>
              </w:rPr>
              <w:t>43,139</w:t>
            </w:r>
          </w:p>
        </w:tc>
      </w:tr>
      <w:tr w:rsidR="0085396D" w:rsidRPr="0085396D" w14:paraId="10B3120A" w14:textId="77777777" w:rsidTr="0016688C">
        <w:trPr>
          <w:trHeight w:val="285"/>
        </w:trPr>
        <w:tc>
          <w:tcPr>
            <w:tcW w:w="1843" w:type="dxa"/>
            <w:tcBorders>
              <w:top w:val="single" w:sz="6" w:space="0" w:color="auto"/>
              <w:left w:val="nil"/>
              <w:bottom w:val="single" w:sz="6" w:space="0" w:color="auto"/>
              <w:right w:val="nil"/>
            </w:tcBorders>
            <w:shd w:val="clear" w:color="auto" w:fill="F5FBFE"/>
            <w:tcMar>
              <w:left w:w="85" w:type="dxa"/>
            </w:tcMar>
            <w:vAlign w:val="bottom"/>
            <w:hideMark/>
          </w:tcPr>
          <w:p w14:paraId="6FAFC588" w14:textId="77777777" w:rsidR="0085396D" w:rsidRPr="0085396D" w:rsidRDefault="0085396D" w:rsidP="0085396D">
            <w:pPr>
              <w:spacing w:before="120" w:after="120" w:line="240" w:lineRule="auto"/>
              <w:rPr>
                <w:lang w:val="en-AU"/>
              </w:rPr>
            </w:pPr>
            <w:r w:rsidRPr="0085396D">
              <w:rPr>
                <w:lang w:val="en-AU"/>
              </w:rPr>
              <w:t>Current Liabilities  </w:t>
            </w:r>
          </w:p>
        </w:tc>
        <w:tc>
          <w:tcPr>
            <w:tcW w:w="1370" w:type="dxa"/>
            <w:tcBorders>
              <w:top w:val="single" w:sz="6" w:space="0" w:color="auto"/>
              <w:left w:val="nil"/>
              <w:bottom w:val="single" w:sz="6" w:space="0" w:color="auto"/>
              <w:right w:val="nil"/>
            </w:tcBorders>
            <w:shd w:val="clear" w:color="auto" w:fill="F5FBFE"/>
            <w:vAlign w:val="center"/>
            <w:hideMark/>
          </w:tcPr>
          <w:p w14:paraId="4539DCA8" w14:textId="776EA9EB" w:rsidR="0085396D" w:rsidRPr="0085396D" w:rsidRDefault="0085396D" w:rsidP="00A9139A">
            <w:pPr>
              <w:spacing w:before="120" w:after="120" w:line="240" w:lineRule="auto"/>
              <w:jc w:val="center"/>
              <w:rPr>
                <w:lang w:val="en-AU"/>
              </w:rPr>
            </w:pPr>
            <w:r w:rsidRPr="0085396D">
              <w:rPr>
                <w:lang w:val="en-AU"/>
              </w:rPr>
              <w:t>12,194</w:t>
            </w:r>
          </w:p>
        </w:tc>
        <w:tc>
          <w:tcPr>
            <w:tcW w:w="1370" w:type="dxa"/>
            <w:tcBorders>
              <w:top w:val="single" w:sz="6" w:space="0" w:color="auto"/>
              <w:left w:val="nil"/>
              <w:bottom w:val="single" w:sz="6" w:space="0" w:color="auto"/>
              <w:right w:val="nil"/>
            </w:tcBorders>
            <w:shd w:val="clear" w:color="auto" w:fill="F5FBFE"/>
            <w:vAlign w:val="center"/>
            <w:hideMark/>
          </w:tcPr>
          <w:p w14:paraId="57D2E263" w14:textId="6B799826" w:rsidR="0085396D" w:rsidRPr="0085396D" w:rsidRDefault="0085396D" w:rsidP="00A9139A">
            <w:pPr>
              <w:spacing w:before="120" w:after="120" w:line="240" w:lineRule="auto"/>
              <w:jc w:val="center"/>
              <w:rPr>
                <w:lang w:val="en-AU"/>
              </w:rPr>
            </w:pPr>
            <w:r w:rsidRPr="0085396D">
              <w:rPr>
                <w:i/>
                <w:iCs/>
                <w:lang w:val="en-AU"/>
              </w:rPr>
              <w:t>14,359</w:t>
            </w:r>
          </w:p>
        </w:tc>
        <w:tc>
          <w:tcPr>
            <w:tcW w:w="1371" w:type="dxa"/>
            <w:tcBorders>
              <w:top w:val="single" w:sz="6" w:space="0" w:color="auto"/>
              <w:left w:val="nil"/>
              <w:bottom w:val="single" w:sz="6" w:space="0" w:color="auto"/>
              <w:right w:val="nil"/>
            </w:tcBorders>
            <w:shd w:val="clear" w:color="auto" w:fill="F5FBFE"/>
            <w:vAlign w:val="center"/>
            <w:hideMark/>
          </w:tcPr>
          <w:p w14:paraId="5043C322" w14:textId="32CEECB5" w:rsidR="0085396D" w:rsidRPr="0085396D" w:rsidRDefault="0085396D" w:rsidP="00A9139A">
            <w:pPr>
              <w:spacing w:before="120" w:after="120" w:line="240" w:lineRule="auto"/>
              <w:jc w:val="center"/>
              <w:rPr>
                <w:lang w:val="en-AU"/>
              </w:rPr>
            </w:pPr>
            <w:r w:rsidRPr="0085396D">
              <w:rPr>
                <w:lang w:val="en-AU"/>
              </w:rPr>
              <w:t>11,995</w:t>
            </w:r>
          </w:p>
        </w:tc>
        <w:tc>
          <w:tcPr>
            <w:tcW w:w="1370" w:type="dxa"/>
            <w:tcBorders>
              <w:top w:val="single" w:sz="6" w:space="0" w:color="auto"/>
              <w:left w:val="nil"/>
              <w:bottom w:val="single" w:sz="6" w:space="0" w:color="auto"/>
              <w:right w:val="nil"/>
            </w:tcBorders>
            <w:shd w:val="clear" w:color="auto" w:fill="F5FBFE"/>
            <w:vAlign w:val="center"/>
            <w:hideMark/>
          </w:tcPr>
          <w:p w14:paraId="52A1E104" w14:textId="475B9BD1" w:rsidR="0085396D" w:rsidRPr="0085396D" w:rsidRDefault="0085396D" w:rsidP="00A9139A">
            <w:pPr>
              <w:spacing w:before="120" w:after="120" w:line="240" w:lineRule="auto"/>
              <w:jc w:val="center"/>
              <w:rPr>
                <w:lang w:val="en-AU"/>
              </w:rPr>
            </w:pPr>
            <w:r w:rsidRPr="0085396D">
              <w:rPr>
                <w:i/>
                <w:iCs/>
                <w:lang w:val="en-AU"/>
              </w:rPr>
              <w:t>15,201</w:t>
            </w:r>
          </w:p>
        </w:tc>
        <w:tc>
          <w:tcPr>
            <w:tcW w:w="1370" w:type="dxa"/>
            <w:tcBorders>
              <w:top w:val="single" w:sz="6" w:space="0" w:color="auto"/>
              <w:left w:val="nil"/>
              <w:bottom w:val="single" w:sz="6" w:space="0" w:color="auto"/>
              <w:right w:val="nil"/>
            </w:tcBorders>
            <w:shd w:val="clear" w:color="auto" w:fill="F5FBFE"/>
            <w:vAlign w:val="center"/>
            <w:hideMark/>
          </w:tcPr>
          <w:p w14:paraId="27424559" w14:textId="20758662" w:rsidR="0085396D" w:rsidRPr="0085396D" w:rsidRDefault="0085396D" w:rsidP="00A9139A">
            <w:pPr>
              <w:spacing w:before="120" w:after="120" w:line="240" w:lineRule="auto"/>
              <w:jc w:val="center"/>
              <w:rPr>
                <w:lang w:val="en-AU"/>
              </w:rPr>
            </w:pPr>
            <w:r w:rsidRPr="0085396D">
              <w:rPr>
                <w:i/>
                <w:iCs/>
                <w:lang w:val="en-AU"/>
              </w:rPr>
              <w:t>18,263</w:t>
            </w:r>
          </w:p>
        </w:tc>
        <w:tc>
          <w:tcPr>
            <w:tcW w:w="1371" w:type="dxa"/>
            <w:tcBorders>
              <w:top w:val="single" w:sz="6" w:space="0" w:color="auto"/>
              <w:left w:val="nil"/>
              <w:bottom w:val="single" w:sz="6" w:space="0" w:color="auto"/>
              <w:right w:val="nil"/>
            </w:tcBorders>
            <w:shd w:val="clear" w:color="auto" w:fill="F5FBFE"/>
            <w:vAlign w:val="center"/>
            <w:hideMark/>
          </w:tcPr>
          <w:p w14:paraId="346B3A94" w14:textId="57B10ED4" w:rsidR="0085396D" w:rsidRPr="0085396D" w:rsidRDefault="0085396D" w:rsidP="00A9139A">
            <w:pPr>
              <w:spacing w:before="120" w:after="120" w:line="240" w:lineRule="auto"/>
              <w:jc w:val="center"/>
              <w:rPr>
                <w:lang w:val="en-AU"/>
              </w:rPr>
            </w:pPr>
            <w:r w:rsidRPr="0085396D">
              <w:rPr>
                <w:i/>
                <w:iCs/>
                <w:lang w:val="en-AU"/>
              </w:rPr>
              <w:t>21,609</w:t>
            </w:r>
          </w:p>
        </w:tc>
      </w:tr>
      <w:tr w:rsidR="0085396D" w:rsidRPr="0085396D" w14:paraId="1B84FD54" w14:textId="77777777" w:rsidTr="0016688C">
        <w:trPr>
          <w:trHeight w:val="285"/>
        </w:trPr>
        <w:tc>
          <w:tcPr>
            <w:tcW w:w="1843" w:type="dxa"/>
            <w:tcBorders>
              <w:top w:val="single" w:sz="6" w:space="0" w:color="auto"/>
              <w:left w:val="nil"/>
              <w:bottom w:val="single" w:sz="6" w:space="0" w:color="auto"/>
              <w:right w:val="nil"/>
            </w:tcBorders>
            <w:tcMar>
              <w:left w:w="85" w:type="dxa"/>
            </w:tcMar>
            <w:vAlign w:val="bottom"/>
            <w:hideMark/>
          </w:tcPr>
          <w:p w14:paraId="40C7CE0B" w14:textId="77777777" w:rsidR="0085396D" w:rsidRPr="0085396D" w:rsidRDefault="0085396D" w:rsidP="0085396D">
            <w:pPr>
              <w:spacing w:before="120" w:after="120" w:line="240" w:lineRule="auto"/>
              <w:rPr>
                <w:lang w:val="en-AU"/>
              </w:rPr>
            </w:pPr>
            <w:r w:rsidRPr="0085396D">
              <w:rPr>
                <w:lang w:val="en-AU"/>
              </w:rPr>
              <w:t>Current Ratio  </w:t>
            </w:r>
          </w:p>
        </w:tc>
        <w:tc>
          <w:tcPr>
            <w:tcW w:w="1370" w:type="dxa"/>
            <w:tcBorders>
              <w:top w:val="single" w:sz="6" w:space="0" w:color="auto"/>
              <w:left w:val="nil"/>
              <w:bottom w:val="single" w:sz="6" w:space="0" w:color="auto"/>
              <w:right w:val="nil"/>
            </w:tcBorders>
            <w:vAlign w:val="center"/>
            <w:hideMark/>
          </w:tcPr>
          <w:p w14:paraId="4C384F9E" w14:textId="3E92C1D1" w:rsidR="0085396D" w:rsidRPr="0085396D" w:rsidRDefault="0085396D" w:rsidP="00A9139A">
            <w:pPr>
              <w:spacing w:before="120" w:after="120" w:line="240" w:lineRule="auto"/>
              <w:jc w:val="center"/>
              <w:rPr>
                <w:lang w:val="en-AU"/>
              </w:rPr>
            </w:pPr>
            <w:r w:rsidRPr="0085396D">
              <w:rPr>
                <w:b/>
                <w:bCs/>
                <w:lang w:val="en-AU"/>
              </w:rPr>
              <w:t>2.01:1</w:t>
            </w:r>
          </w:p>
        </w:tc>
        <w:tc>
          <w:tcPr>
            <w:tcW w:w="1370" w:type="dxa"/>
            <w:tcBorders>
              <w:top w:val="single" w:sz="6" w:space="0" w:color="auto"/>
              <w:left w:val="nil"/>
              <w:bottom w:val="single" w:sz="6" w:space="0" w:color="auto"/>
              <w:right w:val="nil"/>
            </w:tcBorders>
            <w:vAlign w:val="center"/>
            <w:hideMark/>
          </w:tcPr>
          <w:p w14:paraId="27532F26" w14:textId="1F2250DC" w:rsidR="0085396D" w:rsidRPr="0085396D" w:rsidRDefault="0085396D" w:rsidP="00A9139A">
            <w:pPr>
              <w:spacing w:before="120" w:after="120" w:line="240" w:lineRule="auto"/>
              <w:jc w:val="center"/>
              <w:rPr>
                <w:lang w:val="en-AU"/>
              </w:rPr>
            </w:pPr>
            <w:r w:rsidRPr="0085396D">
              <w:rPr>
                <w:b/>
                <w:bCs/>
                <w:i/>
                <w:iCs/>
                <w:lang w:val="en-AU"/>
              </w:rPr>
              <w:t>1.78:1</w:t>
            </w:r>
          </w:p>
        </w:tc>
        <w:tc>
          <w:tcPr>
            <w:tcW w:w="1371" w:type="dxa"/>
            <w:tcBorders>
              <w:top w:val="single" w:sz="6" w:space="0" w:color="auto"/>
              <w:left w:val="nil"/>
              <w:bottom w:val="single" w:sz="6" w:space="0" w:color="auto"/>
              <w:right w:val="nil"/>
            </w:tcBorders>
            <w:vAlign w:val="center"/>
            <w:hideMark/>
          </w:tcPr>
          <w:p w14:paraId="3D449AF9" w14:textId="0284CAE9" w:rsidR="0085396D" w:rsidRPr="0085396D" w:rsidRDefault="0085396D" w:rsidP="00A9139A">
            <w:pPr>
              <w:spacing w:before="120" w:after="120" w:line="240" w:lineRule="auto"/>
              <w:jc w:val="center"/>
              <w:rPr>
                <w:lang w:val="en-AU"/>
              </w:rPr>
            </w:pPr>
            <w:r w:rsidRPr="0085396D">
              <w:rPr>
                <w:b/>
                <w:bCs/>
                <w:lang w:val="en-AU"/>
              </w:rPr>
              <w:t>2.05:1</w:t>
            </w:r>
          </w:p>
        </w:tc>
        <w:tc>
          <w:tcPr>
            <w:tcW w:w="1370" w:type="dxa"/>
            <w:tcBorders>
              <w:top w:val="single" w:sz="6" w:space="0" w:color="auto"/>
              <w:left w:val="nil"/>
              <w:bottom w:val="single" w:sz="6" w:space="0" w:color="auto"/>
              <w:right w:val="nil"/>
            </w:tcBorders>
            <w:vAlign w:val="center"/>
            <w:hideMark/>
          </w:tcPr>
          <w:p w14:paraId="0BFA17F4" w14:textId="3B690EF5" w:rsidR="0085396D" w:rsidRPr="0085396D" w:rsidRDefault="0085396D" w:rsidP="00A9139A">
            <w:pPr>
              <w:spacing w:before="120" w:after="120" w:line="240" w:lineRule="auto"/>
              <w:jc w:val="center"/>
              <w:rPr>
                <w:lang w:val="en-AU"/>
              </w:rPr>
            </w:pPr>
            <w:r w:rsidRPr="0085396D">
              <w:rPr>
                <w:b/>
                <w:bCs/>
                <w:i/>
                <w:iCs/>
                <w:lang w:val="en-AU"/>
              </w:rPr>
              <w:t>2.00:1</w:t>
            </w:r>
          </w:p>
        </w:tc>
        <w:tc>
          <w:tcPr>
            <w:tcW w:w="1370" w:type="dxa"/>
            <w:tcBorders>
              <w:top w:val="single" w:sz="6" w:space="0" w:color="auto"/>
              <w:left w:val="nil"/>
              <w:bottom w:val="single" w:sz="6" w:space="0" w:color="auto"/>
              <w:right w:val="nil"/>
            </w:tcBorders>
            <w:vAlign w:val="center"/>
            <w:hideMark/>
          </w:tcPr>
          <w:p w14:paraId="1475A8C9" w14:textId="486F9D54" w:rsidR="0085396D" w:rsidRPr="0085396D" w:rsidRDefault="0085396D" w:rsidP="00A9139A">
            <w:pPr>
              <w:spacing w:before="120" w:after="120" w:line="240" w:lineRule="auto"/>
              <w:jc w:val="center"/>
              <w:rPr>
                <w:lang w:val="en-AU"/>
              </w:rPr>
            </w:pPr>
            <w:r w:rsidRPr="0085396D">
              <w:rPr>
                <w:b/>
                <w:bCs/>
                <w:i/>
                <w:iCs/>
                <w:lang w:val="en-AU"/>
              </w:rPr>
              <w:t>2.00:1</w:t>
            </w:r>
          </w:p>
        </w:tc>
        <w:tc>
          <w:tcPr>
            <w:tcW w:w="1371" w:type="dxa"/>
            <w:tcBorders>
              <w:top w:val="single" w:sz="6" w:space="0" w:color="auto"/>
              <w:left w:val="nil"/>
              <w:bottom w:val="single" w:sz="6" w:space="0" w:color="auto"/>
              <w:right w:val="nil"/>
            </w:tcBorders>
            <w:vAlign w:val="center"/>
            <w:hideMark/>
          </w:tcPr>
          <w:p w14:paraId="00D8E2E4" w14:textId="7CF38591" w:rsidR="0085396D" w:rsidRPr="0085396D" w:rsidRDefault="0085396D" w:rsidP="00A9139A">
            <w:pPr>
              <w:spacing w:before="120" w:after="120" w:line="240" w:lineRule="auto"/>
              <w:jc w:val="center"/>
              <w:rPr>
                <w:lang w:val="en-AU"/>
              </w:rPr>
            </w:pPr>
            <w:r w:rsidRPr="0085396D">
              <w:rPr>
                <w:b/>
                <w:bCs/>
                <w:i/>
                <w:iCs/>
                <w:lang w:val="en-AU"/>
              </w:rPr>
              <w:t>2.00:1</w:t>
            </w:r>
          </w:p>
        </w:tc>
      </w:tr>
    </w:tbl>
    <w:p w14:paraId="57F73158" w14:textId="77777777" w:rsidR="0085396D" w:rsidRPr="0085396D" w:rsidRDefault="0085396D" w:rsidP="00603C63">
      <w:pPr>
        <w:spacing w:before="120"/>
        <w:rPr>
          <w:lang w:val="en-AU"/>
        </w:rPr>
      </w:pPr>
      <w:r w:rsidRPr="0085396D">
        <w:rPr>
          <w:lang w:val="en-AU"/>
        </w:rPr>
        <w:t>The Services Industry Scheme’s liquidity ratio remains high. It is expected to decrease in the next year, and to remain stable in the two following years as a result of contribution levy inflows from the new hairdressing and beauty and food and accommodation industries employers and before workers reach an entitlement. The Services Industry Scheme has sufficient assets to cover the short-term liabilities at 30 June 2026 and the future years. </w:t>
      </w:r>
    </w:p>
    <w:p w14:paraId="1A71A092" w14:textId="77777777" w:rsidR="00876602" w:rsidRDefault="00876602">
      <w:pPr>
        <w:spacing w:before="120" w:after="120" w:line="240" w:lineRule="auto"/>
        <w:rPr>
          <w:lang w:val="en-AU"/>
        </w:rPr>
      </w:pPr>
      <w:r>
        <w:rPr>
          <w:lang w:val="en-AU"/>
        </w:rPr>
        <w:br w:type="page"/>
      </w:r>
    </w:p>
    <w:p w14:paraId="70BF3ED1" w14:textId="77777777" w:rsidR="0085396D" w:rsidRPr="0085396D" w:rsidRDefault="0085396D" w:rsidP="00454AC2">
      <w:pPr>
        <w:pStyle w:val="Heading4"/>
      </w:pPr>
      <w:r w:rsidRPr="0085396D">
        <w:lastRenderedPageBreak/>
        <w:t>Community Sector Industry Scheme  </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0"/>
        <w:gridCol w:w="1367"/>
        <w:gridCol w:w="1368"/>
        <w:gridCol w:w="1367"/>
        <w:gridCol w:w="1368"/>
        <w:gridCol w:w="1367"/>
        <w:gridCol w:w="1368"/>
      </w:tblGrid>
      <w:tr w:rsidR="0085396D" w:rsidRPr="0085396D" w14:paraId="1D777593" w14:textId="77777777" w:rsidTr="0016688C">
        <w:trPr>
          <w:trHeight w:val="15"/>
        </w:trPr>
        <w:tc>
          <w:tcPr>
            <w:tcW w:w="1860" w:type="dxa"/>
            <w:tcBorders>
              <w:top w:val="nil"/>
              <w:left w:val="nil"/>
              <w:bottom w:val="single" w:sz="6" w:space="0" w:color="auto"/>
              <w:right w:val="nil"/>
            </w:tcBorders>
            <w:shd w:val="clear" w:color="auto" w:fill="081DA4"/>
            <w:tcMar>
              <w:left w:w="85" w:type="dxa"/>
            </w:tcMar>
            <w:hideMark/>
          </w:tcPr>
          <w:p w14:paraId="73D9D461" w14:textId="77777777" w:rsidR="0085396D" w:rsidRPr="00876602" w:rsidRDefault="0085396D" w:rsidP="0085396D">
            <w:pPr>
              <w:spacing w:before="120" w:after="120" w:line="240" w:lineRule="auto"/>
              <w:rPr>
                <w:color w:val="FFFFFF" w:themeColor="background1"/>
                <w:lang w:val="en-AU"/>
              </w:rPr>
            </w:pPr>
            <w:r w:rsidRPr="00876602">
              <w:rPr>
                <w:b/>
                <w:bCs/>
                <w:color w:val="FFFFFF" w:themeColor="background1"/>
                <w:lang w:val="en-AU"/>
              </w:rPr>
              <w:t>Description </w:t>
            </w:r>
            <w:r w:rsidRPr="00876602">
              <w:rPr>
                <w:color w:val="FFFFFF" w:themeColor="background1"/>
                <w:lang w:val="en-AU"/>
              </w:rPr>
              <w:t> </w:t>
            </w:r>
          </w:p>
          <w:p w14:paraId="06B58235" w14:textId="77777777" w:rsidR="0085396D" w:rsidRPr="00876602" w:rsidRDefault="0085396D" w:rsidP="0085396D">
            <w:pPr>
              <w:spacing w:before="120" w:after="120" w:line="240" w:lineRule="auto"/>
              <w:rPr>
                <w:color w:val="FFFFFF" w:themeColor="background1"/>
                <w:lang w:val="en-AU"/>
              </w:rPr>
            </w:pPr>
            <w:r w:rsidRPr="00876602">
              <w:rPr>
                <w:b/>
                <w:bCs/>
                <w:color w:val="FFFFFF" w:themeColor="background1"/>
                <w:lang w:val="en-AU"/>
              </w:rPr>
              <w:t> </w:t>
            </w:r>
            <w:r w:rsidRPr="00876602">
              <w:rPr>
                <w:color w:val="FFFFFF" w:themeColor="background1"/>
                <w:lang w:val="en-AU"/>
              </w:rPr>
              <w:t> </w:t>
            </w:r>
          </w:p>
          <w:p w14:paraId="7C50CD31" w14:textId="77777777" w:rsidR="0085396D" w:rsidRPr="00876602" w:rsidRDefault="0085396D" w:rsidP="0085396D">
            <w:pPr>
              <w:spacing w:before="120" w:after="120" w:line="240" w:lineRule="auto"/>
              <w:rPr>
                <w:color w:val="FFFFFF" w:themeColor="background1"/>
                <w:lang w:val="en-AU"/>
              </w:rPr>
            </w:pPr>
            <w:r w:rsidRPr="00876602">
              <w:rPr>
                <w:b/>
                <w:bCs/>
                <w:color w:val="FFFFFF" w:themeColor="background1"/>
                <w:lang w:val="en-AU"/>
              </w:rPr>
              <w:t> </w:t>
            </w:r>
            <w:r w:rsidRPr="00876602">
              <w:rPr>
                <w:color w:val="FFFFFF" w:themeColor="background1"/>
                <w:lang w:val="en-AU"/>
              </w:rPr>
              <w:t> </w:t>
            </w:r>
          </w:p>
          <w:p w14:paraId="42DCDBDE" w14:textId="77777777" w:rsidR="0085396D" w:rsidRPr="00876602" w:rsidRDefault="0085396D" w:rsidP="0085396D">
            <w:pPr>
              <w:spacing w:before="120" w:after="120" w:line="240" w:lineRule="auto"/>
              <w:rPr>
                <w:color w:val="FFFFFF" w:themeColor="background1"/>
                <w:lang w:val="en-AU"/>
              </w:rPr>
            </w:pPr>
            <w:r w:rsidRPr="00876602">
              <w:rPr>
                <w:b/>
                <w:bCs/>
                <w:color w:val="FFFFFF" w:themeColor="background1"/>
                <w:lang w:val="en-AU"/>
              </w:rPr>
              <w:t> </w:t>
            </w:r>
            <w:r w:rsidRPr="00876602">
              <w:rPr>
                <w:color w:val="FFFFFF" w:themeColor="background1"/>
                <w:lang w:val="en-AU"/>
              </w:rPr>
              <w:t> </w:t>
            </w:r>
          </w:p>
          <w:p w14:paraId="2DEBB249" w14:textId="77777777" w:rsidR="0085396D" w:rsidRPr="00876602" w:rsidRDefault="0085396D" w:rsidP="0085396D">
            <w:pPr>
              <w:spacing w:before="120" w:after="120" w:line="240" w:lineRule="auto"/>
              <w:rPr>
                <w:color w:val="FFFFFF" w:themeColor="background1"/>
                <w:lang w:val="en-AU"/>
              </w:rPr>
            </w:pPr>
            <w:r w:rsidRPr="00876602">
              <w:rPr>
                <w:b/>
                <w:bCs/>
                <w:color w:val="FFFFFF" w:themeColor="background1"/>
                <w:lang w:val="en-AU"/>
              </w:rPr>
              <w:t>At 30 June </w:t>
            </w:r>
            <w:r w:rsidRPr="00876602">
              <w:rPr>
                <w:color w:val="FFFFFF" w:themeColor="background1"/>
                <w:lang w:val="en-AU"/>
              </w:rPr>
              <w:t> </w:t>
            </w:r>
          </w:p>
        </w:tc>
        <w:tc>
          <w:tcPr>
            <w:tcW w:w="1367" w:type="dxa"/>
            <w:tcBorders>
              <w:top w:val="nil"/>
              <w:left w:val="nil"/>
              <w:bottom w:val="single" w:sz="6" w:space="0" w:color="auto"/>
              <w:right w:val="nil"/>
            </w:tcBorders>
            <w:shd w:val="clear" w:color="auto" w:fill="081DA4"/>
            <w:hideMark/>
          </w:tcPr>
          <w:p w14:paraId="46235DCE" w14:textId="5852B487" w:rsidR="0085396D" w:rsidRPr="00876602" w:rsidRDefault="0085396D" w:rsidP="00876602">
            <w:pPr>
              <w:spacing w:before="120" w:after="120" w:line="240" w:lineRule="auto"/>
              <w:jc w:val="center"/>
              <w:rPr>
                <w:color w:val="FFFFFF" w:themeColor="background1"/>
                <w:lang w:val="en-AU"/>
              </w:rPr>
            </w:pPr>
            <w:r w:rsidRPr="00876602">
              <w:rPr>
                <w:b/>
                <w:bCs/>
                <w:color w:val="FFFFFF" w:themeColor="background1"/>
                <w:lang w:val="en-AU"/>
              </w:rPr>
              <w:t>Prior</w:t>
            </w:r>
          </w:p>
          <w:p w14:paraId="55D28605" w14:textId="77E48518" w:rsidR="0085396D" w:rsidRPr="00876602" w:rsidRDefault="0085396D" w:rsidP="00876602">
            <w:pPr>
              <w:spacing w:before="120" w:after="120" w:line="240" w:lineRule="auto"/>
              <w:jc w:val="center"/>
              <w:rPr>
                <w:color w:val="FFFFFF" w:themeColor="background1"/>
                <w:lang w:val="en-AU"/>
              </w:rPr>
            </w:pPr>
            <w:r w:rsidRPr="00876602">
              <w:rPr>
                <w:b/>
                <w:bCs/>
                <w:color w:val="FFFFFF" w:themeColor="background1"/>
                <w:lang w:val="en-AU"/>
              </w:rPr>
              <w:t>Year</w:t>
            </w:r>
          </w:p>
          <w:p w14:paraId="086C5406" w14:textId="14D2D2B2" w:rsidR="0085396D" w:rsidRPr="00876602" w:rsidRDefault="0085396D" w:rsidP="00876602">
            <w:pPr>
              <w:spacing w:before="120" w:after="120" w:line="240" w:lineRule="auto"/>
              <w:jc w:val="center"/>
              <w:rPr>
                <w:color w:val="FFFFFF" w:themeColor="background1"/>
                <w:lang w:val="en-AU"/>
              </w:rPr>
            </w:pPr>
            <w:r w:rsidRPr="00876602">
              <w:rPr>
                <w:b/>
                <w:bCs/>
                <w:color w:val="FFFFFF" w:themeColor="background1"/>
                <w:lang w:val="en-AU"/>
              </w:rPr>
              <w:t>Actual</w:t>
            </w:r>
          </w:p>
          <w:p w14:paraId="3EE0145D" w14:textId="76E9BC92" w:rsidR="0085396D" w:rsidRPr="00876602" w:rsidRDefault="0085396D" w:rsidP="00876602">
            <w:pPr>
              <w:spacing w:before="120" w:after="120" w:line="240" w:lineRule="auto"/>
              <w:jc w:val="center"/>
              <w:rPr>
                <w:color w:val="FFFFFF" w:themeColor="background1"/>
                <w:lang w:val="en-AU"/>
              </w:rPr>
            </w:pPr>
            <w:r w:rsidRPr="00876602">
              <w:rPr>
                <w:b/>
                <w:bCs/>
                <w:color w:val="FFFFFF" w:themeColor="background1"/>
                <w:lang w:val="en-AU"/>
              </w:rPr>
              <w:t>2025</w:t>
            </w:r>
          </w:p>
          <w:p w14:paraId="357A17BE" w14:textId="7FF418EF" w:rsidR="0085396D" w:rsidRPr="00876602" w:rsidRDefault="0085396D" w:rsidP="00876602">
            <w:pPr>
              <w:spacing w:before="120" w:after="120" w:line="240" w:lineRule="auto"/>
              <w:jc w:val="center"/>
              <w:rPr>
                <w:color w:val="FFFFFF" w:themeColor="background1"/>
                <w:lang w:val="en-AU"/>
              </w:rPr>
            </w:pPr>
            <w:r w:rsidRPr="00876602">
              <w:rPr>
                <w:b/>
                <w:bCs/>
                <w:color w:val="FFFFFF" w:themeColor="background1"/>
                <w:lang w:val="en-AU"/>
              </w:rPr>
              <w:t>$’000s</w:t>
            </w:r>
          </w:p>
        </w:tc>
        <w:tc>
          <w:tcPr>
            <w:tcW w:w="1368" w:type="dxa"/>
            <w:tcBorders>
              <w:top w:val="nil"/>
              <w:left w:val="nil"/>
              <w:bottom w:val="single" w:sz="6" w:space="0" w:color="auto"/>
              <w:right w:val="nil"/>
            </w:tcBorders>
            <w:shd w:val="clear" w:color="auto" w:fill="081DA4"/>
            <w:hideMark/>
          </w:tcPr>
          <w:p w14:paraId="56BD15EB" w14:textId="77777777" w:rsidR="00876602" w:rsidRDefault="0085396D" w:rsidP="00876602">
            <w:pPr>
              <w:spacing w:before="120" w:after="120" w:line="240" w:lineRule="auto"/>
              <w:jc w:val="center"/>
              <w:rPr>
                <w:b/>
                <w:bCs/>
                <w:i/>
                <w:iCs/>
                <w:color w:val="FFFFFF" w:themeColor="background1"/>
                <w:lang w:val="en-AU"/>
              </w:rPr>
            </w:pPr>
            <w:r w:rsidRPr="00876602">
              <w:rPr>
                <w:b/>
                <w:bCs/>
                <w:i/>
                <w:iCs/>
                <w:color w:val="FFFFFF" w:themeColor="background1"/>
                <w:lang w:val="en-AU"/>
              </w:rPr>
              <w:t xml:space="preserve">Current </w:t>
            </w:r>
          </w:p>
          <w:p w14:paraId="48C4D1CD" w14:textId="77777777" w:rsidR="00876602" w:rsidRDefault="0085396D" w:rsidP="00876602">
            <w:pPr>
              <w:spacing w:before="120" w:after="120" w:line="240" w:lineRule="auto"/>
              <w:jc w:val="center"/>
              <w:rPr>
                <w:b/>
                <w:bCs/>
                <w:i/>
                <w:iCs/>
                <w:color w:val="FFFFFF" w:themeColor="background1"/>
                <w:lang w:val="en-AU"/>
              </w:rPr>
            </w:pPr>
            <w:r w:rsidRPr="00876602">
              <w:rPr>
                <w:b/>
                <w:bCs/>
                <w:i/>
                <w:iCs/>
                <w:color w:val="FFFFFF" w:themeColor="background1"/>
                <w:lang w:val="en-AU"/>
              </w:rPr>
              <w:t>Year</w:t>
            </w:r>
          </w:p>
          <w:p w14:paraId="0196D485" w14:textId="77777777" w:rsidR="00876602" w:rsidRDefault="0085396D" w:rsidP="00876602">
            <w:pPr>
              <w:spacing w:before="120" w:after="120" w:line="240" w:lineRule="auto"/>
              <w:jc w:val="center"/>
              <w:rPr>
                <w:b/>
                <w:bCs/>
                <w:i/>
                <w:iCs/>
                <w:color w:val="FFFFFF" w:themeColor="background1"/>
                <w:lang w:val="en-AU"/>
              </w:rPr>
            </w:pPr>
            <w:r w:rsidRPr="00876602">
              <w:rPr>
                <w:b/>
                <w:bCs/>
                <w:i/>
                <w:iCs/>
                <w:color w:val="FFFFFF" w:themeColor="background1"/>
                <w:lang w:val="en-AU"/>
              </w:rPr>
              <w:t>Budget</w:t>
            </w:r>
          </w:p>
          <w:p w14:paraId="27ED9357" w14:textId="71D132CD" w:rsidR="0085396D" w:rsidRPr="00876602" w:rsidRDefault="0085396D" w:rsidP="00876602">
            <w:pPr>
              <w:spacing w:before="120" w:after="120" w:line="240" w:lineRule="auto"/>
              <w:jc w:val="center"/>
              <w:rPr>
                <w:color w:val="FFFFFF" w:themeColor="background1"/>
                <w:lang w:val="en-AU"/>
              </w:rPr>
            </w:pPr>
            <w:r w:rsidRPr="00876602">
              <w:rPr>
                <w:b/>
                <w:bCs/>
                <w:i/>
                <w:iCs/>
                <w:color w:val="FFFFFF" w:themeColor="background1"/>
                <w:lang w:val="en-AU"/>
              </w:rPr>
              <w:t>2026</w:t>
            </w:r>
          </w:p>
          <w:p w14:paraId="603A36BD" w14:textId="4CAAC042" w:rsidR="0085396D" w:rsidRPr="00876602" w:rsidRDefault="0085396D" w:rsidP="00876602">
            <w:pPr>
              <w:spacing w:before="120" w:after="120" w:line="240" w:lineRule="auto"/>
              <w:jc w:val="center"/>
              <w:rPr>
                <w:color w:val="FFFFFF" w:themeColor="background1"/>
                <w:lang w:val="en-AU"/>
              </w:rPr>
            </w:pPr>
            <w:r w:rsidRPr="00876602">
              <w:rPr>
                <w:b/>
                <w:bCs/>
                <w:i/>
                <w:iCs/>
                <w:color w:val="FFFFFF" w:themeColor="background1"/>
                <w:lang w:val="en-AU"/>
              </w:rPr>
              <w:t>$’000s</w:t>
            </w:r>
          </w:p>
        </w:tc>
        <w:tc>
          <w:tcPr>
            <w:tcW w:w="1367" w:type="dxa"/>
            <w:tcBorders>
              <w:top w:val="nil"/>
              <w:left w:val="nil"/>
              <w:bottom w:val="single" w:sz="6" w:space="0" w:color="auto"/>
              <w:right w:val="nil"/>
            </w:tcBorders>
            <w:shd w:val="clear" w:color="auto" w:fill="081DA4"/>
            <w:hideMark/>
          </w:tcPr>
          <w:p w14:paraId="3452CB1A" w14:textId="4D9E86BB" w:rsidR="0085396D" w:rsidRPr="00876602" w:rsidRDefault="0085396D" w:rsidP="00876602">
            <w:pPr>
              <w:spacing w:before="120" w:after="120" w:line="240" w:lineRule="auto"/>
              <w:jc w:val="center"/>
              <w:rPr>
                <w:color w:val="FFFFFF" w:themeColor="background1"/>
                <w:lang w:val="en-AU"/>
              </w:rPr>
            </w:pPr>
            <w:r w:rsidRPr="00876602">
              <w:rPr>
                <w:b/>
                <w:bCs/>
                <w:color w:val="FFFFFF" w:themeColor="background1"/>
                <w:lang w:val="en-AU"/>
              </w:rPr>
              <w:t>Current Year</w:t>
            </w:r>
          </w:p>
          <w:p w14:paraId="67466123" w14:textId="55A39D35" w:rsidR="0085396D" w:rsidRPr="00876602" w:rsidRDefault="0085396D" w:rsidP="00876602">
            <w:pPr>
              <w:spacing w:before="120" w:after="120" w:line="240" w:lineRule="auto"/>
              <w:jc w:val="center"/>
              <w:rPr>
                <w:color w:val="FFFFFF" w:themeColor="background1"/>
                <w:lang w:val="en-AU"/>
              </w:rPr>
            </w:pPr>
            <w:r w:rsidRPr="00876602">
              <w:rPr>
                <w:b/>
                <w:bCs/>
                <w:color w:val="FFFFFF" w:themeColor="background1"/>
                <w:lang w:val="en-AU"/>
              </w:rPr>
              <w:t>Actual 2026</w:t>
            </w:r>
          </w:p>
          <w:p w14:paraId="12095A81" w14:textId="00D2DBF7" w:rsidR="0085396D" w:rsidRPr="00876602" w:rsidRDefault="0085396D" w:rsidP="00876602">
            <w:pPr>
              <w:spacing w:before="120" w:after="120" w:line="240" w:lineRule="auto"/>
              <w:jc w:val="center"/>
              <w:rPr>
                <w:color w:val="FFFFFF" w:themeColor="background1"/>
                <w:lang w:val="en-AU"/>
              </w:rPr>
            </w:pPr>
            <w:r w:rsidRPr="00876602">
              <w:rPr>
                <w:b/>
                <w:bCs/>
                <w:color w:val="FFFFFF" w:themeColor="background1"/>
                <w:lang w:val="en-AU"/>
              </w:rPr>
              <w:t>$’000s</w:t>
            </w:r>
          </w:p>
        </w:tc>
        <w:tc>
          <w:tcPr>
            <w:tcW w:w="1368" w:type="dxa"/>
            <w:tcBorders>
              <w:top w:val="nil"/>
              <w:left w:val="nil"/>
              <w:bottom w:val="single" w:sz="6" w:space="0" w:color="auto"/>
              <w:right w:val="nil"/>
            </w:tcBorders>
            <w:shd w:val="clear" w:color="auto" w:fill="081DA4"/>
            <w:hideMark/>
          </w:tcPr>
          <w:p w14:paraId="2969D4C0" w14:textId="77777777" w:rsidR="00876602" w:rsidRDefault="0085396D" w:rsidP="00A9139A">
            <w:pPr>
              <w:keepNext/>
              <w:tabs>
                <w:tab w:val="left" w:pos="0"/>
              </w:tabs>
              <w:adjustRightInd w:val="0"/>
              <w:snapToGrid w:val="0"/>
              <w:spacing w:before="120" w:after="0" w:line="360" w:lineRule="auto"/>
              <w:jc w:val="center"/>
              <w:rPr>
                <w:b/>
                <w:bCs/>
                <w:i/>
                <w:iCs/>
                <w:color w:val="FFFFFF" w:themeColor="background1"/>
                <w:lang w:val="en-AU"/>
              </w:rPr>
            </w:pPr>
            <w:r w:rsidRPr="00876602">
              <w:rPr>
                <w:b/>
                <w:bCs/>
                <w:i/>
                <w:iCs/>
                <w:color w:val="FFFFFF" w:themeColor="background1"/>
                <w:lang w:val="en-AU"/>
              </w:rPr>
              <w:t>Forward</w:t>
            </w:r>
          </w:p>
          <w:p w14:paraId="0BE1B1BA" w14:textId="1BCC218C" w:rsidR="0085396D" w:rsidRPr="00A9139A" w:rsidRDefault="0085396D" w:rsidP="00454AC2">
            <w:pPr>
              <w:keepNext/>
              <w:tabs>
                <w:tab w:val="left" w:pos="0"/>
              </w:tabs>
              <w:adjustRightInd w:val="0"/>
              <w:snapToGrid w:val="0"/>
              <w:spacing w:after="0" w:line="360" w:lineRule="auto"/>
              <w:jc w:val="center"/>
              <w:rPr>
                <w:b/>
                <w:bCs/>
                <w:i/>
                <w:iCs/>
                <w:color w:val="FFFFFF" w:themeColor="background1"/>
                <w:lang w:val="en-AU"/>
              </w:rPr>
            </w:pPr>
            <w:r w:rsidRPr="00876602">
              <w:rPr>
                <w:b/>
                <w:bCs/>
                <w:i/>
                <w:iCs/>
                <w:color w:val="FFFFFF" w:themeColor="background1"/>
                <w:lang w:val="en-AU"/>
              </w:rPr>
              <w:t>Year Budget 2027</w:t>
            </w:r>
          </w:p>
          <w:p w14:paraId="6C6BDC26" w14:textId="12BC3A3E" w:rsidR="0085396D" w:rsidRPr="00A9139A" w:rsidRDefault="0085396D" w:rsidP="00A9139A">
            <w:pPr>
              <w:keepNext/>
              <w:tabs>
                <w:tab w:val="left" w:pos="0"/>
              </w:tabs>
              <w:adjustRightInd w:val="0"/>
              <w:snapToGrid w:val="0"/>
              <w:spacing w:before="120" w:after="0" w:line="360" w:lineRule="auto"/>
              <w:jc w:val="center"/>
              <w:rPr>
                <w:b/>
                <w:bCs/>
                <w:i/>
                <w:iCs/>
                <w:color w:val="FFFFFF" w:themeColor="background1"/>
                <w:lang w:val="en-AU"/>
              </w:rPr>
            </w:pPr>
            <w:r w:rsidRPr="00876602">
              <w:rPr>
                <w:b/>
                <w:bCs/>
                <w:i/>
                <w:iCs/>
                <w:color w:val="FFFFFF" w:themeColor="background1"/>
                <w:lang w:val="en-AU"/>
              </w:rPr>
              <w:t>$’000s</w:t>
            </w:r>
          </w:p>
        </w:tc>
        <w:tc>
          <w:tcPr>
            <w:tcW w:w="1367" w:type="dxa"/>
            <w:tcBorders>
              <w:top w:val="nil"/>
              <w:left w:val="nil"/>
              <w:bottom w:val="single" w:sz="6" w:space="0" w:color="auto"/>
              <w:right w:val="nil"/>
            </w:tcBorders>
            <w:shd w:val="clear" w:color="auto" w:fill="081DA4"/>
            <w:hideMark/>
          </w:tcPr>
          <w:p w14:paraId="36F52B53" w14:textId="77777777" w:rsidR="00876602" w:rsidRDefault="0085396D" w:rsidP="00A9139A">
            <w:pPr>
              <w:keepNext/>
              <w:tabs>
                <w:tab w:val="left" w:pos="0"/>
              </w:tabs>
              <w:adjustRightInd w:val="0"/>
              <w:snapToGrid w:val="0"/>
              <w:spacing w:before="120" w:after="0" w:line="360" w:lineRule="auto"/>
              <w:jc w:val="center"/>
              <w:rPr>
                <w:b/>
                <w:bCs/>
                <w:i/>
                <w:iCs/>
                <w:color w:val="FFFFFF" w:themeColor="background1"/>
                <w:lang w:val="en-AU"/>
              </w:rPr>
            </w:pPr>
            <w:r w:rsidRPr="00876602">
              <w:rPr>
                <w:b/>
                <w:bCs/>
                <w:i/>
                <w:iCs/>
                <w:color w:val="FFFFFF" w:themeColor="background1"/>
                <w:lang w:val="en-AU"/>
              </w:rPr>
              <w:t>Forward</w:t>
            </w:r>
          </w:p>
          <w:p w14:paraId="00E984C3" w14:textId="03964581" w:rsidR="0085396D" w:rsidRPr="00A9139A" w:rsidRDefault="0085396D" w:rsidP="00454AC2">
            <w:pPr>
              <w:keepNext/>
              <w:tabs>
                <w:tab w:val="left" w:pos="0"/>
              </w:tabs>
              <w:adjustRightInd w:val="0"/>
              <w:snapToGrid w:val="0"/>
              <w:spacing w:after="0" w:line="360" w:lineRule="auto"/>
              <w:jc w:val="center"/>
              <w:rPr>
                <w:b/>
                <w:bCs/>
                <w:i/>
                <w:iCs/>
                <w:color w:val="FFFFFF" w:themeColor="background1"/>
                <w:lang w:val="en-AU"/>
              </w:rPr>
            </w:pPr>
            <w:r w:rsidRPr="00876602">
              <w:rPr>
                <w:b/>
                <w:bCs/>
                <w:i/>
                <w:iCs/>
                <w:color w:val="FFFFFF" w:themeColor="background1"/>
                <w:lang w:val="en-AU"/>
              </w:rPr>
              <w:t>Year Budget 2028</w:t>
            </w:r>
          </w:p>
          <w:p w14:paraId="1996D022" w14:textId="287AB030" w:rsidR="0085396D" w:rsidRPr="00A9139A" w:rsidRDefault="0085396D" w:rsidP="00A9139A">
            <w:pPr>
              <w:keepNext/>
              <w:tabs>
                <w:tab w:val="left" w:pos="0"/>
              </w:tabs>
              <w:adjustRightInd w:val="0"/>
              <w:snapToGrid w:val="0"/>
              <w:spacing w:before="120" w:after="0" w:line="360" w:lineRule="auto"/>
              <w:jc w:val="center"/>
              <w:rPr>
                <w:b/>
                <w:bCs/>
                <w:i/>
                <w:iCs/>
                <w:color w:val="FFFFFF" w:themeColor="background1"/>
                <w:lang w:val="en-AU"/>
              </w:rPr>
            </w:pPr>
            <w:r w:rsidRPr="00876602">
              <w:rPr>
                <w:b/>
                <w:bCs/>
                <w:i/>
                <w:iCs/>
                <w:color w:val="FFFFFF" w:themeColor="background1"/>
                <w:lang w:val="en-AU"/>
              </w:rPr>
              <w:t>$’000s</w:t>
            </w:r>
          </w:p>
        </w:tc>
        <w:tc>
          <w:tcPr>
            <w:tcW w:w="1368" w:type="dxa"/>
            <w:tcBorders>
              <w:top w:val="nil"/>
              <w:left w:val="nil"/>
              <w:bottom w:val="single" w:sz="6" w:space="0" w:color="auto"/>
              <w:right w:val="nil"/>
            </w:tcBorders>
            <w:shd w:val="clear" w:color="auto" w:fill="081DA4"/>
            <w:hideMark/>
          </w:tcPr>
          <w:p w14:paraId="7042C98C" w14:textId="77777777" w:rsidR="00876602" w:rsidRDefault="0085396D" w:rsidP="00A9139A">
            <w:pPr>
              <w:keepNext/>
              <w:tabs>
                <w:tab w:val="left" w:pos="0"/>
              </w:tabs>
              <w:adjustRightInd w:val="0"/>
              <w:snapToGrid w:val="0"/>
              <w:spacing w:before="120" w:after="0" w:line="360" w:lineRule="auto"/>
              <w:jc w:val="center"/>
              <w:rPr>
                <w:b/>
                <w:bCs/>
                <w:i/>
                <w:iCs/>
                <w:color w:val="FFFFFF" w:themeColor="background1"/>
                <w:lang w:val="en-AU"/>
              </w:rPr>
            </w:pPr>
            <w:r w:rsidRPr="00876602">
              <w:rPr>
                <w:b/>
                <w:bCs/>
                <w:i/>
                <w:iCs/>
                <w:color w:val="FFFFFF" w:themeColor="background1"/>
                <w:lang w:val="en-AU"/>
              </w:rPr>
              <w:t>Forward</w:t>
            </w:r>
          </w:p>
          <w:p w14:paraId="49BB7108" w14:textId="0195F0C8" w:rsidR="0085396D" w:rsidRPr="00A9139A" w:rsidRDefault="0085396D" w:rsidP="00454AC2">
            <w:pPr>
              <w:keepNext/>
              <w:tabs>
                <w:tab w:val="left" w:pos="0"/>
              </w:tabs>
              <w:adjustRightInd w:val="0"/>
              <w:snapToGrid w:val="0"/>
              <w:spacing w:after="0" w:line="360" w:lineRule="auto"/>
              <w:jc w:val="center"/>
              <w:rPr>
                <w:b/>
                <w:bCs/>
                <w:i/>
                <w:iCs/>
                <w:color w:val="FFFFFF" w:themeColor="background1"/>
                <w:lang w:val="en-AU"/>
              </w:rPr>
            </w:pPr>
            <w:r w:rsidRPr="00876602">
              <w:rPr>
                <w:b/>
                <w:bCs/>
                <w:i/>
                <w:iCs/>
                <w:color w:val="FFFFFF" w:themeColor="background1"/>
                <w:lang w:val="en-AU"/>
              </w:rPr>
              <w:t>Year Budget 2029</w:t>
            </w:r>
          </w:p>
          <w:p w14:paraId="36EC2C97" w14:textId="12F8B600" w:rsidR="0085396D" w:rsidRPr="00A9139A" w:rsidRDefault="0085396D" w:rsidP="00A9139A">
            <w:pPr>
              <w:keepNext/>
              <w:tabs>
                <w:tab w:val="left" w:pos="0"/>
              </w:tabs>
              <w:adjustRightInd w:val="0"/>
              <w:snapToGrid w:val="0"/>
              <w:spacing w:before="120" w:after="0" w:line="360" w:lineRule="auto"/>
              <w:jc w:val="center"/>
              <w:rPr>
                <w:b/>
                <w:bCs/>
                <w:i/>
                <w:iCs/>
                <w:color w:val="FFFFFF" w:themeColor="background1"/>
                <w:lang w:val="en-AU"/>
              </w:rPr>
            </w:pPr>
            <w:r w:rsidRPr="00876602">
              <w:rPr>
                <w:b/>
                <w:bCs/>
                <w:i/>
                <w:iCs/>
                <w:color w:val="FFFFFF" w:themeColor="background1"/>
                <w:lang w:val="en-AU"/>
              </w:rPr>
              <w:t>$’000s</w:t>
            </w:r>
          </w:p>
        </w:tc>
      </w:tr>
      <w:tr w:rsidR="0085396D" w:rsidRPr="0085396D" w14:paraId="26C32EDE" w14:textId="77777777" w:rsidTr="0016688C">
        <w:trPr>
          <w:trHeight w:val="15"/>
        </w:trPr>
        <w:tc>
          <w:tcPr>
            <w:tcW w:w="1860" w:type="dxa"/>
            <w:tcBorders>
              <w:top w:val="single" w:sz="6" w:space="0" w:color="auto"/>
              <w:left w:val="nil"/>
              <w:bottom w:val="single" w:sz="6" w:space="0" w:color="auto"/>
              <w:right w:val="nil"/>
            </w:tcBorders>
            <w:tcMar>
              <w:left w:w="85" w:type="dxa"/>
            </w:tcMar>
            <w:vAlign w:val="bottom"/>
            <w:hideMark/>
          </w:tcPr>
          <w:p w14:paraId="0AE63E48" w14:textId="77777777" w:rsidR="0085396D" w:rsidRPr="0085396D" w:rsidRDefault="0085396D" w:rsidP="0085396D">
            <w:pPr>
              <w:spacing w:before="120" w:after="120" w:line="240" w:lineRule="auto"/>
              <w:rPr>
                <w:lang w:val="en-AU"/>
              </w:rPr>
            </w:pPr>
            <w:r w:rsidRPr="0085396D">
              <w:rPr>
                <w:lang w:val="en-AU"/>
              </w:rPr>
              <w:t>Current Assets </w:t>
            </w:r>
          </w:p>
        </w:tc>
        <w:tc>
          <w:tcPr>
            <w:tcW w:w="1367" w:type="dxa"/>
            <w:tcBorders>
              <w:top w:val="single" w:sz="6" w:space="0" w:color="auto"/>
              <w:left w:val="nil"/>
              <w:bottom w:val="single" w:sz="6" w:space="0" w:color="auto"/>
              <w:right w:val="nil"/>
            </w:tcBorders>
            <w:vAlign w:val="center"/>
            <w:hideMark/>
          </w:tcPr>
          <w:p w14:paraId="3DEFF446" w14:textId="30D8BFBC" w:rsidR="0085396D" w:rsidRPr="0085396D" w:rsidRDefault="0085396D" w:rsidP="00A9139A">
            <w:pPr>
              <w:spacing w:before="120" w:after="120" w:line="240" w:lineRule="auto"/>
              <w:jc w:val="center"/>
              <w:rPr>
                <w:lang w:val="en-AU"/>
              </w:rPr>
            </w:pPr>
            <w:r w:rsidRPr="0085396D">
              <w:rPr>
                <w:lang w:val="en-AU"/>
              </w:rPr>
              <w:t>124,273</w:t>
            </w:r>
          </w:p>
        </w:tc>
        <w:tc>
          <w:tcPr>
            <w:tcW w:w="1368" w:type="dxa"/>
            <w:tcBorders>
              <w:top w:val="single" w:sz="6" w:space="0" w:color="auto"/>
              <w:left w:val="nil"/>
              <w:bottom w:val="single" w:sz="6" w:space="0" w:color="auto"/>
              <w:right w:val="nil"/>
            </w:tcBorders>
            <w:vAlign w:val="center"/>
            <w:hideMark/>
          </w:tcPr>
          <w:p w14:paraId="397AEA09" w14:textId="06406CF6" w:rsidR="0085396D" w:rsidRPr="0085396D" w:rsidRDefault="0085396D" w:rsidP="00A9139A">
            <w:pPr>
              <w:spacing w:before="120" w:after="120" w:line="240" w:lineRule="auto"/>
              <w:jc w:val="center"/>
              <w:rPr>
                <w:lang w:val="en-AU"/>
              </w:rPr>
            </w:pPr>
            <w:r w:rsidRPr="0085396D">
              <w:rPr>
                <w:i/>
                <w:iCs/>
                <w:lang w:val="en-AU"/>
              </w:rPr>
              <w:t>140,954</w:t>
            </w:r>
          </w:p>
        </w:tc>
        <w:tc>
          <w:tcPr>
            <w:tcW w:w="1367" w:type="dxa"/>
            <w:tcBorders>
              <w:top w:val="single" w:sz="6" w:space="0" w:color="auto"/>
              <w:left w:val="nil"/>
              <w:bottom w:val="single" w:sz="6" w:space="0" w:color="auto"/>
              <w:right w:val="nil"/>
            </w:tcBorders>
            <w:vAlign w:val="center"/>
            <w:hideMark/>
          </w:tcPr>
          <w:p w14:paraId="3B71357C" w14:textId="70A0CECA" w:rsidR="0085396D" w:rsidRPr="0085396D" w:rsidRDefault="0085396D" w:rsidP="00A9139A">
            <w:pPr>
              <w:spacing w:before="120" w:after="120" w:line="240" w:lineRule="auto"/>
              <w:jc w:val="center"/>
              <w:rPr>
                <w:lang w:val="en-AU"/>
              </w:rPr>
            </w:pPr>
            <w:r w:rsidRPr="0085396D">
              <w:rPr>
                <w:lang w:val="en-AU"/>
              </w:rPr>
              <w:t>141,721</w:t>
            </w:r>
          </w:p>
        </w:tc>
        <w:tc>
          <w:tcPr>
            <w:tcW w:w="1368" w:type="dxa"/>
            <w:tcBorders>
              <w:top w:val="single" w:sz="6" w:space="0" w:color="auto"/>
              <w:left w:val="nil"/>
              <w:bottom w:val="single" w:sz="6" w:space="0" w:color="auto"/>
              <w:right w:val="nil"/>
            </w:tcBorders>
            <w:vAlign w:val="center"/>
            <w:hideMark/>
          </w:tcPr>
          <w:p w14:paraId="011DA434" w14:textId="642A08C7" w:rsidR="0085396D" w:rsidRPr="0085396D" w:rsidRDefault="0085396D" w:rsidP="00A9139A">
            <w:pPr>
              <w:spacing w:before="120" w:after="120" w:line="240" w:lineRule="auto"/>
              <w:jc w:val="center"/>
              <w:rPr>
                <w:lang w:val="en-AU"/>
              </w:rPr>
            </w:pPr>
            <w:r w:rsidRPr="0085396D">
              <w:rPr>
                <w:i/>
                <w:iCs/>
                <w:lang w:val="en-AU"/>
              </w:rPr>
              <w:t>157,848</w:t>
            </w:r>
          </w:p>
        </w:tc>
        <w:tc>
          <w:tcPr>
            <w:tcW w:w="1367" w:type="dxa"/>
            <w:tcBorders>
              <w:top w:val="single" w:sz="6" w:space="0" w:color="auto"/>
              <w:left w:val="nil"/>
              <w:bottom w:val="single" w:sz="6" w:space="0" w:color="auto"/>
              <w:right w:val="nil"/>
            </w:tcBorders>
            <w:vAlign w:val="center"/>
            <w:hideMark/>
          </w:tcPr>
          <w:p w14:paraId="6930FD4F" w14:textId="3B9F9BA0" w:rsidR="0085396D" w:rsidRPr="0085396D" w:rsidRDefault="0085396D" w:rsidP="00A9139A">
            <w:pPr>
              <w:spacing w:before="120" w:after="120" w:line="240" w:lineRule="auto"/>
              <w:jc w:val="center"/>
              <w:rPr>
                <w:lang w:val="en-AU"/>
              </w:rPr>
            </w:pPr>
            <w:r w:rsidRPr="0085396D">
              <w:rPr>
                <w:i/>
                <w:iCs/>
                <w:lang w:val="en-AU"/>
              </w:rPr>
              <w:t>177,338</w:t>
            </w:r>
          </w:p>
        </w:tc>
        <w:tc>
          <w:tcPr>
            <w:tcW w:w="1368" w:type="dxa"/>
            <w:tcBorders>
              <w:top w:val="single" w:sz="6" w:space="0" w:color="auto"/>
              <w:left w:val="nil"/>
              <w:bottom w:val="single" w:sz="6" w:space="0" w:color="auto"/>
              <w:right w:val="nil"/>
            </w:tcBorders>
            <w:vAlign w:val="center"/>
            <w:hideMark/>
          </w:tcPr>
          <w:p w14:paraId="1772B62A" w14:textId="75222117" w:rsidR="0085396D" w:rsidRPr="0085396D" w:rsidRDefault="0085396D" w:rsidP="00A9139A">
            <w:pPr>
              <w:spacing w:before="120" w:after="120" w:line="240" w:lineRule="auto"/>
              <w:jc w:val="center"/>
              <w:rPr>
                <w:lang w:val="en-AU"/>
              </w:rPr>
            </w:pPr>
            <w:r w:rsidRPr="0085396D">
              <w:rPr>
                <w:i/>
                <w:iCs/>
                <w:lang w:val="en-AU"/>
              </w:rPr>
              <w:t>196,643</w:t>
            </w:r>
          </w:p>
        </w:tc>
      </w:tr>
      <w:tr w:rsidR="0085396D" w:rsidRPr="0085396D" w14:paraId="382BB1BC" w14:textId="77777777" w:rsidTr="0016688C">
        <w:trPr>
          <w:trHeight w:val="15"/>
        </w:trPr>
        <w:tc>
          <w:tcPr>
            <w:tcW w:w="1860" w:type="dxa"/>
            <w:tcBorders>
              <w:top w:val="single" w:sz="6" w:space="0" w:color="auto"/>
              <w:left w:val="nil"/>
              <w:bottom w:val="single" w:sz="6" w:space="0" w:color="auto"/>
              <w:right w:val="nil"/>
            </w:tcBorders>
            <w:shd w:val="clear" w:color="auto" w:fill="F5FBFE"/>
            <w:tcMar>
              <w:left w:w="85" w:type="dxa"/>
            </w:tcMar>
            <w:vAlign w:val="bottom"/>
            <w:hideMark/>
          </w:tcPr>
          <w:p w14:paraId="28E9CAAC" w14:textId="77777777" w:rsidR="0085396D" w:rsidRPr="0085396D" w:rsidRDefault="0085396D" w:rsidP="0085396D">
            <w:pPr>
              <w:spacing w:before="120" w:after="120" w:line="240" w:lineRule="auto"/>
              <w:rPr>
                <w:lang w:val="en-AU"/>
              </w:rPr>
            </w:pPr>
            <w:r w:rsidRPr="0085396D">
              <w:rPr>
                <w:lang w:val="en-AU"/>
              </w:rPr>
              <w:t>Current Liabilities </w:t>
            </w:r>
          </w:p>
        </w:tc>
        <w:tc>
          <w:tcPr>
            <w:tcW w:w="1367" w:type="dxa"/>
            <w:tcBorders>
              <w:top w:val="single" w:sz="6" w:space="0" w:color="auto"/>
              <w:left w:val="nil"/>
              <w:bottom w:val="single" w:sz="6" w:space="0" w:color="auto"/>
              <w:right w:val="nil"/>
            </w:tcBorders>
            <w:shd w:val="clear" w:color="auto" w:fill="F5FBFE"/>
            <w:vAlign w:val="center"/>
            <w:hideMark/>
          </w:tcPr>
          <w:p w14:paraId="2C110206" w14:textId="395C52A3" w:rsidR="0085396D" w:rsidRPr="0085396D" w:rsidRDefault="0085396D" w:rsidP="00A9139A">
            <w:pPr>
              <w:spacing w:before="120" w:after="120" w:line="240" w:lineRule="auto"/>
              <w:jc w:val="center"/>
              <w:rPr>
                <w:lang w:val="en-AU"/>
              </w:rPr>
            </w:pPr>
            <w:r w:rsidRPr="0085396D">
              <w:rPr>
                <w:lang w:val="en-AU"/>
              </w:rPr>
              <w:t>75,351</w:t>
            </w:r>
          </w:p>
        </w:tc>
        <w:tc>
          <w:tcPr>
            <w:tcW w:w="1368" w:type="dxa"/>
            <w:tcBorders>
              <w:top w:val="single" w:sz="6" w:space="0" w:color="auto"/>
              <w:left w:val="nil"/>
              <w:bottom w:val="single" w:sz="6" w:space="0" w:color="auto"/>
              <w:right w:val="nil"/>
            </w:tcBorders>
            <w:shd w:val="clear" w:color="auto" w:fill="F5FBFE"/>
            <w:vAlign w:val="center"/>
            <w:hideMark/>
          </w:tcPr>
          <w:p w14:paraId="23877C58" w14:textId="25DB049E" w:rsidR="0085396D" w:rsidRPr="0085396D" w:rsidRDefault="0085396D" w:rsidP="00A9139A">
            <w:pPr>
              <w:spacing w:before="120" w:after="120" w:line="240" w:lineRule="auto"/>
              <w:jc w:val="center"/>
              <w:rPr>
                <w:lang w:val="en-AU"/>
              </w:rPr>
            </w:pPr>
            <w:r w:rsidRPr="0085396D">
              <w:rPr>
                <w:i/>
                <w:iCs/>
                <w:lang w:val="en-AU"/>
              </w:rPr>
              <w:t>100,873</w:t>
            </w:r>
          </w:p>
        </w:tc>
        <w:tc>
          <w:tcPr>
            <w:tcW w:w="1367" w:type="dxa"/>
            <w:tcBorders>
              <w:top w:val="single" w:sz="6" w:space="0" w:color="auto"/>
              <w:left w:val="nil"/>
              <w:bottom w:val="single" w:sz="6" w:space="0" w:color="auto"/>
              <w:right w:val="nil"/>
            </w:tcBorders>
            <w:shd w:val="clear" w:color="auto" w:fill="F5FBFE"/>
            <w:vAlign w:val="center"/>
            <w:hideMark/>
          </w:tcPr>
          <w:p w14:paraId="1FB9FF7B" w14:textId="5E4CED39" w:rsidR="0085396D" w:rsidRPr="0085396D" w:rsidRDefault="0085396D" w:rsidP="00A9139A">
            <w:pPr>
              <w:spacing w:before="120" w:after="120" w:line="240" w:lineRule="auto"/>
              <w:jc w:val="center"/>
              <w:rPr>
                <w:lang w:val="en-AU"/>
              </w:rPr>
            </w:pPr>
            <w:r w:rsidRPr="0085396D">
              <w:rPr>
                <w:lang w:val="en-AU"/>
              </w:rPr>
              <w:t>86,453</w:t>
            </w:r>
          </w:p>
        </w:tc>
        <w:tc>
          <w:tcPr>
            <w:tcW w:w="1368" w:type="dxa"/>
            <w:tcBorders>
              <w:top w:val="single" w:sz="6" w:space="0" w:color="auto"/>
              <w:left w:val="nil"/>
              <w:bottom w:val="single" w:sz="6" w:space="0" w:color="auto"/>
              <w:right w:val="nil"/>
            </w:tcBorders>
            <w:shd w:val="clear" w:color="auto" w:fill="F5FBFE"/>
            <w:vAlign w:val="center"/>
            <w:hideMark/>
          </w:tcPr>
          <w:p w14:paraId="3D8ADE69" w14:textId="48359D04" w:rsidR="0085396D" w:rsidRPr="0085396D" w:rsidRDefault="0085396D" w:rsidP="00A9139A">
            <w:pPr>
              <w:spacing w:before="120" w:after="120" w:line="240" w:lineRule="auto"/>
              <w:jc w:val="center"/>
              <w:rPr>
                <w:lang w:val="en-AU"/>
              </w:rPr>
            </w:pPr>
            <w:r w:rsidRPr="0085396D">
              <w:rPr>
                <w:i/>
                <w:iCs/>
                <w:lang w:val="en-AU"/>
              </w:rPr>
              <w:t>119,036</w:t>
            </w:r>
          </w:p>
        </w:tc>
        <w:tc>
          <w:tcPr>
            <w:tcW w:w="1367" w:type="dxa"/>
            <w:tcBorders>
              <w:top w:val="single" w:sz="6" w:space="0" w:color="auto"/>
              <w:left w:val="nil"/>
              <w:bottom w:val="single" w:sz="6" w:space="0" w:color="auto"/>
              <w:right w:val="nil"/>
            </w:tcBorders>
            <w:shd w:val="clear" w:color="auto" w:fill="F5FBFE"/>
            <w:vAlign w:val="center"/>
            <w:hideMark/>
          </w:tcPr>
          <w:p w14:paraId="13833BFD" w14:textId="4BD57F37" w:rsidR="0085396D" w:rsidRPr="0085396D" w:rsidRDefault="0085396D" w:rsidP="00A9139A">
            <w:pPr>
              <w:spacing w:before="120" w:after="120" w:line="240" w:lineRule="auto"/>
              <w:jc w:val="center"/>
              <w:rPr>
                <w:lang w:val="en-AU"/>
              </w:rPr>
            </w:pPr>
            <w:r w:rsidRPr="0085396D">
              <w:rPr>
                <w:i/>
                <w:iCs/>
                <w:lang w:val="en-AU"/>
              </w:rPr>
              <w:t>146,112</w:t>
            </w:r>
          </w:p>
        </w:tc>
        <w:tc>
          <w:tcPr>
            <w:tcW w:w="1368" w:type="dxa"/>
            <w:tcBorders>
              <w:top w:val="single" w:sz="6" w:space="0" w:color="auto"/>
              <w:left w:val="nil"/>
              <w:bottom w:val="single" w:sz="6" w:space="0" w:color="auto"/>
              <w:right w:val="nil"/>
            </w:tcBorders>
            <w:shd w:val="clear" w:color="auto" w:fill="F5FBFE"/>
            <w:vAlign w:val="center"/>
            <w:hideMark/>
          </w:tcPr>
          <w:p w14:paraId="2CA10438" w14:textId="587E35E0" w:rsidR="0085396D" w:rsidRPr="0085396D" w:rsidRDefault="0085396D" w:rsidP="00A9139A">
            <w:pPr>
              <w:spacing w:before="120" w:after="120" w:line="240" w:lineRule="auto"/>
              <w:jc w:val="center"/>
              <w:rPr>
                <w:lang w:val="en-AU"/>
              </w:rPr>
            </w:pPr>
            <w:r w:rsidRPr="0085396D">
              <w:rPr>
                <w:i/>
                <w:iCs/>
                <w:lang w:val="en-AU"/>
              </w:rPr>
              <w:t>181,676</w:t>
            </w:r>
          </w:p>
        </w:tc>
      </w:tr>
      <w:tr w:rsidR="0085396D" w:rsidRPr="0085396D" w14:paraId="000E337A" w14:textId="77777777" w:rsidTr="0016688C">
        <w:trPr>
          <w:trHeight w:val="15"/>
        </w:trPr>
        <w:tc>
          <w:tcPr>
            <w:tcW w:w="1860" w:type="dxa"/>
            <w:tcBorders>
              <w:top w:val="single" w:sz="6" w:space="0" w:color="auto"/>
              <w:left w:val="nil"/>
              <w:bottom w:val="single" w:sz="6" w:space="0" w:color="auto"/>
              <w:right w:val="nil"/>
            </w:tcBorders>
            <w:tcMar>
              <w:left w:w="85" w:type="dxa"/>
            </w:tcMar>
            <w:vAlign w:val="bottom"/>
            <w:hideMark/>
          </w:tcPr>
          <w:p w14:paraId="7F4E4785" w14:textId="77777777" w:rsidR="0085396D" w:rsidRPr="0085396D" w:rsidRDefault="0085396D" w:rsidP="0085396D">
            <w:pPr>
              <w:spacing w:before="120" w:after="120" w:line="240" w:lineRule="auto"/>
              <w:rPr>
                <w:lang w:val="en-AU"/>
              </w:rPr>
            </w:pPr>
            <w:r w:rsidRPr="0085396D">
              <w:rPr>
                <w:b/>
                <w:bCs/>
                <w:lang w:val="en-AU"/>
              </w:rPr>
              <w:t>Current Ratio</w:t>
            </w:r>
            <w:r w:rsidRPr="0085396D">
              <w:rPr>
                <w:lang w:val="en-AU"/>
              </w:rPr>
              <w:t> </w:t>
            </w:r>
          </w:p>
        </w:tc>
        <w:tc>
          <w:tcPr>
            <w:tcW w:w="1367" w:type="dxa"/>
            <w:tcBorders>
              <w:top w:val="single" w:sz="6" w:space="0" w:color="auto"/>
              <w:left w:val="nil"/>
              <w:bottom w:val="single" w:sz="6" w:space="0" w:color="auto"/>
              <w:right w:val="nil"/>
            </w:tcBorders>
            <w:vAlign w:val="center"/>
            <w:hideMark/>
          </w:tcPr>
          <w:p w14:paraId="791AAB6E" w14:textId="7CE5A47E" w:rsidR="0085396D" w:rsidRPr="0085396D" w:rsidRDefault="0085396D" w:rsidP="00A9139A">
            <w:pPr>
              <w:spacing w:before="120" w:after="120" w:line="240" w:lineRule="auto"/>
              <w:jc w:val="center"/>
              <w:rPr>
                <w:lang w:val="en-AU"/>
              </w:rPr>
            </w:pPr>
            <w:r w:rsidRPr="0085396D">
              <w:rPr>
                <w:b/>
                <w:bCs/>
                <w:lang w:val="en-AU"/>
              </w:rPr>
              <w:t>1.65:1</w:t>
            </w:r>
          </w:p>
        </w:tc>
        <w:tc>
          <w:tcPr>
            <w:tcW w:w="1368" w:type="dxa"/>
            <w:tcBorders>
              <w:top w:val="single" w:sz="6" w:space="0" w:color="auto"/>
              <w:left w:val="nil"/>
              <w:bottom w:val="single" w:sz="6" w:space="0" w:color="auto"/>
              <w:right w:val="nil"/>
            </w:tcBorders>
            <w:vAlign w:val="center"/>
            <w:hideMark/>
          </w:tcPr>
          <w:p w14:paraId="0F2F8D61" w14:textId="10E478FA" w:rsidR="0085396D" w:rsidRPr="0085396D" w:rsidRDefault="0085396D" w:rsidP="00A9139A">
            <w:pPr>
              <w:spacing w:before="120" w:after="120" w:line="240" w:lineRule="auto"/>
              <w:jc w:val="center"/>
              <w:rPr>
                <w:lang w:val="en-AU"/>
              </w:rPr>
            </w:pPr>
            <w:r w:rsidRPr="0085396D">
              <w:rPr>
                <w:b/>
                <w:bCs/>
                <w:i/>
                <w:iCs/>
                <w:lang w:val="en-AU"/>
              </w:rPr>
              <w:t>1.40:1</w:t>
            </w:r>
          </w:p>
        </w:tc>
        <w:tc>
          <w:tcPr>
            <w:tcW w:w="1367" w:type="dxa"/>
            <w:tcBorders>
              <w:top w:val="single" w:sz="6" w:space="0" w:color="auto"/>
              <w:left w:val="nil"/>
              <w:bottom w:val="single" w:sz="6" w:space="0" w:color="auto"/>
              <w:right w:val="nil"/>
            </w:tcBorders>
            <w:vAlign w:val="center"/>
            <w:hideMark/>
          </w:tcPr>
          <w:p w14:paraId="2E4F83CD" w14:textId="2801C465" w:rsidR="0085396D" w:rsidRPr="0085396D" w:rsidRDefault="0085396D" w:rsidP="00A9139A">
            <w:pPr>
              <w:spacing w:before="120" w:after="120" w:line="240" w:lineRule="auto"/>
              <w:jc w:val="center"/>
              <w:rPr>
                <w:lang w:val="en-AU"/>
              </w:rPr>
            </w:pPr>
            <w:r w:rsidRPr="0085396D">
              <w:rPr>
                <w:b/>
                <w:bCs/>
                <w:lang w:val="en-AU"/>
              </w:rPr>
              <w:t>1.64:1</w:t>
            </w:r>
          </w:p>
        </w:tc>
        <w:tc>
          <w:tcPr>
            <w:tcW w:w="1368" w:type="dxa"/>
            <w:tcBorders>
              <w:top w:val="single" w:sz="6" w:space="0" w:color="auto"/>
              <w:left w:val="nil"/>
              <w:bottom w:val="single" w:sz="6" w:space="0" w:color="auto"/>
              <w:right w:val="nil"/>
            </w:tcBorders>
            <w:vAlign w:val="center"/>
            <w:hideMark/>
          </w:tcPr>
          <w:p w14:paraId="3B8026D7" w14:textId="66D82BA8" w:rsidR="0085396D" w:rsidRPr="0085396D" w:rsidRDefault="0085396D" w:rsidP="00A9139A">
            <w:pPr>
              <w:spacing w:before="120" w:after="120" w:line="240" w:lineRule="auto"/>
              <w:jc w:val="center"/>
              <w:rPr>
                <w:lang w:val="en-AU"/>
              </w:rPr>
            </w:pPr>
            <w:r w:rsidRPr="0085396D">
              <w:rPr>
                <w:b/>
                <w:bCs/>
                <w:i/>
                <w:iCs/>
                <w:lang w:val="en-AU"/>
              </w:rPr>
              <w:t>1.33:1</w:t>
            </w:r>
          </w:p>
        </w:tc>
        <w:tc>
          <w:tcPr>
            <w:tcW w:w="1367" w:type="dxa"/>
            <w:tcBorders>
              <w:top w:val="single" w:sz="6" w:space="0" w:color="auto"/>
              <w:left w:val="nil"/>
              <w:bottom w:val="single" w:sz="6" w:space="0" w:color="auto"/>
              <w:right w:val="nil"/>
            </w:tcBorders>
            <w:vAlign w:val="center"/>
            <w:hideMark/>
          </w:tcPr>
          <w:p w14:paraId="3E5ED801" w14:textId="0E0FCB7D" w:rsidR="0085396D" w:rsidRPr="0085396D" w:rsidRDefault="0085396D" w:rsidP="00A9139A">
            <w:pPr>
              <w:spacing w:before="120" w:after="120" w:line="240" w:lineRule="auto"/>
              <w:jc w:val="center"/>
              <w:rPr>
                <w:lang w:val="en-AU"/>
              </w:rPr>
            </w:pPr>
            <w:r w:rsidRPr="0085396D">
              <w:rPr>
                <w:b/>
                <w:bCs/>
                <w:i/>
                <w:iCs/>
                <w:lang w:val="en-AU"/>
              </w:rPr>
              <w:t>1.21:1</w:t>
            </w:r>
          </w:p>
        </w:tc>
        <w:tc>
          <w:tcPr>
            <w:tcW w:w="1368" w:type="dxa"/>
            <w:tcBorders>
              <w:top w:val="single" w:sz="6" w:space="0" w:color="auto"/>
              <w:left w:val="nil"/>
              <w:bottom w:val="single" w:sz="6" w:space="0" w:color="auto"/>
              <w:right w:val="nil"/>
            </w:tcBorders>
            <w:vAlign w:val="center"/>
            <w:hideMark/>
          </w:tcPr>
          <w:p w14:paraId="5791664B" w14:textId="0EFE2CC4" w:rsidR="0085396D" w:rsidRPr="0085396D" w:rsidRDefault="0085396D" w:rsidP="00A9139A">
            <w:pPr>
              <w:spacing w:before="120" w:after="120" w:line="240" w:lineRule="auto"/>
              <w:jc w:val="center"/>
              <w:rPr>
                <w:lang w:val="en-AU"/>
              </w:rPr>
            </w:pPr>
            <w:r w:rsidRPr="0085396D">
              <w:rPr>
                <w:b/>
                <w:bCs/>
                <w:i/>
                <w:iCs/>
                <w:lang w:val="en-AU"/>
              </w:rPr>
              <w:t>1.08:1</w:t>
            </w:r>
          </w:p>
        </w:tc>
      </w:tr>
    </w:tbl>
    <w:p w14:paraId="3BD975D6" w14:textId="77777777" w:rsidR="0085396D" w:rsidRPr="0085396D" w:rsidRDefault="0085396D" w:rsidP="0016688C">
      <w:pPr>
        <w:spacing w:before="120"/>
        <w:rPr>
          <w:lang w:val="en-AU"/>
        </w:rPr>
      </w:pPr>
      <w:r w:rsidRPr="00454AC2">
        <w:rPr>
          <w:lang w:val="en-AU"/>
        </w:rPr>
        <w:t>The Community Sector Industry Scheme has sufficient assets to meet its short-term debts at 30 June 2026. The current ratio is expected to decline in the next three years as the scheme progressively grows and matures.</w:t>
      </w:r>
      <w:r w:rsidRPr="0085396D">
        <w:rPr>
          <w:lang w:val="en-AU"/>
        </w:rPr>
        <w:t>  </w:t>
      </w:r>
    </w:p>
    <w:p w14:paraId="208A5429" w14:textId="77777777" w:rsidR="0085396D" w:rsidRPr="00454AC2" w:rsidRDefault="0085396D" w:rsidP="00454AC2">
      <w:pPr>
        <w:pStyle w:val="Heading4"/>
      </w:pPr>
      <w:r w:rsidRPr="00454AC2">
        <w:t>Security Industry Scheme  </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1395"/>
        <w:gridCol w:w="1395"/>
        <w:gridCol w:w="1395"/>
        <w:gridCol w:w="1395"/>
        <w:gridCol w:w="1395"/>
        <w:gridCol w:w="1395"/>
      </w:tblGrid>
      <w:tr w:rsidR="0085396D" w:rsidRPr="0085396D" w14:paraId="6D3AD573" w14:textId="77777777" w:rsidTr="0016688C">
        <w:trPr>
          <w:trHeight w:val="285"/>
        </w:trPr>
        <w:tc>
          <w:tcPr>
            <w:tcW w:w="1695" w:type="dxa"/>
            <w:tcBorders>
              <w:top w:val="nil"/>
              <w:left w:val="nil"/>
              <w:bottom w:val="single" w:sz="6" w:space="0" w:color="auto"/>
              <w:right w:val="nil"/>
            </w:tcBorders>
            <w:shd w:val="clear" w:color="auto" w:fill="081DA4"/>
            <w:tcMar>
              <w:left w:w="85" w:type="dxa"/>
            </w:tcMar>
            <w:hideMark/>
          </w:tcPr>
          <w:p w14:paraId="75CB5998" w14:textId="77777777" w:rsidR="0085396D" w:rsidRPr="00A9139A" w:rsidRDefault="0085396D" w:rsidP="0085396D">
            <w:pPr>
              <w:spacing w:before="120" w:after="120" w:line="240" w:lineRule="auto"/>
              <w:rPr>
                <w:color w:val="FFFFFF" w:themeColor="background1"/>
                <w:lang w:val="en-AU"/>
              </w:rPr>
            </w:pPr>
            <w:r w:rsidRPr="00A9139A">
              <w:rPr>
                <w:b/>
                <w:bCs/>
                <w:color w:val="FFFFFF" w:themeColor="background1"/>
                <w:lang w:val="en-AU"/>
              </w:rPr>
              <w:t>Description </w:t>
            </w:r>
            <w:r w:rsidRPr="00A9139A">
              <w:rPr>
                <w:color w:val="FFFFFF" w:themeColor="background1"/>
                <w:lang w:val="en-AU"/>
              </w:rPr>
              <w:t> </w:t>
            </w:r>
          </w:p>
          <w:p w14:paraId="15391EF9" w14:textId="77777777" w:rsidR="0085396D" w:rsidRPr="00A9139A" w:rsidRDefault="0085396D" w:rsidP="0085396D">
            <w:pPr>
              <w:spacing w:before="120" w:after="120" w:line="240" w:lineRule="auto"/>
              <w:rPr>
                <w:color w:val="FFFFFF" w:themeColor="background1"/>
                <w:lang w:val="en-AU"/>
              </w:rPr>
            </w:pPr>
            <w:r w:rsidRPr="00A9139A">
              <w:rPr>
                <w:b/>
                <w:bCs/>
                <w:color w:val="FFFFFF" w:themeColor="background1"/>
                <w:lang w:val="en-AU"/>
              </w:rPr>
              <w:t> </w:t>
            </w:r>
            <w:r w:rsidRPr="00A9139A">
              <w:rPr>
                <w:color w:val="FFFFFF" w:themeColor="background1"/>
                <w:lang w:val="en-AU"/>
              </w:rPr>
              <w:t> </w:t>
            </w:r>
          </w:p>
          <w:p w14:paraId="4B65E895" w14:textId="77777777" w:rsidR="0085396D" w:rsidRPr="00A9139A" w:rsidRDefault="0085396D" w:rsidP="0085396D">
            <w:pPr>
              <w:spacing w:before="120" w:after="120" w:line="240" w:lineRule="auto"/>
              <w:rPr>
                <w:color w:val="FFFFFF" w:themeColor="background1"/>
                <w:lang w:val="en-AU"/>
              </w:rPr>
            </w:pPr>
            <w:r w:rsidRPr="00A9139A">
              <w:rPr>
                <w:b/>
                <w:bCs/>
                <w:color w:val="FFFFFF" w:themeColor="background1"/>
                <w:lang w:val="en-AU"/>
              </w:rPr>
              <w:t> </w:t>
            </w:r>
            <w:r w:rsidRPr="00A9139A">
              <w:rPr>
                <w:color w:val="FFFFFF" w:themeColor="background1"/>
                <w:lang w:val="en-AU"/>
              </w:rPr>
              <w:t> </w:t>
            </w:r>
          </w:p>
          <w:p w14:paraId="1F9889D4" w14:textId="77777777" w:rsidR="0085396D" w:rsidRPr="00A9139A" w:rsidRDefault="0085396D" w:rsidP="0085396D">
            <w:pPr>
              <w:spacing w:before="120" w:after="120" w:line="240" w:lineRule="auto"/>
              <w:rPr>
                <w:color w:val="FFFFFF" w:themeColor="background1"/>
                <w:lang w:val="en-AU"/>
              </w:rPr>
            </w:pPr>
            <w:r w:rsidRPr="00A9139A">
              <w:rPr>
                <w:b/>
                <w:bCs/>
                <w:color w:val="FFFFFF" w:themeColor="background1"/>
                <w:lang w:val="en-AU"/>
              </w:rPr>
              <w:t> </w:t>
            </w:r>
            <w:r w:rsidRPr="00A9139A">
              <w:rPr>
                <w:color w:val="FFFFFF" w:themeColor="background1"/>
                <w:lang w:val="en-AU"/>
              </w:rPr>
              <w:t> </w:t>
            </w:r>
          </w:p>
          <w:p w14:paraId="39EC3A7F" w14:textId="77777777" w:rsidR="0085396D" w:rsidRPr="00A9139A" w:rsidRDefault="0085396D" w:rsidP="0085396D">
            <w:pPr>
              <w:spacing w:before="120" w:after="120" w:line="240" w:lineRule="auto"/>
              <w:rPr>
                <w:color w:val="FFFFFF" w:themeColor="background1"/>
                <w:lang w:val="en-AU"/>
              </w:rPr>
            </w:pPr>
            <w:r w:rsidRPr="00A9139A">
              <w:rPr>
                <w:b/>
                <w:bCs/>
                <w:color w:val="FFFFFF" w:themeColor="background1"/>
                <w:lang w:val="en-AU"/>
              </w:rPr>
              <w:t>At 30 June </w:t>
            </w:r>
            <w:r w:rsidRPr="00A9139A">
              <w:rPr>
                <w:color w:val="FFFFFF" w:themeColor="background1"/>
                <w:lang w:val="en-AU"/>
              </w:rPr>
              <w:t> </w:t>
            </w:r>
          </w:p>
        </w:tc>
        <w:tc>
          <w:tcPr>
            <w:tcW w:w="1395" w:type="dxa"/>
            <w:tcBorders>
              <w:top w:val="nil"/>
              <w:left w:val="nil"/>
              <w:bottom w:val="single" w:sz="6" w:space="0" w:color="auto"/>
              <w:right w:val="nil"/>
            </w:tcBorders>
            <w:shd w:val="clear" w:color="auto" w:fill="081DA4"/>
            <w:hideMark/>
          </w:tcPr>
          <w:p w14:paraId="368CE19F" w14:textId="160FBB10" w:rsidR="0085396D" w:rsidRPr="00A9139A" w:rsidRDefault="0085396D" w:rsidP="00A9139A">
            <w:pPr>
              <w:spacing w:before="120" w:after="120" w:line="240" w:lineRule="auto"/>
              <w:jc w:val="center"/>
              <w:rPr>
                <w:color w:val="FFFFFF" w:themeColor="background1"/>
                <w:lang w:val="en-AU"/>
              </w:rPr>
            </w:pPr>
            <w:r w:rsidRPr="00A9139A">
              <w:rPr>
                <w:b/>
                <w:bCs/>
                <w:color w:val="FFFFFF" w:themeColor="background1"/>
                <w:lang w:val="en-AU"/>
              </w:rPr>
              <w:t>Prior</w:t>
            </w:r>
          </w:p>
          <w:p w14:paraId="55B84F2D" w14:textId="74881027" w:rsidR="0085396D" w:rsidRPr="00A9139A" w:rsidRDefault="0085396D" w:rsidP="00A9139A">
            <w:pPr>
              <w:spacing w:before="120" w:after="120" w:line="240" w:lineRule="auto"/>
              <w:jc w:val="center"/>
              <w:rPr>
                <w:color w:val="FFFFFF" w:themeColor="background1"/>
                <w:lang w:val="en-AU"/>
              </w:rPr>
            </w:pPr>
            <w:r w:rsidRPr="00A9139A">
              <w:rPr>
                <w:b/>
                <w:bCs/>
                <w:color w:val="FFFFFF" w:themeColor="background1"/>
                <w:lang w:val="en-AU"/>
              </w:rPr>
              <w:t>Year</w:t>
            </w:r>
          </w:p>
          <w:p w14:paraId="1AC256F4" w14:textId="22E0A2FA" w:rsidR="0085396D" w:rsidRPr="00A9139A" w:rsidRDefault="0085396D" w:rsidP="00A9139A">
            <w:pPr>
              <w:spacing w:before="120" w:after="120" w:line="240" w:lineRule="auto"/>
              <w:jc w:val="center"/>
              <w:rPr>
                <w:color w:val="FFFFFF" w:themeColor="background1"/>
                <w:lang w:val="en-AU"/>
              </w:rPr>
            </w:pPr>
            <w:r w:rsidRPr="00A9139A">
              <w:rPr>
                <w:b/>
                <w:bCs/>
                <w:color w:val="FFFFFF" w:themeColor="background1"/>
                <w:lang w:val="en-AU"/>
              </w:rPr>
              <w:t>Actual</w:t>
            </w:r>
          </w:p>
          <w:p w14:paraId="2C8E8DCF" w14:textId="1ED91F93" w:rsidR="0085396D" w:rsidRPr="00A9139A" w:rsidRDefault="0085396D" w:rsidP="00A9139A">
            <w:pPr>
              <w:spacing w:before="120" w:after="120" w:line="240" w:lineRule="auto"/>
              <w:jc w:val="center"/>
              <w:rPr>
                <w:color w:val="FFFFFF" w:themeColor="background1"/>
                <w:lang w:val="en-AU"/>
              </w:rPr>
            </w:pPr>
            <w:r w:rsidRPr="00A9139A">
              <w:rPr>
                <w:b/>
                <w:bCs/>
                <w:color w:val="FFFFFF" w:themeColor="background1"/>
                <w:lang w:val="en-AU"/>
              </w:rPr>
              <w:t>2025</w:t>
            </w:r>
          </w:p>
          <w:p w14:paraId="73E2F665" w14:textId="0A9CFA36" w:rsidR="0085396D" w:rsidRPr="00A9139A" w:rsidRDefault="0085396D" w:rsidP="00A9139A">
            <w:pPr>
              <w:spacing w:before="120" w:after="120" w:line="240" w:lineRule="auto"/>
              <w:jc w:val="center"/>
              <w:rPr>
                <w:color w:val="FFFFFF" w:themeColor="background1"/>
                <w:lang w:val="en-AU"/>
              </w:rPr>
            </w:pPr>
            <w:r w:rsidRPr="00A9139A">
              <w:rPr>
                <w:b/>
                <w:bCs/>
                <w:color w:val="FFFFFF" w:themeColor="background1"/>
                <w:lang w:val="en-AU"/>
              </w:rPr>
              <w:t>$’000s</w:t>
            </w:r>
          </w:p>
        </w:tc>
        <w:tc>
          <w:tcPr>
            <w:tcW w:w="1395" w:type="dxa"/>
            <w:tcBorders>
              <w:top w:val="nil"/>
              <w:left w:val="nil"/>
              <w:bottom w:val="single" w:sz="6" w:space="0" w:color="auto"/>
              <w:right w:val="nil"/>
            </w:tcBorders>
            <w:shd w:val="clear" w:color="auto" w:fill="081DA4"/>
            <w:hideMark/>
          </w:tcPr>
          <w:p w14:paraId="066BF259" w14:textId="433798BF" w:rsidR="00A9139A" w:rsidRDefault="0085396D" w:rsidP="00A9139A">
            <w:pPr>
              <w:spacing w:before="120" w:after="120" w:line="240" w:lineRule="auto"/>
              <w:jc w:val="center"/>
              <w:rPr>
                <w:b/>
                <w:bCs/>
                <w:i/>
                <w:iCs/>
                <w:color w:val="FFFFFF" w:themeColor="background1"/>
                <w:lang w:val="en-AU"/>
              </w:rPr>
            </w:pPr>
            <w:r w:rsidRPr="00A9139A">
              <w:rPr>
                <w:b/>
                <w:bCs/>
                <w:i/>
                <w:iCs/>
                <w:color w:val="FFFFFF" w:themeColor="background1"/>
                <w:lang w:val="en-AU"/>
              </w:rPr>
              <w:t>Current</w:t>
            </w:r>
          </w:p>
          <w:p w14:paraId="75D4663C" w14:textId="46EBBAE4" w:rsidR="00A9139A" w:rsidRDefault="0085396D" w:rsidP="00A9139A">
            <w:pPr>
              <w:spacing w:before="120" w:after="120" w:line="240" w:lineRule="auto"/>
              <w:jc w:val="center"/>
              <w:rPr>
                <w:b/>
                <w:bCs/>
                <w:i/>
                <w:iCs/>
                <w:color w:val="FFFFFF" w:themeColor="background1"/>
                <w:lang w:val="en-AU"/>
              </w:rPr>
            </w:pPr>
            <w:r w:rsidRPr="00A9139A">
              <w:rPr>
                <w:b/>
                <w:bCs/>
                <w:i/>
                <w:iCs/>
                <w:color w:val="FFFFFF" w:themeColor="background1"/>
                <w:lang w:val="en-AU"/>
              </w:rPr>
              <w:t>Year</w:t>
            </w:r>
          </w:p>
          <w:p w14:paraId="1C3647D1" w14:textId="5C6D9F0F" w:rsidR="00A9139A" w:rsidRDefault="0085396D" w:rsidP="00A9139A">
            <w:pPr>
              <w:spacing w:before="120" w:after="120" w:line="240" w:lineRule="auto"/>
              <w:jc w:val="center"/>
              <w:rPr>
                <w:b/>
                <w:bCs/>
                <w:i/>
                <w:iCs/>
                <w:color w:val="FFFFFF" w:themeColor="background1"/>
                <w:lang w:val="en-AU"/>
              </w:rPr>
            </w:pPr>
            <w:r w:rsidRPr="00A9139A">
              <w:rPr>
                <w:b/>
                <w:bCs/>
                <w:i/>
                <w:iCs/>
                <w:color w:val="FFFFFF" w:themeColor="background1"/>
                <w:lang w:val="en-AU"/>
              </w:rPr>
              <w:t>Budget</w:t>
            </w:r>
          </w:p>
          <w:p w14:paraId="6513635F" w14:textId="747BE14E" w:rsidR="0085396D" w:rsidRPr="00A9139A" w:rsidRDefault="0085396D" w:rsidP="00A9139A">
            <w:pPr>
              <w:spacing w:before="120" w:after="120" w:line="240" w:lineRule="auto"/>
              <w:jc w:val="center"/>
              <w:rPr>
                <w:color w:val="FFFFFF" w:themeColor="background1"/>
                <w:lang w:val="en-AU"/>
              </w:rPr>
            </w:pPr>
            <w:r w:rsidRPr="00A9139A">
              <w:rPr>
                <w:b/>
                <w:bCs/>
                <w:i/>
                <w:iCs/>
                <w:color w:val="FFFFFF" w:themeColor="background1"/>
                <w:lang w:val="en-AU"/>
              </w:rPr>
              <w:t>2026</w:t>
            </w:r>
          </w:p>
          <w:p w14:paraId="33D815E5" w14:textId="4F7F6BE4" w:rsidR="0085396D" w:rsidRPr="00A9139A" w:rsidRDefault="0085396D" w:rsidP="00A9139A">
            <w:pPr>
              <w:spacing w:before="120" w:after="120" w:line="240" w:lineRule="auto"/>
              <w:jc w:val="center"/>
              <w:rPr>
                <w:color w:val="FFFFFF" w:themeColor="background1"/>
                <w:lang w:val="en-AU"/>
              </w:rPr>
            </w:pPr>
            <w:r w:rsidRPr="00A9139A">
              <w:rPr>
                <w:b/>
                <w:bCs/>
                <w:i/>
                <w:iCs/>
                <w:color w:val="FFFFFF" w:themeColor="background1"/>
                <w:lang w:val="en-AU"/>
              </w:rPr>
              <w:t>$’000s</w:t>
            </w:r>
          </w:p>
        </w:tc>
        <w:tc>
          <w:tcPr>
            <w:tcW w:w="1395" w:type="dxa"/>
            <w:tcBorders>
              <w:top w:val="nil"/>
              <w:left w:val="nil"/>
              <w:bottom w:val="single" w:sz="6" w:space="0" w:color="auto"/>
              <w:right w:val="nil"/>
            </w:tcBorders>
            <w:shd w:val="clear" w:color="auto" w:fill="081DA4"/>
            <w:hideMark/>
          </w:tcPr>
          <w:p w14:paraId="03CCB8A1" w14:textId="665ADBB9" w:rsidR="0085396D" w:rsidRPr="00A9139A" w:rsidRDefault="0085396D" w:rsidP="00A9139A">
            <w:pPr>
              <w:spacing w:before="120" w:after="120" w:line="240" w:lineRule="auto"/>
              <w:jc w:val="center"/>
              <w:rPr>
                <w:color w:val="FFFFFF" w:themeColor="background1"/>
                <w:lang w:val="en-AU"/>
              </w:rPr>
            </w:pPr>
            <w:r w:rsidRPr="00A9139A">
              <w:rPr>
                <w:b/>
                <w:bCs/>
                <w:color w:val="FFFFFF" w:themeColor="background1"/>
                <w:lang w:val="en-AU"/>
              </w:rPr>
              <w:t>Current Year</w:t>
            </w:r>
          </w:p>
          <w:p w14:paraId="5FD3A212" w14:textId="46AC3680" w:rsidR="0085396D" w:rsidRPr="00A9139A" w:rsidRDefault="0085396D" w:rsidP="00A9139A">
            <w:pPr>
              <w:spacing w:before="120" w:after="120" w:line="240" w:lineRule="auto"/>
              <w:jc w:val="center"/>
              <w:rPr>
                <w:color w:val="FFFFFF" w:themeColor="background1"/>
                <w:lang w:val="en-AU"/>
              </w:rPr>
            </w:pPr>
            <w:r w:rsidRPr="00A9139A">
              <w:rPr>
                <w:b/>
                <w:bCs/>
                <w:color w:val="FFFFFF" w:themeColor="background1"/>
                <w:lang w:val="en-AU"/>
              </w:rPr>
              <w:t>Actual 2026</w:t>
            </w:r>
          </w:p>
          <w:p w14:paraId="54FD8579" w14:textId="57B3B4B9" w:rsidR="0085396D" w:rsidRPr="00A9139A" w:rsidRDefault="0085396D" w:rsidP="00A9139A">
            <w:pPr>
              <w:spacing w:before="120" w:after="120" w:line="240" w:lineRule="auto"/>
              <w:jc w:val="center"/>
              <w:rPr>
                <w:color w:val="FFFFFF" w:themeColor="background1"/>
                <w:lang w:val="en-AU"/>
              </w:rPr>
            </w:pPr>
            <w:r w:rsidRPr="00A9139A">
              <w:rPr>
                <w:b/>
                <w:bCs/>
                <w:color w:val="FFFFFF" w:themeColor="background1"/>
                <w:lang w:val="en-AU"/>
              </w:rPr>
              <w:t>$’000s</w:t>
            </w:r>
          </w:p>
        </w:tc>
        <w:tc>
          <w:tcPr>
            <w:tcW w:w="1395" w:type="dxa"/>
            <w:tcBorders>
              <w:top w:val="nil"/>
              <w:left w:val="nil"/>
              <w:bottom w:val="single" w:sz="6" w:space="0" w:color="auto"/>
              <w:right w:val="nil"/>
            </w:tcBorders>
            <w:shd w:val="clear" w:color="auto" w:fill="081DA4"/>
            <w:hideMark/>
          </w:tcPr>
          <w:p w14:paraId="7EDDE05E" w14:textId="77777777" w:rsidR="00A9139A" w:rsidRDefault="0085396D" w:rsidP="00A9139A">
            <w:pPr>
              <w:spacing w:before="120" w:after="120" w:line="240" w:lineRule="auto"/>
              <w:jc w:val="center"/>
              <w:rPr>
                <w:b/>
                <w:bCs/>
                <w:i/>
                <w:iCs/>
                <w:color w:val="FFFFFF" w:themeColor="background1"/>
                <w:lang w:val="en-AU"/>
              </w:rPr>
            </w:pPr>
            <w:r w:rsidRPr="00A9139A">
              <w:rPr>
                <w:b/>
                <w:bCs/>
                <w:i/>
                <w:iCs/>
                <w:color w:val="FFFFFF" w:themeColor="background1"/>
                <w:lang w:val="en-AU"/>
              </w:rPr>
              <w:t xml:space="preserve">Forward </w:t>
            </w:r>
          </w:p>
          <w:p w14:paraId="1CF6533E" w14:textId="08CB6B3E" w:rsidR="0085396D" w:rsidRPr="00A9139A" w:rsidRDefault="0085396D" w:rsidP="00A9139A">
            <w:pPr>
              <w:spacing w:before="120" w:after="120" w:line="240" w:lineRule="auto"/>
              <w:jc w:val="center"/>
              <w:rPr>
                <w:color w:val="FFFFFF" w:themeColor="background1"/>
                <w:lang w:val="en-AU"/>
              </w:rPr>
            </w:pPr>
            <w:r w:rsidRPr="00A9139A">
              <w:rPr>
                <w:b/>
                <w:bCs/>
                <w:i/>
                <w:iCs/>
                <w:color w:val="FFFFFF" w:themeColor="background1"/>
                <w:lang w:val="en-AU"/>
              </w:rPr>
              <w:t>Year Budget 2027</w:t>
            </w:r>
          </w:p>
          <w:p w14:paraId="30E434A9" w14:textId="5668CD30" w:rsidR="0085396D" w:rsidRPr="00A9139A" w:rsidRDefault="0085396D" w:rsidP="00A9139A">
            <w:pPr>
              <w:spacing w:before="120" w:after="120" w:line="240" w:lineRule="auto"/>
              <w:contextualSpacing/>
              <w:jc w:val="center"/>
              <w:rPr>
                <w:color w:val="FFFFFF" w:themeColor="background1"/>
                <w:lang w:val="en-AU"/>
              </w:rPr>
            </w:pPr>
            <w:r w:rsidRPr="00A9139A">
              <w:rPr>
                <w:b/>
                <w:bCs/>
                <w:i/>
                <w:iCs/>
                <w:color w:val="FFFFFF" w:themeColor="background1"/>
                <w:lang w:val="en-AU"/>
              </w:rPr>
              <w:t>$’000s</w:t>
            </w:r>
          </w:p>
        </w:tc>
        <w:tc>
          <w:tcPr>
            <w:tcW w:w="1395" w:type="dxa"/>
            <w:tcBorders>
              <w:top w:val="nil"/>
              <w:left w:val="nil"/>
              <w:bottom w:val="single" w:sz="6" w:space="0" w:color="auto"/>
              <w:right w:val="nil"/>
            </w:tcBorders>
            <w:shd w:val="clear" w:color="auto" w:fill="081DA4"/>
            <w:hideMark/>
          </w:tcPr>
          <w:p w14:paraId="35B4ECE4" w14:textId="77777777" w:rsidR="00A9139A" w:rsidRDefault="0085396D" w:rsidP="00A9139A">
            <w:pPr>
              <w:spacing w:before="120" w:after="120" w:line="240" w:lineRule="auto"/>
              <w:jc w:val="center"/>
              <w:rPr>
                <w:b/>
                <w:bCs/>
                <w:i/>
                <w:iCs/>
                <w:color w:val="FFFFFF" w:themeColor="background1"/>
                <w:lang w:val="en-AU"/>
              </w:rPr>
            </w:pPr>
            <w:r w:rsidRPr="00A9139A">
              <w:rPr>
                <w:b/>
                <w:bCs/>
                <w:i/>
                <w:iCs/>
                <w:color w:val="FFFFFF" w:themeColor="background1"/>
                <w:lang w:val="en-AU"/>
              </w:rPr>
              <w:t xml:space="preserve">Forward </w:t>
            </w:r>
          </w:p>
          <w:p w14:paraId="3DC507A5" w14:textId="4387397B" w:rsidR="0085396D" w:rsidRPr="00A9139A" w:rsidRDefault="0085396D" w:rsidP="00A9139A">
            <w:pPr>
              <w:spacing w:before="120" w:after="120" w:line="240" w:lineRule="auto"/>
              <w:jc w:val="center"/>
              <w:rPr>
                <w:b/>
                <w:bCs/>
                <w:i/>
                <w:iCs/>
                <w:color w:val="FFFFFF" w:themeColor="background1"/>
                <w:lang w:val="en-AU"/>
              </w:rPr>
            </w:pPr>
            <w:r w:rsidRPr="00A9139A">
              <w:rPr>
                <w:b/>
                <w:bCs/>
                <w:i/>
                <w:iCs/>
                <w:color w:val="FFFFFF" w:themeColor="background1"/>
                <w:lang w:val="en-AU"/>
              </w:rPr>
              <w:t>Year Budget 2028</w:t>
            </w:r>
          </w:p>
          <w:p w14:paraId="4AC30D06" w14:textId="18EDA393" w:rsidR="0085396D" w:rsidRPr="00A9139A" w:rsidRDefault="0085396D" w:rsidP="00A9139A">
            <w:pPr>
              <w:spacing w:before="120" w:after="120" w:line="240" w:lineRule="auto"/>
              <w:contextualSpacing/>
              <w:jc w:val="center"/>
              <w:rPr>
                <w:color w:val="FFFFFF" w:themeColor="background1"/>
                <w:lang w:val="en-AU"/>
              </w:rPr>
            </w:pPr>
            <w:r w:rsidRPr="00A9139A">
              <w:rPr>
                <w:b/>
                <w:bCs/>
                <w:i/>
                <w:iCs/>
                <w:color w:val="FFFFFF" w:themeColor="background1"/>
                <w:lang w:val="en-AU"/>
              </w:rPr>
              <w:t>$’000s</w:t>
            </w:r>
          </w:p>
        </w:tc>
        <w:tc>
          <w:tcPr>
            <w:tcW w:w="1395" w:type="dxa"/>
            <w:tcBorders>
              <w:top w:val="nil"/>
              <w:left w:val="nil"/>
              <w:bottom w:val="single" w:sz="6" w:space="0" w:color="auto"/>
              <w:right w:val="nil"/>
            </w:tcBorders>
            <w:shd w:val="clear" w:color="auto" w:fill="081DA4"/>
            <w:hideMark/>
          </w:tcPr>
          <w:p w14:paraId="440E35D7" w14:textId="77777777" w:rsidR="00A9139A" w:rsidRDefault="0085396D" w:rsidP="00A9139A">
            <w:pPr>
              <w:spacing w:before="120" w:after="120" w:line="240" w:lineRule="auto"/>
              <w:jc w:val="center"/>
              <w:rPr>
                <w:b/>
                <w:bCs/>
                <w:i/>
                <w:iCs/>
                <w:color w:val="FFFFFF" w:themeColor="background1"/>
                <w:lang w:val="en-AU"/>
              </w:rPr>
            </w:pPr>
            <w:r w:rsidRPr="00A9139A">
              <w:rPr>
                <w:b/>
                <w:bCs/>
                <w:i/>
                <w:iCs/>
                <w:color w:val="FFFFFF" w:themeColor="background1"/>
                <w:lang w:val="en-AU"/>
              </w:rPr>
              <w:t>Forward</w:t>
            </w:r>
          </w:p>
          <w:p w14:paraId="37D76EFB" w14:textId="3E68583F" w:rsidR="0085396D" w:rsidRPr="00A9139A" w:rsidRDefault="0085396D" w:rsidP="00A9139A">
            <w:pPr>
              <w:spacing w:before="120" w:after="120" w:line="240" w:lineRule="auto"/>
              <w:jc w:val="center"/>
              <w:rPr>
                <w:color w:val="FFFFFF" w:themeColor="background1"/>
                <w:lang w:val="en-AU"/>
              </w:rPr>
            </w:pPr>
            <w:r w:rsidRPr="00A9139A">
              <w:rPr>
                <w:b/>
                <w:bCs/>
                <w:i/>
                <w:iCs/>
                <w:color w:val="FFFFFF" w:themeColor="background1"/>
                <w:lang w:val="en-AU"/>
              </w:rPr>
              <w:t>Year Budget 2029</w:t>
            </w:r>
          </w:p>
          <w:p w14:paraId="5EC957D1" w14:textId="42481466" w:rsidR="0085396D" w:rsidRPr="00A9139A" w:rsidRDefault="0085396D" w:rsidP="00A9139A">
            <w:pPr>
              <w:spacing w:before="120" w:after="120" w:line="240" w:lineRule="auto"/>
              <w:contextualSpacing/>
              <w:jc w:val="center"/>
              <w:rPr>
                <w:color w:val="FFFFFF" w:themeColor="background1"/>
                <w:lang w:val="en-AU"/>
              </w:rPr>
            </w:pPr>
            <w:r w:rsidRPr="00A9139A">
              <w:rPr>
                <w:b/>
                <w:bCs/>
                <w:i/>
                <w:iCs/>
                <w:color w:val="FFFFFF" w:themeColor="background1"/>
                <w:lang w:val="en-AU"/>
              </w:rPr>
              <w:t>$’000s</w:t>
            </w:r>
          </w:p>
        </w:tc>
      </w:tr>
      <w:tr w:rsidR="0085396D" w:rsidRPr="0085396D" w14:paraId="1CBA3057" w14:textId="77777777" w:rsidTr="0016688C">
        <w:trPr>
          <w:trHeight w:val="105"/>
        </w:trPr>
        <w:tc>
          <w:tcPr>
            <w:tcW w:w="1695" w:type="dxa"/>
            <w:tcBorders>
              <w:top w:val="single" w:sz="6" w:space="0" w:color="auto"/>
              <w:left w:val="nil"/>
              <w:bottom w:val="single" w:sz="6" w:space="0" w:color="auto"/>
              <w:right w:val="nil"/>
            </w:tcBorders>
            <w:tcMar>
              <w:left w:w="85" w:type="dxa"/>
            </w:tcMar>
            <w:vAlign w:val="bottom"/>
            <w:hideMark/>
          </w:tcPr>
          <w:p w14:paraId="051B8588" w14:textId="77777777" w:rsidR="0085396D" w:rsidRPr="0085396D" w:rsidRDefault="0085396D" w:rsidP="0085396D">
            <w:pPr>
              <w:spacing w:before="120" w:after="120" w:line="240" w:lineRule="auto"/>
              <w:rPr>
                <w:lang w:val="en-AU"/>
              </w:rPr>
            </w:pPr>
            <w:r w:rsidRPr="0085396D">
              <w:rPr>
                <w:lang w:val="en-AU"/>
              </w:rPr>
              <w:t>Current Assets </w:t>
            </w:r>
          </w:p>
        </w:tc>
        <w:tc>
          <w:tcPr>
            <w:tcW w:w="1395" w:type="dxa"/>
            <w:tcBorders>
              <w:top w:val="single" w:sz="6" w:space="0" w:color="auto"/>
              <w:left w:val="nil"/>
              <w:bottom w:val="single" w:sz="6" w:space="0" w:color="auto"/>
              <w:right w:val="nil"/>
            </w:tcBorders>
            <w:vAlign w:val="center"/>
            <w:hideMark/>
          </w:tcPr>
          <w:p w14:paraId="0BDE637D" w14:textId="799DC5FD" w:rsidR="0085396D" w:rsidRPr="0085396D" w:rsidRDefault="0085396D" w:rsidP="00A9139A">
            <w:pPr>
              <w:spacing w:before="120" w:after="120" w:line="240" w:lineRule="auto"/>
              <w:jc w:val="center"/>
              <w:rPr>
                <w:lang w:val="en-AU"/>
              </w:rPr>
            </w:pPr>
            <w:r w:rsidRPr="0085396D">
              <w:rPr>
                <w:lang w:val="en-AU"/>
              </w:rPr>
              <w:t>10,527</w:t>
            </w:r>
          </w:p>
        </w:tc>
        <w:tc>
          <w:tcPr>
            <w:tcW w:w="1395" w:type="dxa"/>
            <w:tcBorders>
              <w:top w:val="single" w:sz="6" w:space="0" w:color="auto"/>
              <w:left w:val="nil"/>
              <w:bottom w:val="single" w:sz="6" w:space="0" w:color="auto"/>
              <w:right w:val="nil"/>
            </w:tcBorders>
            <w:vAlign w:val="center"/>
            <w:hideMark/>
          </w:tcPr>
          <w:p w14:paraId="6D9B64E9" w14:textId="34C17B90" w:rsidR="0085396D" w:rsidRPr="0085396D" w:rsidRDefault="0085396D" w:rsidP="00A9139A">
            <w:pPr>
              <w:spacing w:before="120" w:after="120" w:line="240" w:lineRule="auto"/>
              <w:jc w:val="center"/>
              <w:rPr>
                <w:lang w:val="en-AU"/>
              </w:rPr>
            </w:pPr>
            <w:r w:rsidRPr="0085396D">
              <w:rPr>
                <w:i/>
                <w:iCs/>
                <w:lang w:val="en-AU"/>
              </w:rPr>
              <w:t>11,541</w:t>
            </w:r>
          </w:p>
        </w:tc>
        <w:tc>
          <w:tcPr>
            <w:tcW w:w="1395" w:type="dxa"/>
            <w:tcBorders>
              <w:top w:val="single" w:sz="6" w:space="0" w:color="auto"/>
              <w:left w:val="nil"/>
              <w:bottom w:val="single" w:sz="6" w:space="0" w:color="auto"/>
              <w:right w:val="nil"/>
            </w:tcBorders>
            <w:vAlign w:val="center"/>
            <w:hideMark/>
          </w:tcPr>
          <w:p w14:paraId="7D7B28D1" w14:textId="7DAE1881" w:rsidR="0085396D" w:rsidRPr="0085396D" w:rsidRDefault="0085396D" w:rsidP="00A9139A">
            <w:pPr>
              <w:spacing w:before="120" w:after="120" w:line="240" w:lineRule="auto"/>
              <w:jc w:val="center"/>
              <w:rPr>
                <w:lang w:val="en-AU"/>
              </w:rPr>
            </w:pPr>
            <w:r w:rsidRPr="0085396D">
              <w:rPr>
                <w:lang w:val="en-AU"/>
              </w:rPr>
              <w:t>10,838</w:t>
            </w:r>
          </w:p>
        </w:tc>
        <w:tc>
          <w:tcPr>
            <w:tcW w:w="1395" w:type="dxa"/>
            <w:tcBorders>
              <w:top w:val="single" w:sz="6" w:space="0" w:color="auto"/>
              <w:left w:val="nil"/>
              <w:bottom w:val="single" w:sz="6" w:space="0" w:color="auto"/>
              <w:right w:val="nil"/>
            </w:tcBorders>
            <w:vAlign w:val="center"/>
            <w:hideMark/>
          </w:tcPr>
          <w:p w14:paraId="78D9C299" w14:textId="1AEEFADC" w:rsidR="0085396D" w:rsidRPr="0085396D" w:rsidRDefault="0085396D" w:rsidP="00A9139A">
            <w:pPr>
              <w:spacing w:before="120" w:after="120" w:line="240" w:lineRule="auto"/>
              <w:jc w:val="center"/>
              <w:rPr>
                <w:lang w:val="en-AU"/>
              </w:rPr>
            </w:pPr>
            <w:r w:rsidRPr="0085396D">
              <w:rPr>
                <w:i/>
                <w:iCs/>
                <w:lang w:val="en-AU"/>
              </w:rPr>
              <w:t>12,181</w:t>
            </w:r>
          </w:p>
        </w:tc>
        <w:tc>
          <w:tcPr>
            <w:tcW w:w="1395" w:type="dxa"/>
            <w:tcBorders>
              <w:top w:val="single" w:sz="6" w:space="0" w:color="auto"/>
              <w:left w:val="nil"/>
              <w:bottom w:val="single" w:sz="6" w:space="0" w:color="auto"/>
              <w:right w:val="nil"/>
            </w:tcBorders>
            <w:vAlign w:val="center"/>
            <w:hideMark/>
          </w:tcPr>
          <w:p w14:paraId="550B5E58" w14:textId="5D1A9646" w:rsidR="0085396D" w:rsidRPr="0085396D" w:rsidRDefault="0085396D" w:rsidP="00A9139A">
            <w:pPr>
              <w:spacing w:before="120" w:after="120" w:line="240" w:lineRule="auto"/>
              <w:jc w:val="center"/>
              <w:rPr>
                <w:lang w:val="en-AU"/>
              </w:rPr>
            </w:pPr>
            <w:r w:rsidRPr="0085396D">
              <w:rPr>
                <w:i/>
                <w:iCs/>
                <w:lang w:val="en-AU"/>
              </w:rPr>
              <w:t>13,509</w:t>
            </w:r>
          </w:p>
        </w:tc>
        <w:tc>
          <w:tcPr>
            <w:tcW w:w="1395" w:type="dxa"/>
            <w:tcBorders>
              <w:top w:val="single" w:sz="6" w:space="0" w:color="auto"/>
              <w:left w:val="nil"/>
              <w:bottom w:val="single" w:sz="6" w:space="0" w:color="auto"/>
              <w:right w:val="nil"/>
            </w:tcBorders>
            <w:vAlign w:val="center"/>
            <w:hideMark/>
          </w:tcPr>
          <w:p w14:paraId="302F2C10" w14:textId="6003D8CA" w:rsidR="0085396D" w:rsidRPr="0085396D" w:rsidRDefault="0085396D" w:rsidP="00A9139A">
            <w:pPr>
              <w:spacing w:before="120" w:after="120" w:line="240" w:lineRule="auto"/>
              <w:jc w:val="center"/>
              <w:rPr>
                <w:lang w:val="en-AU"/>
              </w:rPr>
            </w:pPr>
            <w:r w:rsidRPr="0085396D">
              <w:rPr>
                <w:i/>
                <w:iCs/>
                <w:lang w:val="en-AU"/>
              </w:rPr>
              <w:t>14,833</w:t>
            </w:r>
          </w:p>
        </w:tc>
      </w:tr>
      <w:tr w:rsidR="0085396D" w:rsidRPr="0085396D" w14:paraId="38C864B9" w14:textId="77777777" w:rsidTr="0016688C">
        <w:trPr>
          <w:trHeight w:val="105"/>
        </w:trPr>
        <w:tc>
          <w:tcPr>
            <w:tcW w:w="1695" w:type="dxa"/>
            <w:tcBorders>
              <w:top w:val="single" w:sz="6" w:space="0" w:color="auto"/>
              <w:left w:val="nil"/>
              <w:bottom w:val="single" w:sz="6" w:space="0" w:color="auto"/>
              <w:right w:val="nil"/>
            </w:tcBorders>
            <w:shd w:val="clear" w:color="auto" w:fill="F5FBFE"/>
            <w:tcMar>
              <w:left w:w="85" w:type="dxa"/>
            </w:tcMar>
            <w:vAlign w:val="bottom"/>
            <w:hideMark/>
          </w:tcPr>
          <w:p w14:paraId="2DDD3ADF" w14:textId="77777777" w:rsidR="0085396D" w:rsidRPr="0085396D" w:rsidRDefault="0085396D" w:rsidP="0085396D">
            <w:pPr>
              <w:spacing w:before="120" w:after="120" w:line="240" w:lineRule="auto"/>
              <w:rPr>
                <w:lang w:val="en-AU"/>
              </w:rPr>
            </w:pPr>
            <w:r w:rsidRPr="0085396D">
              <w:rPr>
                <w:lang w:val="en-AU"/>
              </w:rPr>
              <w:t>Current Liabilities </w:t>
            </w:r>
          </w:p>
        </w:tc>
        <w:tc>
          <w:tcPr>
            <w:tcW w:w="1395" w:type="dxa"/>
            <w:tcBorders>
              <w:top w:val="single" w:sz="6" w:space="0" w:color="auto"/>
              <w:left w:val="nil"/>
              <w:bottom w:val="single" w:sz="6" w:space="0" w:color="auto"/>
              <w:right w:val="nil"/>
            </w:tcBorders>
            <w:shd w:val="clear" w:color="auto" w:fill="F5FBFE"/>
            <w:vAlign w:val="center"/>
            <w:hideMark/>
          </w:tcPr>
          <w:p w14:paraId="1B283882" w14:textId="0EA0A3AA" w:rsidR="0085396D" w:rsidRPr="0085396D" w:rsidRDefault="0085396D" w:rsidP="00A9139A">
            <w:pPr>
              <w:spacing w:before="120" w:after="120" w:line="240" w:lineRule="auto"/>
              <w:jc w:val="center"/>
              <w:rPr>
                <w:lang w:val="en-AU"/>
              </w:rPr>
            </w:pPr>
            <w:r w:rsidRPr="0085396D">
              <w:rPr>
                <w:lang w:val="en-AU"/>
              </w:rPr>
              <w:t>8,028</w:t>
            </w:r>
          </w:p>
        </w:tc>
        <w:tc>
          <w:tcPr>
            <w:tcW w:w="1395" w:type="dxa"/>
            <w:tcBorders>
              <w:top w:val="single" w:sz="6" w:space="0" w:color="auto"/>
              <w:left w:val="nil"/>
              <w:bottom w:val="single" w:sz="6" w:space="0" w:color="auto"/>
              <w:right w:val="nil"/>
            </w:tcBorders>
            <w:shd w:val="clear" w:color="auto" w:fill="F5FBFE"/>
            <w:vAlign w:val="center"/>
            <w:hideMark/>
          </w:tcPr>
          <w:p w14:paraId="710C8F3E" w14:textId="43B361E9" w:rsidR="0085396D" w:rsidRPr="0085396D" w:rsidRDefault="0085396D" w:rsidP="00A9139A">
            <w:pPr>
              <w:spacing w:before="120" w:after="120" w:line="240" w:lineRule="auto"/>
              <w:jc w:val="center"/>
              <w:rPr>
                <w:lang w:val="en-AU"/>
              </w:rPr>
            </w:pPr>
            <w:r w:rsidRPr="0085396D">
              <w:rPr>
                <w:i/>
                <w:iCs/>
                <w:lang w:val="en-AU"/>
              </w:rPr>
              <w:t>9,088</w:t>
            </w:r>
          </w:p>
        </w:tc>
        <w:tc>
          <w:tcPr>
            <w:tcW w:w="1395" w:type="dxa"/>
            <w:tcBorders>
              <w:top w:val="single" w:sz="6" w:space="0" w:color="auto"/>
              <w:left w:val="nil"/>
              <w:bottom w:val="single" w:sz="6" w:space="0" w:color="auto"/>
              <w:right w:val="nil"/>
            </w:tcBorders>
            <w:shd w:val="clear" w:color="auto" w:fill="F5FBFE"/>
            <w:vAlign w:val="center"/>
            <w:hideMark/>
          </w:tcPr>
          <w:p w14:paraId="09E02A53" w14:textId="53C0077A" w:rsidR="0085396D" w:rsidRPr="0085396D" w:rsidRDefault="0085396D" w:rsidP="00A9139A">
            <w:pPr>
              <w:spacing w:before="120" w:after="120" w:line="240" w:lineRule="auto"/>
              <w:jc w:val="center"/>
              <w:rPr>
                <w:lang w:val="en-AU"/>
              </w:rPr>
            </w:pPr>
            <w:r w:rsidRPr="0085396D">
              <w:rPr>
                <w:lang w:val="en-AU"/>
              </w:rPr>
              <w:t>8,129</w:t>
            </w:r>
          </w:p>
        </w:tc>
        <w:tc>
          <w:tcPr>
            <w:tcW w:w="1395" w:type="dxa"/>
            <w:tcBorders>
              <w:top w:val="single" w:sz="6" w:space="0" w:color="auto"/>
              <w:left w:val="nil"/>
              <w:bottom w:val="single" w:sz="6" w:space="0" w:color="auto"/>
              <w:right w:val="nil"/>
            </w:tcBorders>
            <w:shd w:val="clear" w:color="auto" w:fill="F5FBFE"/>
            <w:vAlign w:val="center"/>
            <w:hideMark/>
          </w:tcPr>
          <w:p w14:paraId="77C45BBC" w14:textId="08EBB960" w:rsidR="0085396D" w:rsidRPr="0085396D" w:rsidRDefault="0085396D" w:rsidP="00A9139A">
            <w:pPr>
              <w:spacing w:before="120" w:after="120" w:line="240" w:lineRule="auto"/>
              <w:jc w:val="center"/>
              <w:rPr>
                <w:lang w:val="en-AU"/>
              </w:rPr>
            </w:pPr>
            <w:r w:rsidRPr="0085396D">
              <w:rPr>
                <w:i/>
                <w:iCs/>
                <w:lang w:val="en-AU"/>
              </w:rPr>
              <w:t>9,340</w:t>
            </w:r>
          </w:p>
        </w:tc>
        <w:tc>
          <w:tcPr>
            <w:tcW w:w="1395" w:type="dxa"/>
            <w:tcBorders>
              <w:top w:val="single" w:sz="6" w:space="0" w:color="auto"/>
              <w:left w:val="nil"/>
              <w:bottom w:val="single" w:sz="6" w:space="0" w:color="auto"/>
              <w:right w:val="nil"/>
            </w:tcBorders>
            <w:shd w:val="clear" w:color="auto" w:fill="F5FBFE"/>
            <w:vAlign w:val="center"/>
            <w:hideMark/>
          </w:tcPr>
          <w:p w14:paraId="4300343B" w14:textId="56335A7C" w:rsidR="0085396D" w:rsidRPr="0085396D" w:rsidRDefault="0085396D" w:rsidP="00A9139A">
            <w:pPr>
              <w:spacing w:before="120" w:after="120" w:line="240" w:lineRule="auto"/>
              <w:jc w:val="center"/>
              <w:rPr>
                <w:lang w:val="en-AU"/>
              </w:rPr>
            </w:pPr>
            <w:r w:rsidRPr="0085396D">
              <w:rPr>
                <w:i/>
                <w:iCs/>
                <w:lang w:val="en-AU"/>
              </w:rPr>
              <w:t>11,446</w:t>
            </w:r>
          </w:p>
        </w:tc>
        <w:tc>
          <w:tcPr>
            <w:tcW w:w="1395" w:type="dxa"/>
            <w:tcBorders>
              <w:top w:val="single" w:sz="6" w:space="0" w:color="auto"/>
              <w:left w:val="nil"/>
              <w:bottom w:val="single" w:sz="6" w:space="0" w:color="auto"/>
              <w:right w:val="nil"/>
            </w:tcBorders>
            <w:shd w:val="clear" w:color="auto" w:fill="F5FBFE"/>
            <w:vAlign w:val="center"/>
            <w:hideMark/>
          </w:tcPr>
          <w:p w14:paraId="79E09BDD" w14:textId="0B23333F" w:rsidR="0085396D" w:rsidRPr="0085396D" w:rsidRDefault="0085396D" w:rsidP="00A9139A">
            <w:pPr>
              <w:spacing w:before="120" w:after="120" w:line="240" w:lineRule="auto"/>
              <w:jc w:val="center"/>
              <w:rPr>
                <w:lang w:val="en-AU"/>
              </w:rPr>
            </w:pPr>
            <w:r w:rsidRPr="0085396D">
              <w:rPr>
                <w:i/>
                <w:iCs/>
                <w:lang w:val="en-AU"/>
              </w:rPr>
              <w:t>13,970</w:t>
            </w:r>
          </w:p>
        </w:tc>
      </w:tr>
      <w:tr w:rsidR="0085396D" w:rsidRPr="0085396D" w14:paraId="7EFD91C1" w14:textId="77777777" w:rsidTr="0016688C">
        <w:trPr>
          <w:trHeight w:val="105"/>
        </w:trPr>
        <w:tc>
          <w:tcPr>
            <w:tcW w:w="1695" w:type="dxa"/>
            <w:tcBorders>
              <w:top w:val="single" w:sz="6" w:space="0" w:color="auto"/>
              <w:left w:val="nil"/>
              <w:bottom w:val="single" w:sz="6" w:space="0" w:color="auto"/>
              <w:right w:val="nil"/>
            </w:tcBorders>
            <w:tcMar>
              <w:left w:w="85" w:type="dxa"/>
            </w:tcMar>
            <w:vAlign w:val="bottom"/>
            <w:hideMark/>
          </w:tcPr>
          <w:p w14:paraId="7ACCD55C" w14:textId="77777777" w:rsidR="0085396D" w:rsidRPr="0085396D" w:rsidRDefault="0085396D" w:rsidP="0085396D">
            <w:pPr>
              <w:spacing w:before="120" w:after="120" w:line="240" w:lineRule="auto"/>
              <w:rPr>
                <w:lang w:val="en-AU"/>
              </w:rPr>
            </w:pPr>
            <w:r w:rsidRPr="0085396D">
              <w:rPr>
                <w:b/>
                <w:bCs/>
                <w:lang w:val="en-AU"/>
              </w:rPr>
              <w:t>Current Ratio</w:t>
            </w:r>
            <w:r w:rsidRPr="0085396D">
              <w:rPr>
                <w:lang w:val="en-AU"/>
              </w:rPr>
              <w:t> </w:t>
            </w:r>
          </w:p>
        </w:tc>
        <w:tc>
          <w:tcPr>
            <w:tcW w:w="1395" w:type="dxa"/>
            <w:tcBorders>
              <w:top w:val="single" w:sz="6" w:space="0" w:color="auto"/>
              <w:left w:val="nil"/>
              <w:bottom w:val="single" w:sz="6" w:space="0" w:color="auto"/>
              <w:right w:val="nil"/>
            </w:tcBorders>
            <w:vAlign w:val="center"/>
            <w:hideMark/>
          </w:tcPr>
          <w:p w14:paraId="1F22278E" w14:textId="6071B673" w:rsidR="0085396D" w:rsidRPr="0085396D" w:rsidRDefault="0085396D" w:rsidP="00A9139A">
            <w:pPr>
              <w:spacing w:before="120" w:after="120" w:line="240" w:lineRule="auto"/>
              <w:jc w:val="center"/>
              <w:rPr>
                <w:lang w:val="en-AU"/>
              </w:rPr>
            </w:pPr>
            <w:r w:rsidRPr="0085396D">
              <w:rPr>
                <w:b/>
                <w:bCs/>
                <w:lang w:val="en-AU"/>
              </w:rPr>
              <w:t>1.31:1</w:t>
            </w:r>
          </w:p>
        </w:tc>
        <w:tc>
          <w:tcPr>
            <w:tcW w:w="1395" w:type="dxa"/>
            <w:tcBorders>
              <w:top w:val="single" w:sz="6" w:space="0" w:color="auto"/>
              <w:left w:val="nil"/>
              <w:bottom w:val="single" w:sz="6" w:space="0" w:color="auto"/>
              <w:right w:val="nil"/>
            </w:tcBorders>
            <w:vAlign w:val="center"/>
            <w:hideMark/>
          </w:tcPr>
          <w:p w14:paraId="7C54333F" w14:textId="05714D52" w:rsidR="0085396D" w:rsidRPr="0085396D" w:rsidRDefault="0085396D" w:rsidP="00A9139A">
            <w:pPr>
              <w:spacing w:before="120" w:after="120" w:line="240" w:lineRule="auto"/>
              <w:jc w:val="center"/>
              <w:rPr>
                <w:lang w:val="en-AU"/>
              </w:rPr>
            </w:pPr>
            <w:r w:rsidRPr="0085396D">
              <w:rPr>
                <w:b/>
                <w:bCs/>
                <w:i/>
                <w:iCs/>
                <w:lang w:val="en-AU"/>
              </w:rPr>
              <w:t>1.27:1</w:t>
            </w:r>
          </w:p>
        </w:tc>
        <w:tc>
          <w:tcPr>
            <w:tcW w:w="1395" w:type="dxa"/>
            <w:tcBorders>
              <w:top w:val="single" w:sz="6" w:space="0" w:color="auto"/>
              <w:left w:val="nil"/>
              <w:bottom w:val="single" w:sz="6" w:space="0" w:color="auto"/>
              <w:right w:val="nil"/>
            </w:tcBorders>
            <w:vAlign w:val="center"/>
            <w:hideMark/>
          </w:tcPr>
          <w:p w14:paraId="453EEEB9" w14:textId="66AFF9B6" w:rsidR="0085396D" w:rsidRPr="0085396D" w:rsidRDefault="0085396D" w:rsidP="00A9139A">
            <w:pPr>
              <w:spacing w:before="120" w:after="120" w:line="240" w:lineRule="auto"/>
              <w:jc w:val="center"/>
              <w:rPr>
                <w:lang w:val="en-AU"/>
              </w:rPr>
            </w:pPr>
            <w:r w:rsidRPr="0085396D">
              <w:rPr>
                <w:b/>
                <w:bCs/>
                <w:lang w:val="en-AU"/>
              </w:rPr>
              <w:t>1.33:1</w:t>
            </w:r>
          </w:p>
        </w:tc>
        <w:tc>
          <w:tcPr>
            <w:tcW w:w="1395" w:type="dxa"/>
            <w:tcBorders>
              <w:top w:val="single" w:sz="6" w:space="0" w:color="auto"/>
              <w:left w:val="nil"/>
              <w:bottom w:val="single" w:sz="6" w:space="0" w:color="auto"/>
              <w:right w:val="nil"/>
            </w:tcBorders>
            <w:vAlign w:val="center"/>
            <w:hideMark/>
          </w:tcPr>
          <w:p w14:paraId="1A590C58" w14:textId="080B9A6E" w:rsidR="0085396D" w:rsidRPr="0085396D" w:rsidRDefault="0085396D" w:rsidP="00A9139A">
            <w:pPr>
              <w:spacing w:before="120" w:after="120" w:line="240" w:lineRule="auto"/>
              <w:jc w:val="center"/>
              <w:rPr>
                <w:lang w:val="en-AU"/>
              </w:rPr>
            </w:pPr>
            <w:r w:rsidRPr="0085396D">
              <w:rPr>
                <w:b/>
                <w:bCs/>
                <w:i/>
                <w:iCs/>
                <w:lang w:val="en-AU"/>
              </w:rPr>
              <w:t>1.30:1</w:t>
            </w:r>
          </w:p>
        </w:tc>
        <w:tc>
          <w:tcPr>
            <w:tcW w:w="1395" w:type="dxa"/>
            <w:tcBorders>
              <w:top w:val="single" w:sz="6" w:space="0" w:color="auto"/>
              <w:left w:val="nil"/>
              <w:bottom w:val="single" w:sz="6" w:space="0" w:color="auto"/>
              <w:right w:val="nil"/>
            </w:tcBorders>
            <w:vAlign w:val="center"/>
            <w:hideMark/>
          </w:tcPr>
          <w:p w14:paraId="653B5D57" w14:textId="4030233C" w:rsidR="0085396D" w:rsidRPr="0085396D" w:rsidRDefault="0085396D" w:rsidP="00A9139A">
            <w:pPr>
              <w:spacing w:before="120" w:after="120" w:line="240" w:lineRule="auto"/>
              <w:jc w:val="center"/>
              <w:rPr>
                <w:lang w:val="en-AU"/>
              </w:rPr>
            </w:pPr>
            <w:r w:rsidRPr="0085396D">
              <w:rPr>
                <w:b/>
                <w:bCs/>
                <w:i/>
                <w:iCs/>
                <w:lang w:val="en-AU"/>
              </w:rPr>
              <w:t>1.18:1</w:t>
            </w:r>
          </w:p>
        </w:tc>
        <w:tc>
          <w:tcPr>
            <w:tcW w:w="1395" w:type="dxa"/>
            <w:tcBorders>
              <w:top w:val="single" w:sz="6" w:space="0" w:color="auto"/>
              <w:left w:val="nil"/>
              <w:bottom w:val="single" w:sz="6" w:space="0" w:color="auto"/>
              <w:right w:val="nil"/>
            </w:tcBorders>
            <w:vAlign w:val="center"/>
            <w:hideMark/>
          </w:tcPr>
          <w:p w14:paraId="3178B67C" w14:textId="11C49442" w:rsidR="0085396D" w:rsidRPr="0085396D" w:rsidRDefault="0085396D" w:rsidP="00A9139A">
            <w:pPr>
              <w:spacing w:before="120" w:after="120" w:line="240" w:lineRule="auto"/>
              <w:jc w:val="center"/>
              <w:rPr>
                <w:lang w:val="en-AU"/>
              </w:rPr>
            </w:pPr>
            <w:r w:rsidRPr="0085396D">
              <w:rPr>
                <w:b/>
                <w:bCs/>
                <w:i/>
                <w:iCs/>
                <w:lang w:val="en-AU"/>
              </w:rPr>
              <w:t>1.06:1</w:t>
            </w:r>
          </w:p>
        </w:tc>
      </w:tr>
    </w:tbl>
    <w:p w14:paraId="60CD89BB" w14:textId="77777777" w:rsidR="0085396D" w:rsidRPr="0085396D" w:rsidRDefault="0085396D" w:rsidP="00283AFD">
      <w:pPr>
        <w:spacing w:before="120"/>
        <w:rPr>
          <w:lang w:val="en-AU"/>
        </w:rPr>
      </w:pPr>
      <w:r w:rsidRPr="0085396D">
        <w:rPr>
          <w:lang w:val="en-AU"/>
        </w:rPr>
        <w:t>The Security Industry Scheme has sufficient assets to meet its short-term debts at 30 June 2026. The current ratio is expected to decline in the next three years as the scheme matures. </w:t>
      </w:r>
    </w:p>
    <w:p w14:paraId="282172A8" w14:textId="77777777" w:rsidR="00454AC2" w:rsidRDefault="00454AC2">
      <w:pPr>
        <w:spacing w:before="120" w:after="120" w:line="240" w:lineRule="auto"/>
        <w:rPr>
          <w:rFonts w:ascii="Arial" w:eastAsiaTheme="majorEastAsia" w:hAnsi="Arial" w:cstheme="majorBidi"/>
          <w:b/>
          <w:spacing w:val="4"/>
          <w:sz w:val="24"/>
          <w:szCs w:val="24"/>
          <w:lang w:eastAsia="en-US"/>
        </w:rPr>
      </w:pPr>
      <w:r>
        <w:br w:type="page"/>
      </w:r>
    </w:p>
    <w:p w14:paraId="09FE632C" w14:textId="77777777" w:rsidR="0085396D" w:rsidRPr="0085396D" w:rsidRDefault="0085396D" w:rsidP="00454AC2">
      <w:pPr>
        <w:pStyle w:val="Heading3"/>
        <w:rPr>
          <w:b w:val="0"/>
          <w:lang w:val="en-AU"/>
        </w:rPr>
      </w:pPr>
      <w:r w:rsidRPr="0085396D">
        <w:lastRenderedPageBreak/>
        <w:t>Impact of gains from remeasurement of assets on the operating result </w:t>
      </w:r>
      <w:r w:rsidRPr="0085396D">
        <w:rPr>
          <w:b w:val="0"/>
          <w:lang w:val="en-AU"/>
        </w:rPr>
        <w:t> </w:t>
      </w:r>
    </w:p>
    <w:p w14:paraId="7F2F4CB9" w14:textId="77777777" w:rsidR="0085396D" w:rsidRPr="00454AC2" w:rsidRDefault="0085396D" w:rsidP="00454AC2">
      <w:pPr>
        <w:rPr>
          <w:i/>
          <w:iCs/>
          <w:lang w:val="en-AU"/>
        </w:rPr>
      </w:pPr>
      <w:r w:rsidRPr="00454AC2">
        <w:rPr>
          <w:i/>
          <w:iCs/>
          <w:lang w:val="en-AU"/>
        </w:rPr>
        <w:t>The extract below does not represent the full Financial Statements and notes in accordance with the Australian Accounting Standards. For a full understanding of ACT Leave’s financial performance, this extract should be read in conjunction with the notes and disclosures presented in the audited Financial Statements.  </w:t>
      </w:r>
    </w:p>
    <w:p w14:paraId="549F48D2" w14:textId="77777777" w:rsidR="0085396D" w:rsidRPr="0085396D" w:rsidRDefault="0085396D" w:rsidP="00454AC2">
      <w:pPr>
        <w:rPr>
          <w:lang w:val="en-AU"/>
        </w:rPr>
      </w:pPr>
      <w:r w:rsidRPr="0085396D">
        <w:rPr>
          <w:lang w:val="en-AU"/>
        </w:rPr>
        <w:t>ACT Leave is required to prudently invest long service leave employer contributions to ensure that there are sufficient assets to meet long service leave liabilities. The investments are managed by an independent professional investment manager (Vanguard Australia) in accordance with the Investment Plan approved by the Treasurer. ACT Leave’s investment objective is to achieve a target return after fees of Australian Weekly Ordinary Times Earnings (AWOTE) plus 2.5 per cent over a rolling five-year period.  </w:t>
      </w:r>
    </w:p>
    <w:p w14:paraId="59005353" w14:textId="79CFF6DD" w:rsidR="00042926" w:rsidRDefault="0085396D" w:rsidP="000A1DDF">
      <w:pPr>
        <w:rPr>
          <w:lang w:val="en-AU"/>
        </w:rPr>
      </w:pPr>
      <w:r w:rsidRPr="0085396D">
        <w:rPr>
          <w:lang w:val="en-AU"/>
        </w:rPr>
        <w:t>Investment returns may fluctuate significantly from year to year due to a reasonably foreseeable movement in markets. Such fluctuations have a material impact on ACT Leave’s operating result. The extract below shows ACT Leave’s operating result for 2024-25 and 2025-26 financial years before and after gains/losses on investments. For the year ended 30 June 2026 ACT Leave is showing an operating result of $5.46 million, however an operating loss of $3.59 million before Gains from Remeasurement of Assets (gains on investments).   </w:t>
      </w:r>
    </w:p>
    <w:tbl>
      <w:tblPr>
        <w:tblW w:w="7795" w:type="dxa"/>
        <w:tblInd w:w="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3"/>
        <w:gridCol w:w="1213"/>
        <w:gridCol w:w="1579"/>
      </w:tblGrid>
      <w:tr w:rsidR="00042926" w:rsidRPr="00042926" w14:paraId="7FB325AE" w14:textId="77777777">
        <w:trPr>
          <w:cantSplit/>
          <w:trHeight w:val="109"/>
        </w:trPr>
        <w:tc>
          <w:tcPr>
            <w:tcW w:w="5003" w:type="dxa"/>
            <w:tcBorders>
              <w:top w:val="nil"/>
              <w:left w:val="nil"/>
              <w:bottom w:val="nil"/>
              <w:right w:val="nil"/>
            </w:tcBorders>
            <w:shd w:val="clear" w:color="auto" w:fill="FFFFFF"/>
            <w:vAlign w:val="bottom"/>
            <w:hideMark/>
          </w:tcPr>
          <w:p w14:paraId="7C896D04"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p>
        </w:tc>
        <w:tc>
          <w:tcPr>
            <w:tcW w:w="1213" w:type="dxa"/>
            <w:tcBorders>
              <w:top w:val="nil"/>
              <w:left w:val="nil"/>
              <w:bottom w:val="nil"/>
              <w:right w:val="nil"/>
            </w:tcBorders>
            <w:shd w:val="clear" w:color="auto" w:fill="FFFFFF"/>
            <w:vAlign w:val="bottom"/>
            <w:hideMark/>
          </w:tcPr>
          <w:p w14:paraId="3F2838CD"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 </w:t>
            </w:r>
            <w:r w:rsidRPr="00042926">
              <w:rPr>
                <w:rFonts w:ascii="Arial" w:eastAsia="Times New Roman" w:hAnsi="Arial" w:cs="Arial"/>
                <w:color w:val="000000"/>
                <w:sz w:val="18"/>
                <w:szCs w:val="18"/>
                <w:lang w:val="en-AU"/>
              </w:rPr>
              <w:t> </w:t>
            </w:r>
          </w:p>
        </w:tc>
        <w:tc>
          <w:tcPr>
            <w:tcW w:w="1579" w:type="dxa"/>
            <w:tcBorders>
              <w:top w:val="nil"/>
              <w:left w:val="nil"/>
              <w:bottom w:val="nil"/>
              <w:right w:val="nil"/>
            </w:tcBorders>
            <w:shd w:val="clear" w:color="auto" w:fill="FFFFFF"/>
            <w:vAlign w:val="bottom"/>
            <w:hideMark/>
          </w:tcPr>
          <w:p w14:paraId="0517DE2D"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 </w:t>
            </w:r>
            <w:r w:rsidRPr="00042926">
              <w:rPr>
                <w:rFonts w:ascii="Arial" w:eastAsia="Times New Roman" w:hAnsi="Arial" w:cs="Arial"/>
                <w:color w:val="000000"/>
                <w:sz w:val="18"/>
                <w:szCs w:val="18"/>
                <w:lang w:val="en-AU"/>
              </w:rPr>
              <w:t> </w:t>
            </w:r>
          </w:p>
        </w:tc>
      </w:tr>
      <w:tr w:rsidR="00042926" w:rsidRPr="00042926" w14:paraId="5482B41D" w14:textId="77777777">
        <w:trPr>
          <w:cantSplit/>
          <w:trHeight w:val="109"/>
        </w:trPr>
        <w:tc>
          <w:tcPr>
            <w:tcW w:w="5003" w:type="dxa"/>
            <w:tcBorders>
              <w:top w:val="nil"/>
              <w:left w:val="nil"/>
              <w:bottom w:val="nil"/>
              <w:right w:val="nil"/>
            </w:tcBorders>
            <w:shd w:val="clear" w:color="auto" w:fill="FFFFFF"/>
            <w:vAlign w:val="bottom"/>
            <w:hideMark/>
          </w:tcPr>
          <w:p w14:paraId="16B99367"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 </w:t>
            </w:r>
            <w:r w:rsidRPr="00042926">
              <w:rPr>
                <w:rFonts w:ascii="Arial" w:eastAsia="Times New Roman" w:hAnsi="Arial" w:cs="Arial"/>
                <w:color w:val="000000"/>
                <w:sz w:val="18"/>
                <w:szCs w:val="18"/>
                <w:lang w:val="en-AU"/>
              </w:rPr>
              <w:t> </w:t>
            </w:r>
          </w:p>
        </w:tc>
        <w:tc>
          <w:tcPr>
            <w:tcW w:w="1213" w:type="dxa"/>
            <w:tcBorders>
              <w:top w:val="nil"/>
              <w:left w:val="nil"/>
              <w:bottom w:val="nil"/>
              <w:right w:val="nil"/>
            </w:tcBorders>
            <w:shd w:val="clear" w:color="auto" w:fill="FFFFFF"/>
            <w:vAlign w:val="bottom"/>
            <w:hideMark/>
          </w:tcPr>
          <w:p w14:paraId="68588E63"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w:t>
            </w:r>
          </w:p>
        </w:tc>
        <w:tc>
          <w:tcPr>
            <w:tcW w:w="1579" w:type="dxa"/>
            <w:tcBorders>
              <w:top w:val="nil"/>
              <w:left w:val="nil"/>
              <w:bottom w:val="nil"/>
              <w:right w:val="nil"/>
            </w:tcBorders>
            <w:vAlign w:val="bottom"/>
            <w:hideMark/>
          </w:tcPr>
          <w:p w14:paraId="285B601B"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w:t>
            </w:r>
          </w:p>
        </w:tc>
      </w:tr>
      <w:tr w:rsidR="00042926" w:rsidRPr="00042926" w14:paraId="455898E0" w14:textId="77777777">
        <w:trPr>
          <w:cantSplit/>
          <w:trHeight w:val="109"/>
        </w:trPr>
        <w:tc>
          <w:tcPr>
            <w:tcW w:w="5003" w:type="dxa"/>
            <w:tcBorders>
              <w:top w:val="nil"/>
              <w:left w:val="nil"/>
              <w:bottom w:val="nil"/>
              <w:right w:val="nil"/>
            </w:tcBorders>
            <w:shd w:val="clear" w:color="auto" w:fill="FFFFFF"/>
            <w:vAlign w:val="bottom"/>
            <w:hideMark/>
          </w:tcPr>
          <w:p w14:paraId="3544A13D"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 Operating Statement for the Year Ended </w:t>
            </w:r>
            <w:r w:rsidRPr="00042926">
              <w:rPr>
                <w:rFonts w:ascii="Arial" w:eastAsia="Times New Roman" w:hAnsi="Arial" w:cs="Arial"/>
                <w:color w:val="000000"/>
                <w:sz w:val="18"/>
                <w:szCs w:val="18"/>
                <w:lang w:val="en-AU"/>
              </w:rPr>
              <w:t> </w:t>
            </w:r>
          </w:p>
        </w:tc>
        <w:tc>
          <w:tcPr>
            <w:tcW w:w="1213" w:type="dxa"/>
            <w:tcBorders>
              <w:top w:val="nil"/>
              <w:left w:val="nil"/>
              <w:bottom w:val="nil"/>
              <w:right w:val="nil"/>
            </w:tcBorders>
            <w:vAlign w:val="bottom"/>
            <w:hideMark/>
          </w:tcPr>
          <w:p w14:paraId="24EA7FCC"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30 June 2026</w:t>
            </w:r>
            <w:r w:rsidRPr="00042926">
              <w:rPr>
                <w:rFonts w:ascii="Arial" w:eastAsia="Times New Roman" w:hAnsi="Arial" w:cs="Arial"/>
                <w:color w:val="000000"/>
                <w:sz w:val="18"/>
                <w:szCs w:val="18"/>
                <w:lang w:val="en-AU"/>
              </w:rPr>
              <w:t> </w:t>
            </w:r>
          </w:p>
        </w:tc>
        <w:tc>
          <w:tcPr>
            <w:tcW w:w="1579" w:type="dxa"/>
            <w:tcBorders>
              <w:top w:val="nil"/>
              <w:left w:val="nil"/>
              <w:bottom w:val="nil"/>
              <w:right w:val="nil"/>
            </w:tcBorders>
            <w:vAlign w:val="bottom"/>
            <w:hideMark/>
          </w:tcPr>
          <w:p w14:paraId="53357865"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30 June 2025</w:t>
            </w:r>
            <w:r w:rsidRPr="00042926">
              <w:rPr>
                <w:rFonts w:ascii="Arial" w:eastAsia="Times New Roman" w:hAnsi="Arial" w:cs="Arial"/>
                <w:color w:val="000000"/>
                <w:sz w:val="18"/>
                <w:szCs w:val="18"/>
                <w:lang w:val="en-AU"/>
              </w:rPr>
              <w:t> </w:t>
            </w:r>
          </w:p>
        </w:tc>
      </w:tr>
      <w:tr w:rsidR="00042926" w:rsidRPr="00042926" w14:paraId="76DBF500" w14:textId="77777777">
        <w:trPr>
          <w:cantSplit/>
          <w:trHeight w:val="109"/>
        </w:trPr>
        <w:tc>
          <w:tcPr>
            <w:tcW w:w="5003" w:type="dxa"/>
            <w:tcBorders>
              <w:top w:val="nil"/>
              <w:left w:val="nil"/>
              <w:bottom w:val="nil"/>
              <w:right w:val="nil"/>
            </w:tcBorders>
            <w:shd w:val="clear" w:color="auto" w:fill="FFFFFF"/>
            <w:vAlign w:val="bottom"/>
            <w:hideMark/>
          </w:tcPr>
          <w:p w14:paraId="72EDAF93"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 </w:t>
            </w:r>
            <w:r w:rsidRPr="00042926">
              <w:rPr>
                <w:rFonts w:ascii="Arial" w:eastAsia="Times New Roman" w:hAnsi="Arial" w:cs="Arial"/>
                <w:color w:val="000000"/>
                <w:sz w:val="18"/>
                <w:szCs w:val="18"/>
                <w:lang w:val="en-AU"/>
              </w:rPr>
              <w:t> </w:t>
            </w:r>
          </w:p>
        </w:tc>
        <w:tc>
          <w:tcPr>
            <w:tcW w:w="1213" w:type="dxa"/>
            <w:tcBorders>
              <w:top w:val="nil"/>
              <w:left w:val="nil"/>
              <w:bottom w:val="single" w:sz="6" w:space="0" w:color="auto"/>
              <w:right w:val="nil"/>
            </w:tcBorders>
            <w:shd w:val="clear" w:color="auto" w:fill="FFFFFF"/>
            <w:vAlign w:val="bottom"/>
            <w:hideMark/>
          </w:tcPr>
          <w:p w14:paraId="23759151"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$’000</w:t>
            </w:r>
            <w:r w:rsidRPr="00042926">
              <w:rPr>
                <w:rFonts w:ascii="Arial" w:eastAsia="Times New Roman" w:hAnsi="Arial" w:cs="Arial"/>
                <w:color w:val="000000"/>
                <w:sz w:val="18"/>
                <w:szCs w:val="18"/>
                <w:lang w:val="en-AU"/>
              </w:rPr>
              <w:t> </w:t>
            </w:r>
          </w:p>
        </w:tc>
        <w:tc>
          <w:tcPr>
            <w:tcW w:w="1579" w:type="dxa"/>
            <w:tcBorders>
              <w:top w:val="nil"/>
              <w:left w:val="nil"/>
              <w:bottom w:val="single" w:sz="6" w:space="0" w:color="auto"/>
              <w:right w:val="nil"/>
            </w:tcBorders>
            <w:shd w:val="clear" w:color="auto" w:fill="FFFFFF"/>
            <w:vAlign w:val="bottom"/>
            <w:hideMark/>
          </w:tcPr>
          <w:p w14:paraId="70548E17"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$’000</w:t>
            </w:r>
            <w:r w:rsidRPr="00042926">
              <w:rPr>
                <w:rFonts w:ascii="Arial" w:eastAsia="Times New Roman" w:hAnsi="Arial" w:cs="Arial"/>
                <w:color w:val="000000"/>
                <w:sz w:val="18"/>
                <w:szCs w:val="18"/>
                <w:lang w:val="en-AU"/>
              </w:rPr>
              <w:t> </w:t>
            </w:r>
          </w:p>
        </w:tc>
      </w:tr>
      <w:tr w:rsidR="00042926" w:rsidRPr="00042926" w14:paraId="25AF2B4E" w14:textId="77777777">
        <w:trPr>
          <w:cantSplit/>
          <w:trHeight w:val="109"/>
        </w:trPr>
        <w:tc>
          <w:tcPr>
            <w:tcW w:w="5003" w:type="dxa"/>
            <w:tcBorders>
              <w:top w:val="nil"/>
              <w:left w:val="nil"/>
              <w:bottom w:val="nil"/>
              <w:right w:val="nil"/>
            </w:tcBorders>
            <w:shd w:val="clear" w:color="auto" w:fill="FFFFFF"/>
            <w:vAlign w:val="bottom"/>
            <w:hideMark/>
          </w:tcPr>
          <w:p w14:paraId="6F52E986"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Income</w:t>
            </w:r>
            <w:r w:rsidRPr="00042926">
              <w:rPr>
                <w:rFonts w:ascii="Arial" w:eastAsia="Times New Roman" w:hAnsi="Arial" w:cs="Arial"/>
                <w:color w:val="000000"/>
                <w:sz w:val="18"/>
                <w:szCs w:val="18"/>
                <w:lang w:val="en-AU"/>
              </w:rPr>
              <w:t> </w:t>
            </w:r>
          </w:p>
        </w:tc>
        <w:tc>
          <w:tcPr>
            <w:tcW w:w="1213" w:type="dxa"/>
            <w:tcBorders>
              <w:top w:val="nil"/>
              <w:left w:val="nil"/>
              <w:bottom w:val="nil"/>
              <w:right w:val="nil"/>
            </w:tcBorders>
            <w:shd w:val="clear" w:color="auto" w:fill="FFFFFF"/>
            <w:vAlign w:val="bottom"/>
            <w:hideMark/>
          </w:tcPr>
          <w:p w14:paraId="5AD5A281"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w:t>
            </w:r>
          </w:p>
        </w:tc>
        <w:tc>
          <w:tcPr>
            <w:tcW w:w="1579" w:type="dxa"/>
            <w:tcBorders>
              <w:top w:val="nil"/>
              <w:left w:val="nil"/>
              <w:bottom w:val="nil"/>
              <w:right w:val="nil"/>
            </w:tcBorders>
            <w:shd w:val="clear" w:color="auto" w:fill="FFFFFF"/>
            <w:vAlign w:val="bottom"/>
            <w:hideMark/>
          </w:tcPr>
          <w:p w14:paraId="50C80D33"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w:t>
            </w:r>
          </w:p>
        </w:tc>
      </w:tr>
      <w:tr w:rsidR="00042926" w:rsidRPr="00042926" w14:paraId="233FE209" w14:textId="77777777">
        <w:trPr>
          <w:cantSplit/>
          <w:trHeight w:val="109"/>
        </w:trPr>
        <w:tc>
          <w:tcPr>
            <w:tcW w:w="5003" w:type="dxa"/>
            <w:tcBorders>
              <w:top w:val="nil"/>
              <w:left w:val="nil"/>
              <w:bottom w:val="nil"/>
              <w:right w:val="nil"/>
            </w:tcBorders>
            <w:shd w:val="clear" w:color="auto" w:fill="FFFFFF"/>
            <w:vAlign w:val="bottom"/>
            <w:hideMark/>
          </w:tcPr>
          <w:p w14:paraId="4C1D17A4"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Contributions from Employers and Contractors </w:t>
            </w:r>
          </w:p>
        </w:tc>
        <w:tc>
          <w:tcPr>
            <w:tcW w:w="1213" w:type="dxa"/>
            <w:tcBorders>
              <w:top w:val="nil"/>
              <w:left w:val="nil"/>
              <w:bottom w:val="nil"/>
              <w:right w:val="nil"/>
            </w:tcBorders>
            <w:shd w:val="clear" w:color="auto" w:fill="FFFFFF"/>
            <w:hideMark/>
          </w:tcPr>
          <w:p w14:paraId="1320D349"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 51,057 </w:t>
            </w:r>
          </w:p>
        </w:tc>
        <w:tc>
          <w:tcPr>
            <w:tcW w:w="1579" w:type="dxa"/>
            <w:tcBorders>
              <w:top w:val="nil"/>
              <w:left w:val="nil"/>
              <w:bottom w:val="nil"/>
              <w:right w:val="nil"/>
            </w:tcBorders>
            <w:shd w:val="clear" w:color="auto" w:fill="FFFFFF"/>
            <w:hideMark/>
          </w:tcPr>
          <w:p w14:paraId="6D564FCA"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46,960 </w:t>
            </w:r>
          </w:p>
        </w:tc>
      </w:tr>
      <w:tr w:rsidR="00042926" w:rsidRPr="00042926" w14:paraId="4DCE0192" w14:textId="77777777">
        <w:trPr>
          <w:cantSplit/>
          <w:trHeight w:val="109"/>
        </w:trPr>
        <w:tc>
          <w:tcPr>
            <w:tcW w:w="5003" w:type="dxa"/>
            <w:tcBorders>
              <w:top w:val="nil"/>
              <w:left w:val="nil"/>
              <w:bottom w:val="nil"/>
              <w:right w:val="nil"/>
            </w:tcBorders>
            <w:shd w:val="clear" w:color="auto" w:fill="FFFFFF"/>
            <w:vAlign w:val="bottom"/>
            <w:hideMark/>
          </w:tcPr>
          <w:p w14:paraId="64CF2B3D"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Investment Revenue </w:t>
            </w:r>
          </w:p>
        </w:tc>
        <w:tc>
          <w:tcPr>
            <w:tcW w:w="1213" w:type="dxa"/>
            <w:tcBorders>
              <w:top w:val="nil"/>
              <w:left w:val="nil"/>
              <w:bottom w:val="nil"/>
              <w:right w:val="nil"/>
            </w:tcBorders>
            <w:shd w:val="clear" w:color="auto" w:fill="FFFFFF"/>
            <w:hideMark/>
          </w:tcPr>
          <w:p w14:paraId="7ABAB74C"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15,574 </w:t>
            </w:r>
          </w:p>
        </w:tc>
        <w:tc>
          <w:tcPr>
            <w:tcW w:w="1579" w:type="dxa"/>
            <w:tcBorders>
              <w:top w:val="nil"/>
              <w:left w:val="nil"/>
              <w:bottom w:val="nil"/>
              <w:right w:val="nil"/>
            </w:tcBorders>
            <w:shd w:val="clear" w:color="auto" w:fill="FFFFFF"/>
            <w:hideMark/>
          </w:tcPr>
          <w:p w14:paraId="6816CD47"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9,636 </w:t>
            </w:r>
          </w:p>
        </w:tc>
      </w:tr>
      <w:tr w:rsidR="00042926" w:rsidRPr="00042926" w14:paraId="20B38AB4" w14:textId="77777777">
        <w:trPr>
          <w:cantSplit/>
          <w:trHeight w:val="109"/>
        </w:trPr>
        <w:tc>
          <w:tcPr>
            <w:tcW w:w="5003" w:type="dxa"/>
            <w:tcBorders>
              <w:top w:val="nil"/>
              <w:left w:val="nil"/>
              <w:bottom w:val="nil"/>
              <w:right w:val="nil"/>
            </w:tcBorders>
            <w:shd w:val="clear" w:color="auto" w:fill="FFFFFF"/>
            <w:vAlign w:val="bottom"/>
            <w:hideMark/>
          </w:tcPr>
          <w:p w14:paraId="731F23A4"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Other Income </w:t>
            </w:r>
          </w:p>
        </w:tc>
        <w:tc>
          <w:tcPr>
            <w:tcW w:w="1213" w:type="dxa"/>
            <w:tcBorders>
              <w:top w:val="nil"/>
              <w:left w:val="nil"/>
              <w:bottom w:val="nil"/>
              <w:right w:val="nil"/>
            </w:tcBorders>
            <w:shd w:val="clear" w:color="auto" w:fill="FFFFFF"/>
            <w:hideMark/>
          </w:tcPr>
          <w:p w14:paraId="0CA7301C"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 721 </w:t>
            </w:r>
          </w:p>
        </w:tc>
        <w:tc>
          <w:tcPr>
            <w:tcW w:w="1579" w:type="dxa"/>
            <w:tcBorders>
              <w:top w:val="nil"/>
              <w:left w:val="nil"/>
              <w:bottom w:val="nil"/>
              <w:right w:val="nil"/>
            </w:tcBorders>
            <w:shd w:val="clear" w:color="auto" w:fill="FFFFFF"/>
            <w:hideMark/>
          </w:tcPr>
          <w:p w14:paraId="04ED5A72"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502 </w:t>
            </w:r>
          </w:p>
        </w:tc>
      </w:tr>
      <w:tr w:rsidR="00042926" w:rsidRPr="00042926" w14:paraId="2E5EE1B3" w14:textId="77777777">
        <w:trPr>
          <w:cantSplit/>
          <w:trHeight w:val="109"/>
        </w:trPr>
        <w:tc>
          <w:tcPr>
            <w:tcW w:w="5003" w:type="dxa"/>
            <w:tcBorders>
              <w:top w:val="nil"/>
              <w:left w:val="nil"/>
              <w:bottom w:val="nil"/>
              <w:right w:val="nil"/>
            </w:tcBorders>
            <w:shd w:val="clear" w:color="auto" w:fill="FFFFFF"/>
            <w:vAlign w:val="bottom"/>
            <w:hideMark/>
          </w:tcPr>
          <w:p w14:paraId="22DCD337"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Sales of Services from Contracts with Customers </w:t>
            </w:r>
          </w:p>
        </w:tc>
        <w:tc>
          <w:tcPr>
            <w:tcW w:w="1213" w:type="dxa"/>
            <w:tcBorders>
              <w:top w:val="nil"/>
              <w:left w:val="nil"/>
              <w:bottom w:val="nil"/>
              <w:right w:val="nil"/>
            </w:tcBorders>
            <w:shd w:val="clear" w:color="auto" w:fill="FFFFFF"/>
            <w:hideMark/>
          </w:tcPr>
          <w:p w14:paraId="0C9FA4D3"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 50 </w:t>
            </w:r>
          </w:p>
        </w:tc>
        <w:tc>
          <w:tcPr>
            <w:tcW w:w="1579" w:type="dxa"/>
            <w:tcBorders>
              <w:top w:val="nil"/>
              <w:left w:val="nil"/>
              <w:bottom w:val="nil"/>
              <w:right w:val="nil"/>
            </w:tcBorders>
            <w:shd w:val="clear" w:color="auto" w:fill="FFFFFF"/>
            <w:hideMark/>
          </w:tcPr>
          <w:p w14:paraId="6382DCD6"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79 </w:t>
            </w:r>
          </w:p>
        </w:tc>
      </w:tr>
      <w:tr w:rsidR="00042926" w:rsidRPr="00042926" w14:paraId="5870D528" w14:textId="77777777">
        <w:trPr>
          <w:cantSplit/>
          <w:trHeight w:val="109"/>
        </w:trPr>
        <w:tc>
          <w:tcPr>
            <w:tcW w:w="5003" w:type="dxa"/>
            <w:tcBorders>
              <w:top w:val="nil"/>
              <w:left w:val="nil"/>
              <w:bottom w:val="nil"/>
              <w:right w:val="nil"/>
            </w:tcBorders>
            <w:shd w:val="clear" w:color="auto" w:fill="FFFFFF"/>
            <w:vAlign w:val="bottom"/>
            <w:hideMark/>
          </w:tcPr>
          <w:p w14:paraId="09054F58"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Grants and Contributions </w:t>
            </w:r>
          </w:p>
        </w:tc>
        <w:tc>
          <w:tcPr>
            <w:tcW w:w="1213" w:type="dxa"/>
            <w:tcBorders>
              <w:top w:val="nil"/>
              <w:left w:val="nil"/>
              <w:bottom w:val="single" w:sz="6" w:space="0" w:color="auto"/>
              <w:right w:val="nil"/>
            </w:tcBorders>
            <w:shd w:val="clear" w:color="auto" w:fill="FFFFFF"/>
            <w:hideMark/>
          </w:tcPr>
          <w:p w14:paraId="2BC1A91A"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27 </w:t>
            </w:r>
          </w:p>
        </w:tc>
        <w:tc>
          <w:tcPr>
            <w:tcW w:w="1579" w:type="dxa"/>
            <w:tcBorders>
              <w:top w:val="nil"/>
              <w:left w:val="nil"/>
              <w:bottom w:val="single" w:sz="6" w:space="0" w:color="auto"/>
              <w:right w:val="nil"/>
            </w:tcBorders>
            <w:shd w:val="clear" w:color="auto" w:fill="FFFFFF"/>
            <w:hideMark/>
          </w:tcPr>
          <w:p w14:paraId="3F8124E2"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6 </w:t>
            </w:r>
          </w:p>
        </w:tc>
      </w:tr>
      <w:tr w:rsidR="00042926" w:rsidRPr="00042926" w14:paraId="74603FD6" w14:textId="77777777">
        <w:trPr>
          <w:cantSplit/>
          <w:trHeight w:val="109"/>
        </w:trPr>
        <w:tc>
          <w:tcPr>
            <w:tcW w:w="5003" w:type="dxa"/>
            <w:tcBorders>
              <w:top w:val="nil"/>
              <w:left w:val="nil"/>
              <w:bottom w:val="nil"/>
              <w:right w:val="nil"/>
            </w:tcBorders>
            <w:shd w:val="clear" w:color="auto" w:fill="FFFFFF"/>
            <w:vAlign w:val="bottom"/>
            <w:hideMark/>
          </w:tcPr>
          <w:p w14:paraId="7BAE3E50" w14:textId="77777777" w:rsidR="00042926" w:rsidRPr="00042926" w:rsidRDefault="00042926" w:rsidP="00042926">
            <w:pPr>
              <w:adjustRightInd w:val="0"/>
              <w:snapToGrid w:val="0"/>
              <w:spacing w:line="240" w:lineRule="auto"/>
              <w:textAlignment w:val="baseline"/>
              <w:rPr>
                <w:rFonts w:ascii="Times New Roman" w:eastAsia="Times New Roman" w:hAnsi="Times New Roman"/>
                <w:b/>
                <w:color w:val="000000"/>
                <w:lang w:val="en-AU"/>
              </w:rPr>
            </w:pPr>
            <w:r w:rsidRPr="00042926">
              <w:rPr>
                <w:rFonts w:ascii="Arial" w:eastAsia="Times New Roman" w:hAnsi="Arial" w:cs="Arial"/>
                <w:b/>
                <w:color w:val="000000"/>
                <w:sz w:val="18"/>
                <w:szCs w:val="18"/>
                <w:lang w:val="en-AU"/>
              </w:rPr>
              <w:t>Total Income (excluding return on investments) </w:t>
            </w:r>
          </w:p>
        </w:tc>
        <w:tc>
          <w:tcPr>
            <w:tcW w:w="1213" w:type="dxa"/>
            <w:tcBorders>
              <w:top w:val="single" w:sz="6" w:space="0" w:color="auto"/>
              <w:left w:val="nil"/>
              <w:bottom w:val="single" w:sz="6" w:space="0" w:color="auto"/>
              <w:right w:val="nil"/>
            </w:tcBorders>
            <w:shd w:val="clear" w:color="auto" w:fill="FFFFFF"/>
            <w:vAlign w:val="bottom"/>
            <w:hideMark/>
          </w:tcPr>
          <w:p w14:paraId="66997AA5" w14:textId="77777777" w:rsidR="00042926" w:rsidRPr="00042926" w:rsidRDefault="00042926" w:rsidP="00042926">
            <w:pPr>
              <w:adjustRightInd w:val="0"/>
              <w:snapToGrid w:val="0"/>
              <w:spacing w:line="240" w:lineRule="auto"/>
              <w:jc w:val="right"/>
              <w:textAlignment w:val="baseline"/>
              <w:rPr>
                <w:rFonts w:ascii="Arial" w:eastAsia="Times New Roman" w:hAnsi="Arial" w:cs="Arial"/>
                <w:b/>
                <w:color w:val="000000"/>
                <w:sz w:val="18"/>
                <w:szCs w:val="18"/>
                <w:lang w:val="en-AU"/>
              </w:rPr>
            </w:pPr>
            <w:r w:rsidRPr="00042926">
              <w:rPr>
                <w:rFonts w:ascii="Arial" w:eastAsia="Times New Roman" w:hAnsi="Arial" w:cs="Arial"/>
                <w:b/>
                <w:color w:val="000000"/>
                <w:sz w:val="18"/>
                <w:szCs w:val="18"/>
                <w:lang w:val="en-AU"/>
              </w:rPr>
              <w:t>67,429 </w:t>
            </w:r>
          </w:p>
        </w:tc>
        <w:tc>
          <w:tcPr>
            <w:tcW w:w="1579" w:type="dxa"/>
            <w:tcBorders>
              <w:top w:val="single" w:sz="6" w:space="0" w:color="auto"/>
              <w:left w:val="nil"/>
              <w:bottom w:val="single" w:sz="6" w:space="0" w:color="auto"/>
              <w:right w:val="nil"/>
            </w:tcBorders>
            <w:shd w:val="clear" w:color="auto" w:fill="FFFFFF"/>
            <w:vAlign w:val="bottom"/>
            <w:hideMark/>
          </w:tcPr>
          <w:p w14:paraId="29030840"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b/>
                <w:color w:val="000000"/>
                <w:lang w:val="en-AU"/>
              </w:rPr>
            </w:pPr>
            <w:r w:rsidRPr="00042926">
              <w:rPr>
                <w:rFonts w:ascii="Arial" w:eastAsia="Times New Roman" w:hAnsi="Arial" w:cs="Arial"/>
                <w:b/>
                <w:color w:val="000000"/>
                <w:sz w:val="18"/>
                <w:szCs w:val="18"/>
                <w:lang w:val="en-AU"/>
              </w:rPr>
              <w:t>57,183 </w:t>
            </w:r>
          </w:p>
        </w:tc>
      </w:tr>
      <w:tr w:rsidR="00042926" w:rsidRPr="00042926" w14:paraId="71C03203" w14:textId="77777777">
        <w:trPr>
          <w:cantSplit/>
          <w:trHeight w:val="109"/>
        </w:trPr>
        <w:tc>
          <w:tcPr>
            <w:tcW w:w="5003" w:type="dxa"/>
            <w:tcBorders>
              <w:top w:val="nil"/>
              <w:left w:val="nil"/>
              <w:bottom w:val="nil"/>
              <w:right w:val="nil"/>
            </w:tcBorders>
            <w:shd w:val="clear" w:color="auto" w:fill="FFFFFF"/>
            <w:vAlign w:val="bottom"/>
            <w:hideMark/>
          </w:tcPr>
          <w:p w14:paraId="2B7DE49D"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 </w:t>
            </w:r>
            <w:r w:rsidRPr="00042926">
              <w:rPr>
                <w:rFonts w:ascii="Arial" w:eastAsia="Times New Roman" w:hAnsi="Arial" w:cs="Arial"/>
                <w:color w:val="000000"/>
                <w:sz w:val="18"/>
                <w:szCs w:val="18"/>
                <w:lang w:val="en-AU"/>
              </w:rPr>
              <w:t> </w:t>
            </w:r>
          </w:p>
        </w:tc>
        <w:tc>
          <w:tcPr>
            <w:tcW w:w="1213" w:type="dxa"/>
            <w:tcBorders>
              <w:top w:val="nil"/>
              <w:left w:val="nil"/>
              <w:bottom w:val="nil"/>
              <w:right w:val="nil"/>
            </w:tcBorders>
            <w:shd w:val="clear" w:color="auto" w:fill="FFFFFF"/>
            <w:vAlign w:val="bottom"/>
            <w:hideMark/>
          </w:tcPr>
          <w:p w14:paraId="17B815DB"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w:t>
            </w:r>
          </w:p>
        </w:tc>
        <w:tc>
          <w:tcPr>
            <w:tcW w:w="1579" w:type="dxa"/>
            <w:tcBorders>
              <w:top w:val="single" w:sz="6" w:space="0" w:color="auto"/>
              <w:left w:val="nil"/>
              <w:bottom w:val="nil"/>
              <w:right w:val="nil"/>
            </w:tcBorders>
            <w:shd w:val="clear" w:color="auto" w:fill="FFFFFF"/>
            <w:vAlign w:val="bottom"/>
            <w:hideMark/>
          </w:tcPr>
          <w:p w14:paraId="0C2B3C97"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 </w:t>
            </w:r>
            <w:r w:rsidRPr="00042926">
              <w:rPr>
                <w:rFonts w:ascii="Arial" w:eastAsia="Times New Roman" w:hAnsi="Arial" w:cs="Arial"/>
                <w:color w:val="000000"/>
                <w:sz w:val="18"/>
                <w:szCs w:val="18"/>
                <w:lang w:val="en-AU"/>
              </w:rPr>
              <w:t> </w:t>
            </w:r>
          </w:p>
        </w:tc>
      </w:tr>
      <w:tr w:rsidR="00042926" w:rsidRPr="00042926" w14:paraId="712725E6" w14:textId="77777777">
        <w:trPr>
          <w:cantSplit/>
          <w:trHeight w:val="109"/>
        </w:trPr>
        <w:tc>
          <w:tcPr>
            <w:tcW w:w="5003" w:type="dxa"/>
            <w:tcBorders>
              <w:top w:val="nil"/>
              <w:left w:val="nil"/>
              <w:bottom w:val="nil"/>
              <w:right w:val="nil"/>
            </w:tcBorders>
            <w:shd w:val="clear" w:color="auto" w:fill="FFFFFF"/>
            <w:vAlign w:val="bottom"/>
            <w:hideMark/>
          </w:tcPr>
          <w:p w14:paraId="754B9007"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b/>
                <w:color w:val="000000"/>
                <w:sz w:val="18"/>
                <w:szCs w:val="18"/>
                <w:lang w:val="en-AU"/>
              </w:rPr>
              <w:t>Expenses</w:t>
            </w:r>
            <w:r w:rsidRPr="00042926">
              <w:rPr>
                <w:rFonts w:ascii="Arial" w:eastAsia="Times New Roman" w:hAnsi="Arial" w:cs="Arial"/>
                <w:color w:val="000000"/>
                <w:sz w:val="18"/>
                <w:szCs w:val="18"/>
                <w:lang w:val="en-AU"/>
              </w:rPr>
              <w:t> </w:t>
            </w:r>
          </w:p>
        </w:tc>
        <w:tc>
          <w:tcPr>
            <w:tcW w:w="1213" w:type="dxa"/>
            <w:tcBorders>
              <w:top w:val="nil"/>
              <w:left w:val="nil"/>
              <w:bottom w:val="nil"/>
              <w:right w:val="nil"/>
            </w:tcBorders>
            <w:shd w:val="clear" w:color="auto" w:fill="FFFFFF"/>
            <w:vAlign w:val="bottom"/>
            <w:hideMark/>
          </w:tcPr>
          <w:p w14:paraId="6EE14EF5"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w:t>
            </w:r>
          </w:p>
        </w:tc>
        <w:tc>
          <w:tcPr>
            <w:tcW w:w="1579" w:type="dxa"/>
            <w:tcBorders>
              <w:top w:val="nil"/>
              <w:left w:val="nil"/>
              <w:bottom w:val="nil"/>
              <w:right w:val="nil"/>
            </w:tcBorders>
            <w:shd w:val="clear" w:color="auto" w:fill="FFFFFF"/>
            <w:vAlign w:val="bottom"/>
            <w:hideMark/>
          </w:tcPr>
          <w:p w14:paraId="549EF4EE"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w:t>
            </w:r>
          </w:p>
        </w:tc>
      </w:tr>
      <w:tr w:rsidR="00042926" w:rsidRPr="00042926" w14:paraId="33151889" w14:textId="77777777">
        <w:trPr>
          <w:cantSplit/>
          <w:trHeight w:val="109"/>
        </w:trPr>
        <w:tc>
          <w:tcPr>
            <w:tcW w:w="5003" w:type="dxa"/>
            <w:tcBorders>
              <w:top w:val="nil"/>
              <w:left w:val="nil"/>
              <w:bottom w:val="nil"/>
              <w:right w:val="nil"/>
            </w:tcBorders>
            <w:shd w:val="clear" w:color="auto" w:fill="FFFFFF"/>
            <w:vAlign w:val="bottom"/>
            <w:hideMark/>
          </w:tcPr>
          <w:p w14:paraId="05E5E7C9"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Employee Expenses </w:t>
            </w:r>
          </w:p>
        </w:tc>
        <w:tc>
          <w:tcPr>
            <w:tcW w:w="1213" w:type="dxa"/>
            <w:tcBorders>
              <w:top w:val="nil"/>
              <w:left w:val="nil"/>
              <w:bottom w:val="nil"/>
              <w:right w:val="nil"/>
            </w:tcBorders>
            <w:shd w:val="clear" w:color="auto" w:fill="FFFFFF"/>
            <w:hideMark/>
          </w:tcPr>
          <w:p w14:paraId="5FF9CDFA"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 5,363 </w:t>
            </w:r>
          </w:p>
        </w:tc>
        <w:tc>
          <w:tcPr>
            <w:tcW w:w="1579" w:type="dxa"/>
            <w:tcBorders>
              <w:top w:val="nil"/>
              <w:left w:val="nil"/>
              <w:bottom w:val="nil"/>
              <w:right w:val="nil"/>
            </w:tcBorders>
            <w:shd w:val="clear" w:color="auto" w:fill="FFFFFF"/>
            <w:hideMark/>
          </w:tcPr>
          <w:p w14:paraId="0D5FE65C"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4,978 </w:t>
            </w:r>
          </w:p>
        </w:tc>
      </w:tr>
      <w:tr w:rsidR="00042926" w:rsidRPr="00042926" w14:paraId="61FDDBA1" w14:textId="77777777">
        <w:trPr>
          <w:cantSplit/>
          <w:trHeight w:val="109"/>
        </w:trPr>
        <w:tc>
          <w:tcPr>
            <w:tcW w:w="5003" w:type="dxa"/>
            <w:tcBorders>
              <w:top w:val="nil"/>
              <w:left w:val="nil"/>
              <w:bottom w:val="nil"/>
              <w:right w:val="nil"/>
            </w:tcBorders>
            <w:shd w:val="clear" w:color="auto" w:fill="FFFFFF"/>
            <w:vAlign w:val="bottom"/>
            <w:hideMark/>
          </w:tcPr>
          <w:p w14:paraId="4B5B13B0"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Supplies and Services </w:t>
            </w:r>
          </w:p>
        </w:tc>
        <w:tc>
          <w:tcPr>
            <w:tcW w:w="1213" w:type="dxa"/>
            <w:tcBorders>
              <w:top w:val="nil"/>
              <w:left w:val="nil"/>
              <w:bottom w:val="nil"/>
              <w:right w:val="nil"/>
            </w:tcBorders>
            <w:shd w:val="clear" w:color="auto" w:fill="FFFFFF"/>
            <w:hideMark/>
          </w:tcPr>
          <w:p w14:paraId="000F3191"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 2,147 </w:t>
            </w:r>
          </w:p>
        </w:tc>
        <w:tc>
          <w:tcPr>
            <w:tcW w:w="1579" w:type="dxa"/>
            <w:tcBorders>
              <w:top w:val="nil"/>
              <w:left w:val="nil"/>
              <w:bottom w:val="nil"/>
              <w:right w:val="nil"/>
            </w:tcBorders>
            <w:shd w:val="clear" w:color="auto" w:fill="FFFFFF"/>
            <w:hideMark/>
          </w:tcPr>
          <w:p w14:paraId="61ED26FE"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2,545 </w:t>
            </w:r>
          </w:p>
        </w:tc>
      </w:tr>
      <w:tr w:rsidR="00042926" w:rsidRPr="00042926" w14:paraId="1DBB132F" w14:textId="77777777">
        <w:trPr>
          <w:cantSplit/>
          <w:trHeight w:val="109"/>
        </w:trPr>
        <w:tc>
          <w:tcPr>
            <w:tcW w:w="5003" w:type="dxa"/>
            <w:tcBorders>
              <w:top w:val="nil"/>
              <w:left w:val="nil"/>
              <w:bottom w:val="nil"/>
              <w:right w:val="nil"/>
            </w:tcBorders>
            <w:shd w:val="clear" w:color="auto" w:fill="FFFFFF"/>
            <w:vAlign w:val="bottom"/>
            <w:hideMark/>
          </w:tcPr>
          <w:p w14:paraId="62DF928B"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Depreciation and Amortisation </w:t>
            </w:r>
          </w:p>
        </w:tc>
        <w:tc>
          <w:tcPr>
            <w:tcW w:w="1213" w:type="dxa"/>
            <w:tcBorders>
              <w:top w:val="nil"/>
              <w:left w:val="nil"/>
              <w:bottom w:val="nil"/>
              <w:right w:val="nil"/>
            </w:tcBorders>
            <w:shd w:val="clear" w:color="auto" w:fill="FFFFFF"/>
            <w:hideMark/>
          </w:tcPr>
          <w:p w14:paraId="3605BD48"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 254 </w:t>
            </w:r>
          </w:p>
        </w:tc>
        <w:tc>
          <w:tcPr>
            <w:tcW w:w="1579" w:type="dxa"/>
            <w:tcBorders>
              <w:top w:val="nil"/>
              <w:left w:val="nil"/>
              <w:bottom w:val="nil"/>
              <w:right w:val="nil"/>
            </w:tcBorders>
            <w:shd w:val="clear" w:color="auto" w:fill="FFFFFF"/>
            <w:hideMark/>
          </w:tcPr>
          <w:p w14:paraId="153B4462"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317 </w:t>
            </w:r>
          </w:p>
        </w:tc>
      </w:tr>
      <w:tr w:rsidR="00042926" w:rsidRPr="00042926" w14:paraId="202F72D7" w14:textId="77777777">
        <w:trPr>
          <w:cantSplit/>
          <w:trHeight w:val="109"/>
        </w:trPr>
        <w:tc>
          <w:tcPr>
            <w:tcW w:w="5003" w:type="dxa"/>
            <w:tcBorders>
              <w:top w:val="nil"/>
              <w:left w:val="nil"/>
              <w:bottom w:val="nil"/>
              <w:right w:val="nil"/>
            </w:tcBorders>
            <w:shd w:val="clear" w:color="auto" w:fill="FFFFFF"/>
            <w:vAlign w:val="bottom"/>
            <w:hideMark/>
          </w:tcPr>
          <w:p w14:paraId="2CDBB2AA"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Long Service Leave Benefits Expenses </w:t>
            </w:r>
          </w:p>
        </w:tc>
        <w:tc>
          <w:tcPr>
            <w:tcW w:w="1213" w:type="dxa"/>
            <w:tcBorders>
              <w:top w:val="nil"/>
              <w:left w:val="nil"/>
              <w:bottom w:val="nil"/>
              <w:right w:val="nil"/>
            </w:tcBorders>
            <w:shd w:val="clear" w:color="auto" w:fill="FFFFFF"/>
            <w:hideMark/>
          </w:tcPr>
          <w:p w14:paraId="0361ED44"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 38,768 </w:t>
            </w:r>
          </w:p>
        </w:tc>
        <w:tc>
          <w:tcPr>
            <w:tcW w:w="1579" w:type="dxa"/>
            <w:tcBorders>
              <w:top w:val="nil"/>
              <w:left w:val="nil"/>
              <w:bottom w:val="nil"/>
              <w:right w:val="nil"/>
            </w:tcBorders>
            <w:shd w:val="clear" w:color="auto" w:fill="FFFFFF"/>
            <w:hideMark/>
          </w:tcPr>
          <w:p w14:paraId="5ED80472"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39,633 </w:t>
            </w:r>
          </w:p>
        </w:tc>
      </w:tr>
      <w:tr w:rsidR="00042926" w:rsidRPr="00042926" w14:paraId="7B427A84" w14:textId="77777777">
        <w:trPr>
          <w:cantSplit/>
          <w:trHeight w:val="109"/>
        </w:trPr>
        <w:tc>
          <w:tcPr>
            <w:tcW w:w="5003" w:type="dxa"/>
            <w:tcBorders>
              <w:top w:val="nil"/>
              <w:left w:val="nil"/>
              <w:bottom w:val="nil"/>
              <w:right w:val="nil"/>
            </w:tcBorders>
            <w:shd w:val="clear" w:color="auto" w:fill="FFFFFF"/>
            <w:vAlign w:val="bottom"/>
            <w:hideMark/>
          </w:tcPr>
          <w:p w14:paraId="57556B62"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Finance Costs </w:t>
            </w:r>
          </w:p>
        </w:tc>
        <w:tc>
          <w:tcPr>
            <w:tcW w:w="1213" w:type="dxa"/>
            <w:tcBorders>
              <w:top w:val="nil"/>
              <w:left w:val="nil"/>
              <w:bottom w:val="nil"/>
              <w:right w:val="nil"/>
            </w:tcBorders>
            <w:shd w:val="clear" w:color="auto" w:fill="FFFFFF"/>
            <w:hideMark/>
          </w:tcPr>
          <w:p w14:paraId="0305812C"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 24,036 </w:t>
            </w:r>
          </w:p>
        </w:tc>
        <w:tc>
          <w:tcPr>
            <w:tcW w:w="1579" w:type="dxa"/>
            <w:tcBorders>
              <w:top w:val="nil"/>
              <w:left w:val="nil"/>
              <w:bottom w:val="nil"/>
              <w:right w:val="nil"/>
            </w:tcBorders>
            <w:shd w:val="clear" w:color="auto" w:fill="FFFFFF"/>
            <w:hideMark/>
          </w:tcPr>
          <w:p w14:paraId="05391E0D"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14,298 </w:t>
            </w:r>
          </w:p>
        </w:tc>
      </w:tr>
      <w:tr w:rsidR="00042926" w:rsidRPr="00042926" w14:paraId="3CB164A8" w14:textId="77777777">
        <w:trPr>
          <w:cantSplit/>
          <w:trHeight w:val="109"/>
        </w:trPr>
        <w:tc>
          <w:tcPr>
            <w:tcW w:w="5003" w:type="dxa"/>
            <w:tcBorders>
              <w:top w:val="nil"/>
              <w:left w:val="nil"/>
              <w:bottom w:val="nil"/>
              <w:right w:val="nil"/>
            </w:tcBorders>
            <w:shd w:val="clear" w:color="auto" w:fill="FFFFFF"/>
            <w:vAlign w:val="bottom"/>
            <w:hideMark/>
          </w:tcPr>
          <w:p w14:paraId="406307B7"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Other Expenses </w:t>
            </w:r>
          </w:p>
        </w:tc>
        <w:tc>
          <w:tcPr>
            <w:tcW w:w="1213" w:type="dxa"/>
            <w:tcBorders>
              <w:top w:val="nil"/>
              <w:left w:val="nil"/>
              <w:bottom w:val="single" w:sz="6" w:space="0" w:color="auto"/>
              <w:right w:val="nil"/>
            </w:tcBorders>
            <w:shd w:val="clear" w:color="auto" w:fill="FFFFFF"/>
            <w:hideMark/>
          </w:tcPr>
          <w:p w14:paraId="322BC615"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 xml:space="preserve">457 </w:t>
            </w:r>
          </w:p>
        </w:tc>
        <w:tc>
          <w:tcPr>
            <w:tcW w:w="1579" w:type="dxa"/>
            <w:tcBorders>
              <w:top w:val="nil"/>
              <w:left w:val="nil"/>
              <w:bottom w:val="single" w:sz="6" w:space="0" w:color="auto"/>
              <w:right w:val="nil"/>
            </w:tcBorders>
            <w:shd w:val="clear" w:color="auto" w:fill="FFFFFF"/>
            <w:hideMark/>
          </w:tcPr>
          <w:p w14:paraId="545ADBDC"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 xml:space="preserve"> 259 </w:t>
            </w:r>
          </w:p>
        </w:tc>
      </w:tr>
      <w:tr w:rsidR="00042926" w:rsidRPr="00042926" w14:paraId="25A161F5" w14:textId="77777777">
        <w:trPr>
          <w:cantSplit/>
          <w:trHeight w:val="109"/>
        </w:trPr>
        <w:tc>
          <w:tcPr>
            <w:tcW w:w="5003" w:type="dxa"/>
            <w:tcBorders>
              <w:top w:val="nil"/>
              <w:left w:val="nil"/>
              <w:bottom w:val="nil"/>
              <w:right w:val="nil"/>
            </w:tcBorders>
            <w:shd w:val="clear" w:color="auto" w:fill="FFFFFF"/>
            <w:vAlign w:val="bottom"/>
            <w:hideMark/>
          </w:tcPr>
          <w:p w14:paraId="7C6F63C9" w14:textId="77777777" w:rsidR="00042926" w:rsidRPr="00042926" w:rsidRDefault="00042926" w:rsidP="00042926">
            <w:pPr>
              <w:adjustRightInd w:val="0"/>
              <w:snapToGrid w:val="0"/>
              <w:spacing w:line="240" w:lineRule="auto"/>
              <w:textAlignment w:val="baseline"/>
              <w:rPr>
                <w:rFonts w:ascii="Times New Roman" w:eastAsia="Times New Roman" w:hAnsi="Times New Roman"/>
                <w:b/>
                <w:color w:val="000000"/>
                <w:lang w:val="en-AU"/>
              </w:rPr>
            </w:pPr>
            <w:r w:rsidRPr="00042926">
              <w:rPr>
                <w:rFonts w:ascii="Arial" w:eastAsia="Times New Roman" w:hAnsi="Arial" w:cs="Arial"/>
                <w:b/>
                <w:color w:val="000000"/>
                <w:sz w:val="18"/>
                <w:szCs w:val="18"/>
                <w:lang w:val="en-AU"/>
              </w:rPr>
              <w:t>Total Expenses </w:t>
            </w:r>
          </w:p>
        </w:tc>
        <w:tc>
          <w:tcPr>
            <w:tcW w:w="1213" w:type="dxa"/>
            <w:tcBorders>
              <w:top w:val="single" w:sz="6" w:space="0" w:color="auto"/>
              <w:left w:val="nil"/>
              <w:bottom w:val="single" w:sz="6" w:space="0" w:color="auto"/>
              <w:right w:val="nil"/>
            </w:tcBorders>
            <w:shd w:val="clear" w:color="auto" w:fill="FFFFFF"/>
            <w:hideMark/>
          </w:tcPr>
          <w:p w14:paraId="5853FF4B" w14:textId="77777777" w:rsidR="00042926" w:rsidRPr="00042926" w:rsidRDefault="00042926" w:rsidP="00042926">
            <w:pPr>
              <w:adjustRightInd w:val="0"/>
              <w:snapToGrid w:val="0"/>
              <w:spacing w:line="240" w:lineRule="auto"/>
              <w:jc w:val="right"/>
              <w:textAlignment w:val="baseline"/>
              <w:rPr>
                <w:rFonts w:ascii="Arial" w:eastAsia="Times New Roman" w:hAnsi="Arial" w:cs="Arial"/>
                <w:b/>
                <w:color w:val="000000"/>
                <w:sz w:val="18"/>
                <w:szCs w:val="18"/>
                <w:lang w:val="en-AU"/>
              </w:rPr>
            </w:pPr>
            <w:r w:rsidRPr="00042926">
              <w:rPr>
                <w:rFonts w:ascii="Arial" w:eastAsia="Times New Roman" w:hAnsi="Arial" w:cs="Arial"/>
                <w:b/>
                <w:color w:val="000000"/>
                <w:sz w:val="18"/>
                <w:szCs w:val="18"/>
                <w:lang w:val="en-AU"/>
              </w:rPr>
              <w:t xml:space="preserve"> 71,025 </w:t>
            </w:r>
          </w:p>
        </w:tc>
        <w:tc>
          <w:tcPr>
            <w:tcW w:w="1579" w:type="dxa"/>
            <w:tcBorders>
              <w:top w:val="single" w:sz="6" w:space="0" w:color="auto"/>
              <w:left w:val="nil"/>
              <w:bottom w:val="single" w:sz="6" w:space="0" w:color="auto"/>
              <w:right w:val="nil"/>
            </w:tcBorders>
            <w:shd w:val="clear" w:color="auto" w:fill="FFFFFF"/>
            <w:hideMark/>
          </w:tcPr>
          <w:p w14:paraId="2975C207"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b/>
                <w:color w:val="000000"/>
                <w:lang w:val="en-AU"/>
              </w:rPr>
            </w:pPr>
            <w:r w:rsidRPr="00042926">
              <w:rPr>
                <w:rFonts w:ascii="Arial" w:eastAsia="Times New Roman" w:hAnsi="Arial" w:cs="Arial"/>
                <w:b/>
                <w:color w:val="000000"/>
                <w:sz w:val="18"/>
                <w:szCs w:val="18"/>
                <w:lang w:val="en-AU"/>
              </w:rPr>
              <w:t xml:space="preserve"> 62,030 </w:t>
            </w:r>
          </w:p>
        </w:tc>
      </w:tr>
      <w:tr w:rsidR="00042926" w:rsidRPr="00042926" w14:paraId="3F4D1774" w14:textId="77777777">
        <w:trPr>
          <w:cantSplit/>
          <w:trHeight w:val="109"/>
        </w:trPr>
        <w:tc>
          <w:tcPr>
            <w:tcW w:w="5003" w:type="dxa"/>
            <w:tcBorders>
              <w:top w:val="nil"/>
              <w:left w:val="nil"/>
              <w:bottom w:val="nil"/>
              <w:right w:val="nil"/>
            </w:tcBorders>
            <w:shd w:val="clear" w:color="auto" w:fill="FFFFFF"/>
            <w:vAlign w:val="bottom"/>
            <w:hideMark/>
          </w:tcPr>
          <w:p w14:paraId="3B37BE8F" w14:textId="77777777" w:rsidR="00042926" w:rsidRPr="00042926" w:rsidRDefault="00042926" w:rsidP="00042926">
            <w:pPr>
              <w:adjustRightInd w:val="0"/>
              <w:snapToGrid w:val="0"/>
              <w:spacing w:line="240" w:lineRule="auto"/>
              <w:textAlignment w:val="baseline"/>
              <w:rPr>
                <w:rFonts w:ascii="Times New Roman" w:eastAsia="Times New Roman" w:hAnsi="Times New Roman"/>
                <w:b/>
                <w:color w:val="000000"/>
                <w:lang w:val="en-AU"/>
              </w:rPr>
            </w:pPr>
            <w:r w:rsidRPr="00042926">
              <w:rPr>
                <w:rFonts w:ascii="Arial" w:eastAsia="Times New Roman" w:hAnsi="Arial" w:cs="Arial"/>
                <w:b/>
                <w:color w:val="000000"/>
                <w:sz w:val="18"/>
                <w:szCs w:val="18"/>
                <w:lang w:val="en-AU"/>
              </w:rPr>
              <w:t>Operating Result before Gains from Remeasurement of Assets </w:t>
            </w:r>
          </w:p>
        </w:tc>
        <w:tc>
          <w:tcPr>
            <w:tcW w:w="1213" w:type="dxa"/>
            <w:tcBorders>
              <w:top w:val="single" w:sz="6" w:space="0" w:color="auto"/>
              <w:left w:val="nil"/>
              <w:bottom w:val="single" w:sz="6" w:space="0" w:color="auto"/>
              <w:right w:val="nil"/>
            </w:tcBorders>
            <w:shd w:val="clear" w:color="auto" w:fill="FFFFFF"/>
            <w:vAlign w:val="bottom"/>
            <w:hideMark/>
          </w:tcPr>
          <w:p w14:paraId="64964385" w14:textId="77777777" w:rsidR="00042926" w:rsidRPr="00042926" w:rsidRDefault="00042926" w:rsidP="00042926">
            <w:pPr>
              <w:adjustRightInd w:val="0"/>
              <w:snapToGrid w:val="0"/>
              <w:spacing w:line="240" w:lineRule="auto"/>
              <w:jc w:val="right"/>
              <w:textAlignment w:val="baseline"/>
              <w:rPr>
                <w:rFonts w:ascii="Arial" w:eastAsia="Times New Roman" w:hAnsi="Arial" w:cs="Arial"/>
                <w:b/>
                <w:color w:val="000000"/>
                <w:sz w:val="18"/>
                <w:szCs w:val="18"/>
                <w:lang w:val="en-AU"/>
              </w:rPr>
            </w:pPr>
            <w:r w:rsidRPr="00042926">
              <w:rPr>
                <w:rFonts w:ascii="Arial" w:eastAsia="Times New Roman" w:hAnsi="Arial" w:cs="Arial"/>
                <w:b/>
                <w:color w:val="000000"/>
                <w:sz w:val="18"/>
                <w:szCs w:val="18"/>
                <w:lang w:val="en-AU"/>
              </w:rPr>
              <w:t>(3,595) </w:t>
            </w:r>
          </w:p>
        </w:tc>
        <w:tc>
          <w:tcPr>
            <w:tcW w:w="1579" w:type="dxa"/>
            <w:tcBorders>
              <w:top w:val="single" w:sz="6" w:space="0" w:color="auto"/>
              <w:left w:val="nil"/>
              <w:bottom w:val="single" w:sz="6" w:space="0" w:color="auto"/>
              <w:right w:val="nil"/>
            </w:tcBorders>
            <w:shd w:val="clear" w:color="auto" w:fill="FFFFFF"/>
            <w:vAlign w:val="bottom"/>
            <w:hideMark/>
          </w:tcPr>
          <w:p w14:paraId="73A941C5"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b/>
                <w:color w:val="000000"/>
                <w:lang w:val="en-AU"/>
              </w:rPr>
            </w:pPr>
            <w:r w:rsidRPr="00042926">
              <w:rPr>
                <w:rFonts w:ascii="Arial" w:eastAsia="Times New Roman" w:hAnsi="Arial" w:cs="Arial"/>
                <w:b/>
                <w:color w:val="000000"/>
                <w:sz w:val="18"/>
                <w:szCs w:val="18"/>
                <w:lang w:val="en-AU"/>
              </w:rPr>
              <w:t>(4,847) </w:t>
            </w:r>
          </w:p>
        </w:tc>
      </w:tr>
      <w:tr w:rsidR="00042926" w:rsidRPr="00042926" w14:paraId="218BEBD0" w14:textId="77777777">
        <w:trPr>
          <w:cantSplit/>
          <w:trHeight w:val="109"/>
        </w:trPr>
        <w:tc>
          <w:tcPr>
            <w:tcW w:w="5003" w:type="dxa"/>
            <w:tcBorders>
              <w:top w:val="nil"/>
              <w:left w:val="nil"/>
              <w:bottom w:val="nil"/>
              <w:right w:val="nil"/>
            </w:tcBorders>
            <w:shd w:val="clear" w:color="auto" w:fill="FFFFFF"/>
            <w:vAlign w:val="bottom"/>
            <w:hideMark/>
          </w:tcPr>
          <w:p w14:paraId="0B89A4C5" w14:textId="77777777" w:rsidR="00042926" w:rsidRPr="00042926" w:rsidRDefault="00042926" w:rsidP="00042926">
            <w:pPr>
              <w:adjustRightInd w:val="0"/>
              <w:snapToGrid w:val="0"/>
              <w:spacing w:line="240" w:lineRule="auto"/>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Gains from Remeasurement of Assets </w:t>
            </w:r>
          </w:p>
        </w:tc>
        <w:tc>
          <w:tcPr>
            <w:tcW w:w="1213" w:type="dxa"/>
            <w:tcBorders>
              <w:top w:val="single" w:sz="6" w:space="0" w:color="auto"/>
              <w:left w:val="nil"/>
              <w:bottom w:val="single" w:sz="6" w:space="0" w:color="auto"/>
              <w:right w:val="nil"/>
            </w:tcBorders>
            <w:shd w:val="clear" w:color="auto" w:fill="FFFFFF"/>
            <w:vAlign w:val="bottom"/>
            <w:hideMark/>
          </w:tcPr>
          <w:p w14:paraId="3A82D50F" w14:textId="77777777" w:rsidR="00042926" w:rsidRPr="00042926" w:rsidRDefault="00042926" w:rsidP="00042926">
            <w:pPr>
              <w:adjustRightInd w:val="0"/>
              <w:snapToGrid w:val="0"/>
              <w:spacing w:line="240" w:lineRule="auto"/>
              <w:jc w:val="right"/>
              <w:textAlignment w:val="baseline"/>
              <w:rPr>
                <w:rFonts w:ascii="Arial" w:eastAsia="Times New Roman" w:hAnsi="Arial" w:cs="Arial"/>
                <w:color w:val="000000"/>
                <w:sz w:val="18"/>
                <w:szCs w:val="18"/>
                <w:lang w:val="en-AU"/>
              </w:rPr>
            </w:pPr>
            <w:r w:rsidRPr="00042926">
              <w:rPr>
                <w:rFonts w:ascii="Arial" w:eastAsia="Times New Roman" w:hAnsi="Arial" w:cs="Arial"/>
                <w:color w:val="000000"/>
                <w:sz w:val="18"/>
                <w:szCs w:val="18"/>
                <w:lang w:val="en-AU"/>
              </w:rPr>
              <w:t>9,060 </w:t>
            </w:r>
          </w:p>
        </w:tc>
        <w:tc>
          <w:tcPr>
            <w:tcW w:w="1579" w:type="dxa"/>
            <w:tcBorders>
              <w:top w:val="single" w:sz="6" w:space="0" w:color="auto"/>
              <w:left w:val="nil"/>
              <w:bottom w:val="single" w:sz="6" w:space="0" w:color="auto"/>
              <w:right w:val="nil"/>
            </w:tcBorders>
            <w:shd w:val="clear" w:color="auto" w:fill="FFFFFF"/>
            <w:vAlign w:val="bottom"/>
            <w:hideMark/>
          </w:tcPr>
          <w:p w14:paraId="483482D4"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color w:val="000000"/>
                <w:lang w:val="en-AU"/>
              </w:rPr>
            </w:pPr>
            <w:r w:rsidRPr="00042926">
              <w:rPr>
                <w:rFonts w:ascii="Arial" w:eastAsia="Times New Roman" w:hAnsi="Arial" w:cs="Arial"/>
                <w:color w:val="000000"/>
                <w:sz w:val="18"/>
                <w:szCs w:val="18"/>
                <w:lang w:val="en-AU"/>
              </w:rPr>
              <w:t>30,005 </w:t>
            </w:r>
          </w:p>
        </w:tc>
      </w:tr>
      <w:tr w:rsidR="00042926" w:rsidRPr="00042926" w14:paraId="65954EEB" w14:textId="77777777">
        <w:trPr>
          <w:cantSplit/>
          <w:trHeight w:val="109"/>
        </w:trPr>
        <w:tc>
          <w:tcPr>
            <w:tcW w:w="5003" w:type="dxa"/>
            <w:tcBorders>
              <w:top w:val="nil"/>
              <w:left w:val="nil"/>
              <w:bottom w:val="nil"/>
              <w:right w:val="nil"/>
            </w:tcBorders>
            <w:shd w:val="clear" w:color="auto" w:fill="FFFFFF"/>
            <w:vAlign w:val="bottom"/>
            <w:hideMark/>
          </w:tcPr>
          <w:p w14:paraId="0FE25A84" w14:textId="77777777" w:rsidR="00042926" w:rsidRPr="00042926" w:rsidRDefault="00042926" w:rsidP="00042926">
            <w:pPr>
              <w:adjustRightInd w:val="0"/>
              <w:snapToGrid w:val="0"/>
              <w:spacing w:line="240" w:lineRule="auto"/>
              <w:textAlignment w:val="baseline"/>
              <w:rPr>
                <w:rFonts w:ascii="Times New Roman" w:eastAsia="Times New Roman" w:hAnsi="Times New Roman"/>
                <w:b/>
                <w:color w:val="000000"/>
                <w:lang w:val="en-AU"/>
              </w:rPr>
            </w:pPr>
            <w:r w:rsidRPr="00042926">
              <w:rPr>
                <w:rFonts w:ascii="Arial" w:eastAsia="Times New Roman" w:hAnsi="Arial" w:cs="Arial"/>
                <w:b/>
                <w:color w:val="000000"/>
                <w:sz w:val="18"/>
                <w:szCs w:val="18"/>
                <w:lang w:val="en-AU"/>
              </w:rPr>
              <w:t>Operating Result </w:t>
            </w:r>
          </w:p>
        </w:tc>
        <w:tc>
          <w:tcPr>
            <w:tcW w:w="1213" w:type="dxa"/>
            <w:tcBorders>
              <w:top w:val="single" w:sz="6" w:space="0" w:color="auto"/>
              <w:left w:val="nil"/>
              <w:bottom w:val="single" w:sz="6" w:space="0" w:color="auto"/>
              <w:right w:val="nil"/>
            </w:tcBorders>
            <w:shd w:val="clear" w:color="auto" w:fill="FFFFFF"/>
            <w:vAlign w:val="bottom"/>
            <w:hideMark/>
          </w:tcPr>
          <w:p w14:paraId="79B72628" w14:textId="77777777" w:rsidR="00042926" w:rsidRPr="00042926" w:rsidRDefault="00042926" w:rsidP="00042926">
            <w:pPr>
              <w:adjustRightInd w:val="0"/>
              <w:snapToGrid w:val="0"/>
              <w:spacing w:line="240" w:lineRule="auto"/>
              <w:jc w:val="right"/>
              <w:textAlignment w:val="baseline"/>
              <w:rPr>
                <w:rFonts w:ascii="Arial" w:eastAsia="Times New Roman" w:hAnsi="Arial" w:cs="Arial"/>
                <w:b/>
                <w:color w:val="000000"/>
                <w:sz w:val="18"/>
                <w:szCs w:val="18"/>
                <w:lang w:val="en-AU"/>
              </w:rPr>
            </w:pPr>
            <w:r w:rsidRPr="00042926">
              <w:rPr>
                <w:rFonts w:ascii="Arial" w:eastAsia="Times New Roman" w:hAnsi="Arial" w:cs="Arial"/>
                <w:b/>
                <w:color w:val="000000"/>
                <w:sz w:val="18"/>
                <w:szCs w:val="18"/>
                <w:lang w:val="en-AU"/>
              </w:rPr>
              <w:t>5,465 </w:t>
            </w:r>
          </w:p>
        </w:tc>
        <w:tc>
          <w:tcPr>
            <w:tcW w:w="1579" w:type="dxa"/>
            <w:tcBorders>
              <w:top w:val="single" w:sz="6" w:space="0" w:color="auto"/>
              <w:left w:val="nil"/>
              <w:bottom w:val="single" w:sz="6" w:space="0" w:color="auto"/>
              <w:right w:val="nil"/>
            </w:tcBorders>
            <w:shd w:val="clear" w:color="auto" w:fill="FFFFFF"/>
            <w:vAlign w:val="bottom"/>
            <w:hideMark/>
          </w:tcPr>
          <w:p w14:paraId="023FD32E" w14:textId="77777777" w:rsidR="00042926" w:rsidRPr="00042926" w:rsidRDefault="00042926" w:rsidP="00042926">
            <w:pPr>
              <w:adjustRightInd w:val="0"/>
              <w:snapToGrid w:val="0"/>
              <w:spacing w:line="240" w:lineRule="auto"/>
              <w:jc w:val="right"/>
              <w:textAlignment w:val="baseline"/>
              <w:rPr>
                <w:rFonts w:ascii="Times New Roman" w:eastAsia="Times New Roman" w:hAnsi="Times New Roman"/>
                <w:b/>
                <w:color w:val="000000"/>
                <w:lang w:val="en-AU"/>
              </w:rPr>
            </w:pPr>
            <w:r w:rsidRPr="00042926">
              <w:rPr>
                <w:rFonts w:ascii="Arial" w:eastAsia="Times New Roman" w:hAnsi="Arial" w:cs="Arial"/>
                <w:b/>
                <w:color w:val="000000"/>
                <w:sz w:val="18"/>
                <w:szCs w:val="18"/>
                <w:lang w:val="en-AU"/>
              </w:rPr>
              <w:t>25,158 </w:t>
            </w:r>
          </w:p>
        </w:tc>
      </w:tr>
    </w:tbl>
    <w:p w14:paraId="2DB0B736" w14:textId="250C03F3" w:rsidR="00721D1D" w:rsidRDefault="00721D1D" w:rsidP="0085396D">
      <w:pPr>
        <w:spacing w:before="120" w:after="120" w:line="240" w:lineRule="auto"/>
        <w:rPr>
          <w:lang w:val="en-AU"/>
        </w:rPr>
      </w:pPr>
    </w:p>
    <w:p w14:paraId="19238F1F" w14:textId="48452EC2" w:rsidR="0085396D" w:rsidRPr="0085396D" w:rsidRDefault="0085396D" w:rsidP="0085396D">
      <w:pPr>
        <w:spacing w:before="120" w:after="120" w:line="240" w:lineRule="auto"/>
        <w:rPr>
          <w:lang w:val="en-AU"/>
        </w:rPr>
      </w:pPr>
      <w:r w:rsidRPr="0085396D">
        <w:rPr>
          <w:lang w:val="en-AU"/>
        </w:rPr>
        <w:t>The information contained in this statement may not add up due to rounding. </w:t>
      </w:r>
    </w:p>
    <w:p w14:paraId="0A9AB153" w14:textId="77777777" w:rsidR="0072279D" w:rsidRDefault="0072279D">
      <w:pPr>
        <w:spacing w:before="120" w:after="120" w:line="240" w:lineRule="auto"/>
        <w:rPr>
          <w:rFonts w:ascii="Arial" w:eastAsiaTheme="majorEastAsia" w:hAnsi="Arial" w:cstheme="majorBidi"/>
          <w:b/>
          <w:color w:val="081DA4" w:themeColor="accent1"/>
          <w:spacing w:val="-4"/>
          <w:sz w:val="32"/>
          <w:szCs w:val="26"/>
        </w:rPr>
      </w:pPr>
      <w:r>
        <w:br w:type="page"/>
      </w:r>
    </w:p>
    <w:p w14:paraId="3626EAB5" w14:textId="42BA92B3" w:rsidR="00906F10" w:rsidRPr="00986788" w:rsidRDefault="0006245F" w:rsidP="006E0242">
      <w:pPr>
        <w:pStyle w:val="Heading2"/>
        <w:rPr>
          <w:bCs/>
          <w:lang w:val="en-AU"/>
        </w:rPr>
      </w:pPr>
      <w:bookmarkStart w:id="77" w:name="_Toc240533505"/>
      <w:r w:rsidRPr="00986788">
        <w:lastRenderedPageBreak/>
        <w:t>C</w:t>
      </w:r>
      <w:r w:rsidR="00583F3E" w:rsidRPr="00986788">
        <w:t>2</w:t>
      </w:r>
      <w:r w:rsidR="008C045B" w:rsidRPr="00986788">
        <w:t>.</w:t>
      </w:r>
      <w:r w:rsidR="00583F3E" w:rsidRPr="00986788">
        <w:t xml:space="preserve"> Financial </w:t>
      </w:r>
      <w:r w:rsidR="00870559" w:rsidRPr="00986788">
        <w:t>s</w:t>
      </w:r>
      <w:r w:rsidR="00583F3E" w:rsidRPr="00986788">
        <w:t>tatements</w:t>
      </w:r>
      <w:bookmarkEnd w:id="77"/>
    </w:p>
    <w:p w14:paraId="02926561" w14:textId="77777777" w:rsidR="00070126" w:rsidRDefault="00070126" w:rsidP="00C0321C">
      <w:pPr>
        <w:spacing w:after="0" w:line="240" w:lineRule="auto"/>
        <w:jc w:val="center"/>
        <w:textAlignment w:val="baseline"/>
        <w:rPr>
          <w:rFonts w:ascii="Arial" w:eastAsiaTheme="majorEastAsia" w:hAnsi="Arial" w:cstheme="majorBidi"/>
          <w:b/>
          <w:bCs/>
          <w:color w:val="081DA4" w:themeColor="text2"/>
          <w:spacing w:val="-10"/>
          <w:sz w:val="44"/>
          <w:szCs w:val="32"/>
          <w:lang w:val="en-AU" w:eastAsia="en-US"/>
        </w:rPr>
      </w:pPr>
    </w:p>
    <w:p w14:paraId="729A011C" w14:textId="77777777" w:rsidR="00070126" w:rsidRDefault="00070126" w:rsidP="00C0321C">
      <w:pPr>
        <w:spacing w:after="0" w:line="240" w:lineRule="auto"/>
        <w:jc w:val="center"/>
        <w:textAlignment w:val="baseline"/>
        <w:rPr>
          <w:rFonts w:ascii="Arial" w:eastAsiaTheme="majorEastAsia" w:hAnsi="Arial" w:cstheme="majorBidi"/>
          <w:b/>
          <w:bCs/>
          <w:color w:val="081DA4" w:themeColor="text2"/>
          <w:spacing w:val="-10"/>
          <w:sz w:val="44"/>
          <w:szCs w:val="32"/>
          <w:lang w:val="en-AU" w:eastAsia="en-US"/>
        </w:rPr>
      </w:pPr>
    </w:p>
    <w:p w14:paraId="699F30EE" w14:textId="77777777" w:rsidR="00070126" w:rsidRDefault="00070126" w:rsidP="00C0321C">
      <w:pPr>
        <w:spacing w:after="0" w:line="240" w:lineRule="auto"/>
        <w:jc w:val="center"/>
        <w:textAlignment w:val="baseline"/>
        <w:rPr>
          <w:rFonts w:ascii="Arial" w:eastAsiaTheme="majorEastAsia" w:hAnsi="Arial" w:cstheme="majorBidi"/>
          <w:b/>
          <w:bCs/>
          <w:color w:val="081DA4" w:themeColor="text2"/>
          <w:spacing w:val="-10"/>
          <w:sz w:val="44"/>
          <w:szCs w:val="32"/>
          <w:lang w:val="en-AU" w:eastAsia="en-US"/>
        </w:rPr>
      </w:pPr>
    </w:p>
    <w:p w14:paraId="78EFE3C3" w14:textId="77777777" w:rsidR="00070126" w:rsidRDefault="00070126" w:rsidP="00C0321C">
      <w:pPr>
        <w:spacing w:after="0" w:line="240" w:lineRule="auto"/>
        <w:jc w:val="center"/>
        <w:textAlignment w:val="baseline"/>
        <w:rPr>
          <w:rFonts w:ascii="Arial" w:eastAsiaTheme="majorEastAsia" w:hAnsi="Arial" w:cstheme="majorBidi"/>
          <w:b/>
          <w:bCs/>
          <w:color w:val="081DA4" w:themeColor="text2"/>
          <w:spacing w:val="-10"/>
          <w:sz w:val="44"/>
          <w:szCs w:val="32"/>
          <w:lang w:val="en-AU" w:eastAsia="en-US"/>
        </w:rPr>
      </w:pPr>
    </w:p>
    <w:p w14:paraId="2B3E36FD" w14:textId="77777777" w:rsidR="00070126" w:rsidRDefault="00070126" w:rsidP="00C0321C">
      <w:pPr>
        <w:spacing w:after="0" w:line="240" w:lineRule="auto"/>
        <w:jc w:val="center"/>
        <w:textAlignment w:val="baseline"/>
        <w:rPr>
          <w:rFonts w:ascii="Arial" w:eastAsiaTheme="majorEastAsia" w:hAnsi="Arial" w:cstheme="majorBidi"/>
          <w:b/>
          <w:bCs/>
          <w:color w:val="081DA4" w:themeColor="text2"/>
          <w:spacing w:val="-10"/>
          <w:sz w:val="44"/>
          <w:szCs w:val="32"/>
          <w:lang w:val="en-AU" w:eastAsia="en-US"/>
        </w:rPr>
      </w:pPr>
    </w:p>
    <w:p w14:paraId="2C43ADF9" w14:textId="201190F0" w:rsidR="00070126" w:rsidRDefault="00070126" w:rsidP="00C0321C">
      <w:pPr>
        <w:spacing w:after="0" w:line="240" w:lineRule="auto"/>
        <w:jc w:val="center"/>
        <w:textAlignment w:val="baseline"/>
        <w:rPr>
          <w:rFonts w:ascii="Arial" w:eastAsiaTheme="majorEastAsia" w:hAnsi="Arial" w:cstheme="majorBidi"/>
          <w:b/>
          <w:bCs/>
          <w:color w:val="081DA4" w:themeColor="text2"/>
          <w:spacing w:val="-10"/>
          <w:sz w:val="44"/>
          <w:szCs w:val="32"/>
          <w:lang w:val="en-AU" w:eastAsia="en-US"/>
        </w:rPr>
      </w:pPr>
    </w:p>
    <w:p w14:paraId="3835BA1F" w14:textId="77777777" w:rsidR="00070126" w:rsidRDefault="00070126" w:rsidP="00C0321C">
      <w:pPr>
        <w:spacing w:after="0" w:line="240" w:lineRule="auto"/>
        <w:jc w:val="center"/>
        <w:textAlignment w:val="baseline"/>
        <w:rPr>
          <w:rFonts w:ascii="Arial" w:eastAsiaTheme="majorEastAsia" w:hAnsi="Arial" w:cstheme="majorBidi"/>
          <w:b/>
          <w:bCs/>
          <w:color w:val="081DA4" w:themeColor="text2"/>
          <w:spacing w:val="-10"/>
          <w:sz w:val="44"/>
          <w:szCs w:val="32"/>
          <w:lang w:val="en-AU" w:eastAsia="en-US"/>
        </w:rPr>
      </w:pPr>
    </w:p>
    <w:p w14:paraId="0CCD0831" w14:textId="3B75FB48" w:rsidR="00C0321C" w:rsidRPr="00C0321C" w:rsidRDefault="00C0321C" w:rsidP="00C0321C">
      <w:pPr>
        <w:spacing w:after="0" w:line="240" w:lineRule="auto"/>
        <w:jc w:val="center"/>
        <w:textAlignment w:val="baseline"/>
        <w:rPr>
          <w:rFonts w:ascii="Arial" w:eastAsiaTheme="majorEastAsia" w:hAnsi="Arial" w:cstheme="majorBidi"/>
          <w:b/>
          <w:bCs/>
          <w:color w:val="081DA4" w:themeColor="text2"/>
          <w:spacing w:val="-10"/>
          <w:sz w:val="44"/>
          <w:szCs w:val="32"/>
          <w:lang w:val="en-AU" w:eastAsia="en-US"/>
        </w:rPr>
      </w:pPr>
      <w:r w:rsidRPr="00C0321C">
        <w:rPr>
          <w:rFonts w:ascii="Arial" w:eastAsiaTheme="majorEastAsia" w:hAnsi="Arial" w:cstheme="majorBidi"/>
          <w:b/>
          <w:bCs/>
          <w:color w:val="081DA4" w:themeColor="text2"/>
          <w:spacing w:val="-10"/>
          <w:sz w:val="44"/>
          <w:szCs w:val="32"/>
          <w:lang w:val="en-AU" w:eastAsia="en-US"/>
        </w:rPr>
        <w:t>FINANCIAL STATEMENTS </w:t>
      </w:r>
    </w:p>
    <w:p w14:paraId="30BFF41A" w14:textId="77777777" w:rsidR="00C0321C" w:rsidRPr="00C0321C" w:rsidRDefault="00C0321C" w:rsidP="00C0321C">
      <w:pPr>
        <w:spacing w:after="0" w:line="240" w:lineRule="auto"/>
        <w:jc w:val="center"/>
        <w:textAlignment w:val="baseline"/>
        <w:rPr>
          <w:rFonts w:ascii="Arial" w:eastAsiaTheme="majorEastAsia" w:hAnsi="Arial" w:cstheme="majorBidi"/>
          <w:b/>
          <w:color w:val="081DA4" w:themeColor="text2"/>
          <w:spacing w:val="-10"/>
          <w:sz w:val="44"/>
          <w:szCs w:val="32"/>
          <w:lang w:val="en-AU" w:eastAsia="en-US"/>
        </w:rPr>
      </w:pPr>
      <w:r w:rsidRPr="00C0321C">
        <w:rPr>
          <w:rFonts w:ascii="Arial" w:eastAsiaTheme="majorEastAsia" w:hAnsi="Arial" w:cstheme="majorBidi"/>
          <w:b/>
          <w:bCs/>
          <w:color w:val="081DA4" w:themeColor="text2"/>
          <w:spacing w:val="-10"/>
          <w:sz w:val="44"/>
          <w:szCs w:val="32"/>
          <w:lang w:eastAsia="en-US"/>
        </w:rPr>
        <w:t>LONG SERVICE LEAVE AUTHORITY</w:t>
      </w:r>
      <w:r w:rsidRPr="00C0321C">
        <w:rPr>
          <w:rFonts w:ascii="Arial" w:eastAsiaTheme="majorEastAsia" w:hAnsi="Arial" w:cstheme="majorBidi"/>
          <w:b/>
          <w:color w:val="081DA4" w:themeColor="text2"/>
          <w:spacing w:val="-10"/>
          <w:sz w:val="44"/>
          <w:szCs w:val="32"/>
          <w:lang w:val="en-AU" w:eastAsia="en-US"/>
        </w:rPr>
        <w:t> </w:t>
      </w:r>
    </w:p>
    <w:p w14:paraId="4F045B0B" w14:textId="77777777" w:rsidR="00C0321C" w:rsidRPr="00C0321C" w:rsidRDefault="00C0321C" w:rsidP="00C0321C">
      <w:pPr>
        <w:spacing w:after="0" w:line="240" w:lineRule="auto"/>
        <w:jc w:val="center"/>
        <w:textAlignment w:val="baseline"/>
        <w:rPr>
          <w:rFonts w:ascii="Arial" w:eastAsiaTheme="majorEastAsia" w:hAnsi="Arial" w:cstheme="majorBidi"/>
          <w:b/>
          <w:color w:val="081DA4" w:themeColor="text2"/>
          <w:spacing w:val="-10"/>
          <w:sz w:val="44"/>
          <w:szCs w:val="32"/>
          <w:lang w:val="en-AU" w:eastAsia="en-US"/>
        </w:rPr>
      </w:pPr>
      <w:r w:rsidRPr="00C0321C">
        <w:rPr>
          <w:rFonts w:ascii="Arial" w:eastAsiaTheme="majorEastAsia" w:hAnsi="Arial" w:cstheme="majorBidi"/>
          <w:b/>
          <w:color w:val="081DA4" w:themeColor="text2"/>
          <w:spacing w:val="-10"/>
          <w:sz w:val="44"/>
          <w:szCs w:val="32"/>
          <w:lang w:val="en-AU" w:eastAsia="en-US"/>
        </w:rPr>
        <w:t> </w:t>
      </w:r>
    </w:p>
    <w:p w14:paraId="7525876A" w14:textId="77777777" w:rsidR="00C0321C" w:rsidRPr="00C0321C" w:rsidRDefault="00C0321C" w:rsidP="00C0321C">
      <w:pPr>
        <w:spacing w:after="0" w:line="240" w:lineRule="auto"/>
        <w:jc w:val="center"/>
        <w:textAlignment w:val="baseline"/>
        <w:rPr>
          <w:rFonts w:ascii="Arial" w:eastAsiaTheme="majorEastAsia" w:hAnsi="Arial" w:cstheme="majorBidi"/>
          <w:b/>
          <w:color w:val="081DA4" w:themeColor="text2"/>
          <w:spacing w:val="-10"/>
          <w:sz w:val="44"/>
          <w:szCs w:val="32"/>
          <w:lang w:val="en-AU" w:eastAsia="en-US"/>
        </w:rPr>
      </w:pPr>
      <w:r w:rsidRPr="00C0321C">
        <w:rPr>
          <w:rFonts w:ascii="Arial" w:eastAsiaTheme="majorEastAsia" w:hAnsi="Arial" w:cstheme="majorBidi"/>
          <w:b/>
          <w:color w:val="081DA4" w:themeColor="text2"/>
          <w:spacing w:val="-10"/>
          <w:sz w:val="44"/>
          <w:szCs w:val="32"/>
          <w:lang w:val="en-AU" w:eastAsia="en-US"/>
        </w:rPr>
        <w:t> </w:t>
      </w:r>
    </w:p>
    <w:p w14:paraId="3BC8E638" w14:textId="77777777" w:rsidR="00C0321C" w:rsidRPr="00C0321C" w:rsidRDefault="00C0321C" w:rsidP="00C0321C">
      <w:pPr>
        <w:spacing w:after="0" w:line="240" w:lineRule="auto"/>
        <w:jc w:val="center"/>
        <w:textAlignment w:val="baseline"/>
        <w:rPr>
          <w:rFonts w:ascii="Arial" w:eastAsiaTheme="majorEastAsia" w:hAnsi="Arial" w:cstheme="majorBidi"/>
          <w:b/>
          <w:color w:val="081DA4" w:themeColor="text2"/>
          <w:spacing w:val="-10"/>
          <w:sz w:val="44"/>
          <w:szCs w:val="32"/>
          <w:lang w:val="en-AU" w:eastAsia="en-US"/>
        </w:rPr>
      </w:pPr>
      <w:r w:rsidRPr="00C0321C">
        <w:rPr>
          <w:rFonts w:ascii="Arial" w:eastAsiaTheme="majorEastAsia" w:hAnsi="Arial" w:cstheme="majorBidi"/>
          <w:b/>
          <w:color w:val="081DA4" w:themeColor="text2"/>
          <w:spacing w:val="-10"/>
          <w:sz w:val="44"/>
          <w:szCs w:val="32"/>
          <w:lang w:val="en-AU" w:eastAsia="en-US"/>
        </w:rPr>
        <w:t> </w:t>
      </w:r>
    </w:p>
    <w:p w14:paraId="2534BDCC" w14:textId="77777777" w:rsidR="00C0321C" w:rsidRPr="00C0321C" w:rsidRDefault="00C0321C" w:rsidP="00C0321C">
      <w:pPr>
        <w:spacing w:after="0" w:line="240" w:lineRule="auto"/>
        <w:jc w:val="center"/>
        <w:textAlignment w:val="baseline"/>
        <w:rPr>
          <w:rFonts w:ascii="Arial" w:eastAsiaTheme="majorEastAsia" w:hAnsi="Arial" w:cstheme="majorBidi"/>
          <w:b/>
          <w:color w:val="081DA4" w:themeColor="text2"/>
          <w:spacing w:val="-10"/>
          <w:sz w:val="44"/>
          <w:szCs w:val="32"/>
          <w:lang w:val="en-AU" w:eastAsia="en-US"/>
        </w:rPr>
      </w:pPr>
      <w:r w:rsidRPr="00C0321C">
        <w:rPr>
          <w:rFonts w:ascii="Arial" w:eastAsiaTheme="majorEastAsia" w:hAnsi="Arial" w:cstheme="majorBidi"/>
          <w:b/>
          <w:color w:val="081DA4" w:themeColor="text2"/>
          <w:spacing w:val="-10"/>
          <w:sz w:val="44"/>
          <w:szCs w:val="32"/>
          <w:lang w:val="en-AU" w:eastAsia="en-US"/>
        </w:rPr>
        <w:t> </w:t>
      </w:r>
    </w:p>
    <w:p w14:paraId="73621193" w14:textId="77777777" w:rsidR="00C0321C" w:rsidRPr="00C0321C" w:rsidRDefault="00C0321C" w:rsidP="00C0321C">
      <w:pPr>
        <w:spacing w:after="0" w:line="240" w:lineRule="auto"/>
        <w:jc w:val="center"/>
        <w:textAlignment w:val="baseline"/>
        <w:rPr>
          <w:rFonts w:ascii="Arial" w:eastAsiaTheme="majorEastAsia" w:hAnsi="Arial" w:cstheme="majorBidi"/>
          <w:b/>
          <w:color w:val="081DA4" w:themeColor="text2"/>
          <w:spacing w:val="-10"/>
          <w:sz w:val="44"/>
          <w:szCs w:val="32"/>
          <w:lang w:val="en-AU" w:eastAsia="en-US"/>
        </w:rPr>
      </w:pPr>
      <w:r w:rsidRPr="00C0321C">
        <w:rPr>
          <w:rFonts w:ascii="Arial" w:eastAsiaTheme="majorEastAsia" w:hAnsi="Arial" w:cstheme="majorBidi"/>
          <w:b/>
          <w:bCs/>
          <w:color w:val="081DA4" w:themeColor="text2"/>
          <w:spacing w:val="-10"/>
          <w:sz w:val="44"/>
          <w:szCs w:val="32"/>
          <w:lang w:val="en-AU" w:eastAsia="en-US"/>
        </w:rPr>
        <w:t>For the Year Ended</w:t>
      </w:r>
      <w:r w:rsidRPr="00C0321C">
        <w:rPr>
          <w:rFonts w:ascii="Arial" w:eastAsiaTheme="majorEastAsia" w:hAnsi="Arial" w:cstheme="majorBidi"/>
          <w:b/>
          <w:color w:val="081DA4" w:themeColor="text2"/>
          <w:spacing w:val="-10"/>
          <w:sz w:val="44"/>
          <w:szCs w:val="32"/>
          <w:lang w:val="en-AU" w:eastAsia="en-US"/>
        </w:rPr>
        <w:t> </w:t>
      </w:r>
    </w:p>
    <w:p w14:paraId="144925C6" w14:textId="18CD2664" w:rsidR="00C0321C" w:rsidRPr="00C0321C" w:rsidRDefault="00C0321C" w:rsidP="00C0321C">
      <w:pPr>
        <w:spacing w:after="0" w:line="240" w:lineRule="auto"/>
        <w:jc w:val="center"/>
        <w:textAlignment w:val="baseline"/>
        <w:rPr>
          <w:rFonts w:ascii="Arial" w:eastAsiaTheme="majorEastAsia" w:hAnsi="Arial" w:cstheme="majorBidi"/>
          <w:b/>
          <w:color w:val="081DA4" w:themeColor="text2"/>
          <w:spacing w:val="-10"/>
          <w:sz w:val="44"/>
          <w:szCs w:val="32"/>
          <w:lang w:val="en-AU" w:eastAsia="en-US"/>
        </w:rPr>
      </w:pPr>
      <w:r w:rsidRPr="00C0321C">
        <w:rPr>
          <w:rFonts w:ascii="Arial" w:eastAsiaTheme="majorEastAsia" w:hAnsi="Arial" w:cstheme="majorBidi"/>
          <w:b/>
          <w:bCs/>
          <w:color w:val="081DA4" w:themeColor="text2"/>
          <w:spacing w:val="-10"/>
          <w:sz w:val="44"/>
          <w:szCs w:val="32"/>
          <w:lang w:val="en-AU" w:eastAsia="en-US"/>
        </w:rPr>
        <w:t>30 June 202</w:t>
      </w:r>
      <w:r w:rsidR="00070126">
        <w:rPr>
          <w:rFonts w:ascii="Arial" w:eastAsiaTheme="majorEastAsia" w:hAnsi="Arial" w:cstheme="majorBidi"/>
          <w:b/>
          <w:bCs/>
          <w:color w:val="081DA4" w:themeColor="text2"/>
          <w:spacing w:val="-10"/>
          <w:sz w:val="44"/>
          <w:szCs w:val="32"/>
          <w:lang w:val="en-AU" w:eastAsia="en-US"/>
        </w:rPr>
        <w:t>6</w:t>
      </w:r>
      <w:r w:rsidRPr="00C0321C">
        <w:rPr>
          <w:rFonts w:ascii="Arial" w:eastAsiaTheme="majorEastAsia" w:hAnsi="Arial" w:cstheme="majorBidi"/>
          <w:b/>
          <w:color w:val="081DA4" w:themeColor="text2"/>
          <w:spacing w:val="-10"/>
          <w:sz w:val="44"/>
          <w:szCs w:val="32"/>
          <w:lang w:val="en-AU" w:eastAsia="en-US"/>
        </w:rPr>
        <w:t> </w:t>
      </w:r>
    </w:p>
    <w:p w14:paraId="3A022A85" w14:textId="624A9811" w:rsidR="008B19D9" w:rsidRPr="008B19D9" w:rsidRDefault="008B19D9" w:rsidP="00215D2B">
      <w:pPr>
        <w:spacing w:after="0" w:line="240" w:lineRule="auto"/>
        <w:jc w:val="center"/>
        <w:textAlignment w:val="baseline"/>
        <w:rPr>
          <w:rFonts w:ascii="Segoe UI" w:eastAsia="Times New Roman" w:hAnsi="Segoe UI" w:cs="Segoe UI"/>
          <w:color w:val="auto"/>
          <w:sz w:val="18"/>
          <w:szCs w:val="18"/>
          <w:lang w:val="en-AU"/>
        </w:rPr>
      </w:pPr>
    </w:p>
    <w:p w14:paraId="6AA99859" w14:textId="48A6F362" w:rsidR="007F48FA" w:rsidRDefault="008B19D9">
      <w:pPr>
        <w:spacing w:before="120" w:after="120" w:line="240" w:lineRule="auto"/>
        <w:rPr>
          <w:rFonts w:ascii="Arial" w:eastAsia="Times New Roman" w:hAnsi="Arial" w:cs="Arial"/>
          <w:b/>
          <w:bCs/>
          <w:color w:val="auto"/>
          <w:sz w:val="32"/>
          <w:szCs w:val="32"/>
        </w:rPr>
      </w:pPr>
      <w:r>
        <w:rPr>
          <w:rFonts w:ascii="Arial" w:eastAsia="Times New Roman" w:hAnsi="Arial" w:cs="Arial"/>
          <w:b/>
          <w:bCs/>
          <w:color w:val="auto"/>
          <w:sz w:val="32"/>
          <w:szCs w:val="32"/>
        </w:rPr>
        <w:br w:type="page"/>
      </w:r>
    </w:p>
    <w:p w14:paraId="5458A116" w14:textId="2789204B" w:rsidR="00AD0483" w:rsidRPr="00BB2758" w:rsidRDefault="00A76FBA" w:rsidP="00AD0483">
      <w:pPr>
        <w:pStyle w:val="Heading2"/>
      </w:pPr>
      <w:bookmarkStart w:id="78" w:name="_Toc240533506"/>
      <w:r>
        <w:rPr>
          <w:rFonts w:eastAsia="Times New Roman" w:cs="Arial"/>
          <w:b w:val="0"/>
          <w:bCs/>
          <w:noProof/>
          <w:color w:val="auto"/>
          <w:szCs w:val="32"/>
        </w:rPr>
        <w:lastRenderedPageBreak/>
        <w:drawing>
          <wp:anchor distT="0" distB="0" distL="114300" distR="114300" simplePos="0" relativeHeight="251658257" behindDoc="1" locked="0" layoutInCell="1" allowOverlap="1" wp14:anchorId="1D9EBF4E" wp14:editId="7AFB0B28">
            <wp:simplePos x="0" y="0"/>
            <wp:positionH relativeFrom="column">
              <wp:posOffset>-326068</wp:posOffset>
            </wp:positionH>
            <wp:positionV relativeFrom="paragraph">
              <wp:posOffset>-161925</wp:posOffset>
            </wp:positionV>
            <wp:extent cx="7086610" cy="10029266"/>
            <wp:effectExtent l="0" t="0" r="0" b="0"/>
            <wp:wrapNone/>
            <wp:docPr id="1241030176" name="Picture 7" descr="Independent Auditor's Report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30176" name="Picture 7" descr="Independent Auditor's Report letter"/>
                    <pic:cNvPicPr/>
                  </pic:nvPicPr>
                  <pic:blipFill>
                    <a:blip r:embed="rId66"/>
                    <a:stretch>
                      <a:fillRect/>
                    </a:stretch>
                  </pic:blipFill>
                  <pic:spPr>
                    <a:xfrm>
                      <a:off x="0" y="0"/>
                      <a:ext cx="7086610" cy="10029266"/>
                    </a:xfrm>
                    <a:prstGeom prst="rect">
                      <a:avLst/>
                    </a:prstGeom>
                  </pic:spPr>
                </pic:pic>
              </a:graphicData>
            </a:graphic>
            <wp14:sizeRelH relativeFrom="margin">
              <wp14:pctWidth>0</wp14:pctWidth>
            </wp14:sizeRelH>
            <wp14:sizeRelV relativeFrom="margin">
              <wp14:pctHeight>0</wp14:pctHeight>
            </wp14:sizeRelV>
          </wp:anchor>
        </w:drawing>
      </w:r>
      <w:r w:rsidR="008C0B4B" w:rsidRPr="00BB2758">
        <w:t>Independent Auditor’s Report</w:t>
      </w:r>
      <w:bookmarkEnd w:id="78"/>
    </w:p>
    <w:p w14:paraId="1D5792EA" w14:textId="193CFA04" w:rsidR="0091152D" w:rsidRDefault="0091152D">
      <w:pPr>
        <w:spacing w:before="120" w:after="120" w:line="240" w:lineRule="auto"/>
        <w:rPr>
          <w:rFonts w:ascii="Arial" w:eastAsia="Times New Roman" w:hAnsi="Arial" w:cs="Arial"/>
          <w:b/>
          <w:bCs/>
          <w:color w:val="auto"/>
          <w:sz w:val="32"/>
          <w:szCs w:val="32"/>
        </w:rPr>
      </w:pPr>
      <w:r>
        <w:rPr>
          <w:rFonts w:ascii="Arial" w:eastAsia="Times New Roman" w:hAnsi="Arial" w:cs="Arial"/>
          <w:b/>
          <w:bCs/>
          <w:color w:val="auto"/>
          <w:sz w:val="32"/>
          <w:szCs w:val="32"/>
        </w:rPr>
        <w:br w:type="page"/>
      </w:r>
    </w:p>
    <w:p w14:paraId="466A3742" w14:textId="535036E8" w:rsidR="00C94DF6" w:rsidRDefault="00DA3770">
      <w:pPr>
        <w:spacing w:before="120" w:after="120" w:line="240" w:lineRule="auto"/>
        <w:rPr>
          <w:rFonts w:ascii="Arial" w:eastAsia="Times New Roman" w:hAnsi="Arial" w:cs="Arial"/>
          <w:b/>
          <w:bCs/>
          <w:sz w:val="24"/>
          <w:szCs w:val="24"/>
        </w:rPr>
      </w:pPr>
      <w:r>
        <w:rPr>
          <w:rFonts w:ascii="Arial" w:eastAsia="Times New Roman" w:hAnsi="Arial" w:cs="Arial"/>
          <w:b/>
          <w:bCs/>
          <w:noProof/>
          <w:sz w:val="24"/>
          <w:szCs w:val="24"/>
        </w:rPr>
        <w:lastRenderedPageBreak/>
        <w:drawing>
          <wp:anchor distT="0" distB="0" distL="114300" distR="114300" simplePos="0" relativeHeight="251658258" behindDoc="0" locked="0" layoutInCell="1" allowOverlap="1" wp14:anchorId="08D4B11E" wp14:editId="2789FAA4">
            <wp:simplePos x="0" y="0"/>
            <wp:positionH relativeFrom="column">
              <wp:posOffset>-347658</wp:posOffset>
            </wp:positionH>
            <wp:positionV relativeFrom="paragraph">
              <wp:posOffset>-392430</wp:posOffset>
            </wp:positionV>
            <wp:extent cx="7070400" cy="10004400"/>
            <wp:effectExtent l="0" t="0" r="0" b="0"/>
            <wp:wrapNone/>
            <wp:docPr id="40249663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496638" name="Picture 8">
                      <a:extLst>
                        <a:ext uri="{C183D7F6-B498-43B3-948B-1728B52AA6E4}">
                          <adec:decorative xmlns:adec="http://schemas.microsoft.com/office/drawing/2017/decorative" val="1"/>
                        </a:ext>
                      </a:extLst>
                    </pic:cNvPr>
                    <pic:cNvPicPr/>
                  </pic:nvPicPr>
                  <pic:blipFill>
                    <a:blip r:embed="rId67"/>
                    <a:stretch>
                      <a:fillRect/>
                    </a:stretch>
                  </pic:blipFill>
                  <pic:spPr>
                    <a:xfrm>
                      <a:off x="0" y="0"/>
                      <a:ext cx="7070400" cy="10004400"/>
                    </a:xfrm>
                    <a:prstGeom prst="rect">
                      <a:avLst/>
                    </a:prstGeom>
                  </pic:spPr>
                </pic:pic>
              </a:graphicData>
            </a:graphic>
            <wp14:sizeRelH relativeFrom="margin">
              <wp14:pctWidth>0</wp14:pctWidth>
            </wp14:sizeRelH>
            <wp14:sizeRelV relativeFrom="margin">
              <wp14:pctHeight>0</wp14:pctHeight>
            </wp14:sizeRelV>
          </wp:anchor>
        </w:drawing>
      </w:r>
      <w:r w:rsidR="00C94DF6">
        <w:rPr>
          <w:rFonts w:ascii="Arial" w:eastAsia="Times New Roman" w:hAnsi="Arial" w:cs="Arial"/>
          <w:b/>
          <w:bCs/>
          <w:sz w:val="24"/>
          <w:szCs w:val="24"/>
        </w:rPr>
        <w:br w:type="page"/>
      </w:r>
    </w:p>
    <w:p w14:paraId="3DE88E27" w14:textId="77777777" w:rsidR="007411B0" w:rsidRPr="004C0366" w:rsidRDefault="007411B0" w:rsidP="007411B0">
      <w:pPr>
        <w:spacing w:after="120"/>
        <w:jc w:val="center"/>
        <w:rPr>
          <w:rFonts w:ascii="Arial" w:eastAsia="Times New Roman" w:hAnsi="Arial" w:cs="Arial"/>
          <w:b/>
          <w:bCs/>
          <w:sz w:val="24"/>
          <w:szCs w:val="24"/>
        </w:rPr>
      </w:pPr>
      <w:r w:rsidRPr="004C0366">
        <w:rPr>
          <w:rFonts w:ascii="Arial" w:eastAsia="Times New Roman" w:hAnsi="Arial" w:cs="Arial"/>
          <w:b/>
          <w:bCs/>
          <w:sz w:val="24"/>
          <w:szCs w:val="24"/>
        </w:rPr>
        <w:lastRenderedPageBreak/>
        <w:t>LONG SERVICE LEAVE AUTHORITY</w:t>
      </w:r>
    </w:p>
    <w:p w14:paraId="1DA23846" w14:textId="77777777" w:rsidR="007411B0" w:rsidRPr="004C0366" w:rsidRDefault="007411B0" w:rsidP="007411B0">
      <w:pPr>
        <w:spacing w:after="120"/>
        <w:jc w:val="center"/>
        <w:rPr>
          <w:rFonts w:ascii="Arial" w:eastAsia="Times New Roman" w:hAnsi="Arial" w:cs="Arial"/>
          <w:b/>
          <w:bCs/>
          <w:sz w:val="24"/>
          <w:szCs w:val="24"/>
        </w:rPr>
      </w:pPr>
      <w:r w:rsidRPr="004C0366">
        <w:rPr>
          <w:rFonts w:ascii="Arial" w:eastAsia="Times New Roman" w:hAnsi="Arial" w:cs="Arial"/>
          <w:b/>
          <w:bCs/>
          <w:sz w:val="24"/>
          <w:szCs w:val="24"/>
        </w:rPr>
        <w:t>Financial Statements</w:t>
      </w:r>
    </w:p>
    <w:p w14:paraId="7355A18E" w14:textId="77777777" w:rsidR="007411B0" w:rsidRPr="004C0366" w:rsidRDefault="007411B0" w:rsidP="007411B0">
      <w:pPr>
        <w:jc w:val="center"/>
        <w:rPr>
          <w:rFonts w:ascii="Arial" w:eastAsia="Times New Roman" w:hAnsi="Arial" w:cs="Arial"/>
          <w:b/>
          <w:bCs/>
          <w:sz w:val="24"/>
          <w:szCs w:val="24"/>
        </w:rPr>
      </w:pPr>
      <w:r w:rsidRPr="004C0366">
        <w:rPr>
          <w:rFonts w:ascii="Arial" w:eastAsia="Times New Roman" w:hAnsi="Arial" w:cs="Arial"/>
          <w:b/>
          <w:bCs/>
          <w:sz w:val="24"/>
          <w:szCs w:val="24"/>
        </w:rPr>
        <w:t>For the Year Ended 30 June 2026</w:t>
      </w:r>
    </w:p>
    <w:p w14:paraId="3723B368" w14:textId="77777777" w:rsidR="007411B0" w:rsidRPr="004C0366" w:rsidRDefault="007411B0" w:rsidP="007411B0">
      <w:pPr>
        <w:rPr>
          <w:rFonts w:ascii="Arial" w:eastAsia="Times New Roman" w:hAnsi="Arial" w:cs="Arial"/>
          <w:b/>
          <w:bCs/>
          <w:sz w:val="24"/>
          <w:szCs w:val="24"/>
        </w:rPr>
      </w:pPr>
    </w:p>
    <w:p w14:paraId="6FA66921" w14:textId="77777777" w:rsidR="007411B0" w:rsidRDefault="007411B0" w:rsidP="007411B0">
      <w:pPr>
        <w:rPr>
          <w:rFonts w:ascii="Arial" w:eastAsia="Times New Roman" w:hAnsi="Arial" w:cs="Arial"/>
          <w:b/>
          <w:bCs/>
          <w:sz w:val="24"/>
          <w:szCs w:val="24"/>
        </w:rPr>
      </w:pPr>
    </w:p>
    <w:p w14:paraId="5E1C1AB6" w14:textId="77777777" w:rsidR="007411B0" w:rsidRPr="004C0366" w:rsidRDefault="007411B0" w:rsidP="007411B0">
      <w:pPr>
        <w:rPr>
          <w:rFonts w:ascii="Arial" w:eastAsia="Times New Roman" w:hAnsi="Arial" w:cs="Arial"/>
          <w:b/>
          <w:bCs/>
          <w:sz w:val="24"/>
          <w:szCs w:val="24"/>
        </w:rPr>
      </w:pPr>
    </w:p>
    <w:p w14:paraId="78841FF2" w14:textId="77777777" w:rsidR="007411B0" w:rsidRPr="004C0366" w:rsidRDefault="007411B0" w:rsidP="007411B0">
      <w:pPr>
        <w:jc w:val="center"/>
        <w:rPr>
          <w:rFonts w:ascii="Arial" w:eastAsia="Times New Roman" w:hAnsi="Arial" w:cs="Arial"/>
          <w:b/>
          <w:bCs/>
          <w:sz w:val="24"/>
          <w:szCs w:val="24"/>
        </w:rPr>
      </w:pPr>
      <w:r w:rsidRPr="004C0366">
        <w:rPr>
          <w:rFonts w:ascii="Arial" w:eastAsia="Times New Roman" w:hAnsi="Arial" w:cs="Arial"/>
          <w:b/>
          <w:bCs/>
          <w:sz w:val="24"/>
          <w:szCs w:val="24"/>
        </w:rPr>
        <w:t>Statement of Responsibility</w:t>
      </w:r>
    </w:p>
    <w:p w14:paraId="7FCA8504" w14:textId="77777777" w:rsidR="007411B0" w:rsidRPr="004C0366" w:rsidRDefault="007411B0" w:rsidP="007411B0">
      <w:pPr>
        <w:spacing w:after="120"/>
        <w:jc w:val="center"/>
        <w:rPr>
          <w:rFonts w:ascii="Arial" w:eastAsia="Times New Roman" w:hAnsi="Arial" w:cs="Arial"/>
          <w:b/>
          <w:bCs/>
          <w:sz w:val="24"/>
          <w:szCs w:val="24"/>
        </w:rPr>
      </w:pPr>
    </w:p>
    <w:p w14:paraId="175DDF45" w14:textId="77777777" w:rsidR="007411B0" w:rsidRPr="004C0366" w:rsidRDefault="007411B0" w:rsidP="007411B0">
      <w:pPr>
        <w:spacing w:after="120"/>
        <w:jc w:val="center"/>
        <w:rPr>
          <w:rFonts w:ascii="Arial" w:eastAsia="Times New Roman" w:hAnsi="Arial" w:cs="Arial"/>
          <w:b/>
          <w:bCs/>
          <w:sz w:val="24"/>
          <w:szCs w:val="24"/>
        </w:rPr>
      </w:pPr>
    </w:p>
    <w:p w14:paraId="665BD345" w14:textId="0C23D1E0" w:rsidR="007411B0" w:rsidRPr="00C94DF6" w:rsidRDefault="007411B0" w:rsidP="007411B0">
      <w:pPr>
        <w:adjustRightInd w:val="0"/>
        <w:snapToGrid w:val="0"/>
        <w:rPr>
          <w:rFonts w:ascii="Arial" w:eastAsiaTheme="minorEastAsia" w:hAnsi="Arial"/>
        </w:rPr>
      </w:pPr>
      <w:r w:rsidRPr="0066042A">
        <w:rPr>
          <w:rFonts w:ascii="Arial" w:eastAsiaTheme="minorEastAsia" w:hAnsi="Arial"/>
        </w:rPr>
        <w:t>As the Chairperson of the Long Service Leave Authority (ACT Leave), I am responsible for the preparation of the annual financial report as well as the judgements exercised in preparing it. In my opinion, ACT Leave’s financial statements fairly reflect the financial operations for the year ended 30 June 2026 and the financial position on that date.</w:t>
      </w:r>
    </w:p>
    <w:p w14:paraId="6BC4DBF3" w14:textId="77777777" w:rsidR="007411B0" w:rsidRPr="00E915ED" w:rsidRDefault="007411B0" w:rsidP="007411B0">
      <w:pPr>
        <w:adjustRightInd w:val="0"/>
        <w:snapToGrid w:val="0"/>
        <w:rPr>
          <w:rFonts w:ascii="Arial" w:eastAsia="Meiryo" w:hAnsi="Arial" w:cs="Arial"/>
          <w:color w:val="000000"/>
        </w:rPr>
      </w:pPr>
    </w:p>
    <w:p w14:paraId="7A36E9F7" w14:textId="798A9771" w:rsidR="007411B0" w:rsidRPr="00E915ED" w:rsidRDefault="007411B0" w:rsidP="007411B0">
      <w:pPr>
        <w:adjustRightInd w:val="0"/>
        <w:snapToGrid w:val="0"/>
        <w:rPr>
          <w:rFonts w:ascii="Arial" w:eastAsia="Meiryo" w:hAnsi="Arial" w:cs="Arial"/>
          <w:color w:val="000000"/>
        </w:rPr>
      </w:pPr>
    </w:p>
    <w:p w14:paraId="27BAB021" w14:textId="77777777" w:rsidR="007411B0" w:rsidRPr="00E915ED" w:rsidRDefault="007411B0" w:rsidP="007411B0">
      <w:pPr>
        <w:adjustRightInd w:val="0"/>
        <w:snapToGrid w:val="0"/>
        <w:rPr>
          <w:rFonts w:ascii="Arial" w:eastAsia="Meiryo" w:hAnsi="Arial" w:cs="Arial"/>
          <w:color w:val="000000"/>
        </w:rPr>
      </w:pPr>
    </w:p>
    <w:p w14:paraId="40039E28" w14:textId="77777777" w:rsidR="007411B0" w:rsidRPr="00E915ED" w:rsidRDefault="007411B0" w:rsidP="007411B0">
      <w:pPr>
        <w:adjustRightInd w:val="0"/>
        <w:snapToGrid w:val="0"/>
        <w:rPr>
          <w:rFonts w:ascii="Arial" w:eastAsia="Meiryo" w:hAnsi="Arial" w:cs="Arial"/>
          <w:color w:val="000000"/>
        </w:rPr>
      </w:pPr>
    </w:p>
    <w:p w14:paraId="0CAEBDA1" w14:textId="77777777" w:rsidR="007411B0" w:rsidRPr="00E915ED" w:rsidRDefault="007411B0" w:rsidP="007411B0">
      <w:pPr>
        <w:adjustRightInd w:val="0"/>
        <w:snapToGrid w:val="0"/>
        <w:spacing w:after="0"/>
        <w:rPr>
          <w:rFonts w:ascii="Arial" w:eastAsia="Meiryo" w:hAnsi="Arial" w:cs="Arial"/>
          <w:color w:val="000000"/>
        </w:rPr>
      </w:pPr>
      <w:r w:rsidRPr="00E915ED">
        <w:rPr>
          <w:rFonts w:ascii="Arial" w:eastAsia="Meiryo" w:hAnsi="Arial" w:cs="Arial"/>
          <w:color w:val="000000"/>
        </w:rPr>
        <w:t>Justine Ross</w:t>
      </w:r>
    </w:p>
    <w:p w14:paraId="26AD7672" w14:textId="77777777" w:rsidR="007411B0" w:rsidRPr="00E915ED" w:rsidRDefault="007411B0" w:rsidP="007411B0">
      <w:pPr>
        <w:adjustRightInd w:val="0"/>
        <w:snapToGrid w:val="0"/>
        <w:spacing w:after="0"/>
        <w:rPr>
          <w:rFonts w:ascii="Arial" w:eastAsia="Meiryo" w:hAnsi="Arial" w:cs="Arial"/>
          <w:color w:val="000000"/>
        </w:rPr>
      </w:pPr>
      <w:r w:rsidRPr="00E915ED">
        <w:rPr>
          <w:rFonts w:ascii="Arial" w:eastAsia="Meiryo" w:hAnsi="Arial" w:cs="Arial"/>
          <w:color w:val="000000"/>
        </w:rPr>
        <w:t>Chair</w:t>
      </w:r>
    </w:p>
    <w:p w14:paraId="5EA90951" w14:textId="23F1781C" w:rsidR="007411B0" w:rsidRPr="00E915ED" w:rsidRDefault="007411B0" w:rsidP="007411B0">
      <w:pPr>
        <w:adjustRightInd w:val="0"/>
        <w:snapToGrid w:val="0"/>
        <w:spacing w:after="0"/>
        <w:rPr>
          <w:rFonts w:ascii="Arial" w:eastAsia="Meiryo" w:hAnsi="Arial" w:cs="Arial"/>
          <w:color w:val="000000"/>
        </w:rPr>
      </w:pPr>
      <w:r w:rsidRPr="00E915ED">
        <w:rPr>
          <w:rFonts w:ascii="Arial" w:eastAsia="Meiryo" w:hAnsi="Arial" w:cs="Arial"/>
          <w:color w:val="000000"/>
        </w:rPr>
        <w:t>Long Service Leave Authority</w:t>
      </w:r>
    </w:p>
    <w:p w14:paraId="15D762C9" w14:textId="77777777" w:rsidR="007411B0" w:rsidRPr="00E915ED" w:rsidRDefault="007411B0" w:rsidP="007411B0">
      <w:pPr>
        <w:adjustRightInd w:val="0"/>
        <w:snapToGrid w:val="0"/>
        <w:rPr>
          <w:rFonts w:ascii="Arial" w:eastAsia="Meiryo" w:hAnsi="Arial" w:cs="Arial"/>
          <w:color w:val="000000"/>
        </w:rPr>
      </w:pPr>
      <w:r w:rsidRPr="00EE6879">
        <w:rPr>
          <w:rFonts w:ascii="Arial" w:eastAsia="Meiryo" w:hAnsi="Arial" w:cs="Arial"/>
        </w:rPr>
        <w:t>14</w:t>
      </w:r>
      <w:r w:rsidRPr="00E915ED">
        <w:rPr>
          <w:rFonts w:ascii="Arial" w:eastAsia="Meiryo" w:hAnsi="Arial" w:cs="Arial"/>
          <w:color w:val="000000"/>
        </w:rPr>
        <w:t xml:space="preserve"> September 2026</w:t>
      </w:r>
    </w:p>
    <w:p w14:paraId="5FBBE981" w14:textId="4CBF6076" w:rsidR="00E12979" w:rsidRDefault="00E12979" w:rsidP="006E0242">
      <w:r>
        <w:br w:type="page"/>
      </w:r>
    </w:p>
    <w:p w14:paraId="0B9377D4" w14:textId="3DBCF25D" w:rsidR="00C94DF6" w:rsidRPr="004C0366" w:rsidRDefault="00C94DF6" w:rsidP="00C94DF6">
      <w:pPr>
        <w:spacing w:after="120"/>
        <w:jc w:val="center"/>
        <w:rPr>
          <w:rFonts w:ascii="Arial" w:hAnsi="Arial" w:cs="Arial"/>
        </w:rPr>
      </w:pPr>
      <w:bookmarkStart w:id="79" w:name="_Hlk101875307"/>
      <w:bookmarkStart w:id="80" w:name="_Hlk101877296"/>
      <w:r w:rsidRPr="004C0366">
        <w:rPr>
          <w:rFonts w:ascii="Arial" w:eastAsia="Times New Roman" w:hAnsi="Arial" w:cs="Arial"/>
          <w:b/>
          <w:bCs/>
          <w:sz w:val="24"/>
          <w:szCs w:val="24"/>
        </w:rPr>
        <w:lastRenderedPageBreak/>
        <w:t>LONG SERVICE LEAVE AUTHORITY</w:t>
      </w:r>
    </w:p>
    <w:p w14:paraId="3368B0B8" w14:textId="77777777" w:rsidR="00C94DF6" w:rsidRPr="004C0366" w:rsidRDefault="00C94DF6" w:rsidP="00C94DF6">
      <w:pPr>
        <w:spacing w:after="120"/>
        <w:jc w:val="center"/>
        <w:rPr>
          <w:rFonts w:ascii="Arial" w:eastAsia="Times New Roman" w:hAnsi="Arial" w:cs="Arial"/>
          <w:b/>
          <w:bCs/>
          <w:sz w:val="24"/>
          <w:szCs w:val="24"/>
        </w:rPr>
      </w:pPr>
      <w:r w:rsidRPr="004C0366">
        <w:rPr>
          <w:rFonts w:ascii="Arial" w:eastAsia="Times New Roman" w:hAnsi="Arial" w:cs="Arial"/>
          <w:b/>
          <w:bCs/>
          <w:sz w:val="24"/>
          <w:szCs w:val="24"/>
        </w:rPr>
        <w:t>Financial Statements</w:t>
      </w:r>
    </w:p>
    <w:p w14:paraId="52505F3B" w14:textId="6056C1FF" w:rsidR="00C94DF6" w:rsidRPr="004C0366" w:rsidRDefault="00C94DF6" w:rsidP="00C94DF6">
      <w:pPr>
        <w:spacing w:after="120"/>
        <w:jc w:val="center"/>
        <w:rPr>
          <w:rFonts w:ascii="Arial" w:eastAsia="Times New Roman" w:hAnsi="Arial" w:cs="Arial"/>
          <w:b/>
          <w:bCs/>
          <w:sz w:val="24"/>
          <w:szCs w:val="24"/>
        </w:rPr>
      </w:pPr>
      <w:r w:rsidRPr="004C0366">
        <w:rPr>
          <w:rFonts w:ascii="Arial" w:eastAsia="Times New Roman" w:hAnsi="Arial" w:cs="Arial"/>
          <w:b/>
          <w:bCs/>
          <w:sz w:val="24"/>
          <w:szCs w:val="24"/>
        </w:rPr>
        <w:t>For the Year Ended 30 June 2026</w:t>
      </w:r>
    </w:p>
    <w:p w14:paraId="706232D9" w14:textId="77777777" w:rsidR="00C94DF6" w:rsidRPr="004C0366" w:rsidRDefault="00C94DF6" w:rsidP="00C94DF6">
      <w:pPr>
        <w:rPr>
          <w:rFonts w:ascii="Arial" w:hAnsi="Arial" w:cs="Arial"/>
          <w:noProof/>
          <w:sz w:val="24"/>
          <w:szCs w:val="24"/>
        </w:rPr>
      </w:pPr>
    </w:p>
    <w:p w14:paraId="02459590" w14:textId="77777777" w:rsidR="00C94DF6" w:rsidRPr="004C0366" w:rsidRDefault="00C94DF6" w:rsidP="00C94DF6">
      <w:pPr>
        <w:rPr>
          <w:rFonts w:ascii="Arial" w:hAnsi="Arial" w:cs="Arial"/>
          <w:noProof/>
          <w:sz w:val="24"/>
          <w:szCs w:val="24"/>
        </w:rPr>
      </w:pPr>
    </w:p>
    <w:p w14:paraId="428769FD" w14:textId="77777777" w:rsidR="00C94DF6" w:rsidRPr="004C0366" w:rsidRDefault="00C94DF6" w:rsidP="00C94DF6">
      <w:pPr>
        <w:rPr>
          <w:rFonts w:ascii="Arial" w:hAnsi="Arial" w:cs="Arial"/>
          <w:sz w:val="24"/>
          <w:szCs w:val="24"/>
        </w:rPr>
      </w:pPr>
    </w:p>
    <w:p w14:paraId="148FA6C0" w14:textId="77777777" w:rsidR="00C94DF6" w:rsidRPr="004C0366" w:rsidRDefault="00C94DF6" w:rsidP="00C94DF6">
      <w:pPr>
        <w:jc w:val="center"/>
        <w:rPr>
          <w:rFonts w:ascii="Arial" w:eastAsia="Times New Roman" w:hAnsi="Arial" w:cs="Arial"/>
          <w:b/>
          <w:bCs/>
          <w:sz w:val="24"/>
          <w:szCs w:val="24"/>
        </w:rPr>
      </w:pPr>
      <w:r w:rsidRPr="004C0366">
        <w:rPr>
          <w:rFonts w:ascii="Arial" w:eastAsia="Times New Roman" w:hAnsi="Arial" w:cs="Arial"/>
          <w:b/>
          <w:bCs/>
          <w:sz w:val="24"/>
          <w:szCs w:val="24"/>
        </w:rPr>
        <w:t>Statement by the Chief Finance Officer</w:t>
      </w:r>
    </w:p>
    <w:p w14:paraId="65FCBD7C" w14:textId="77777777" w:rsidR="00C94DF6" w:rsidRPr="004C0366" w:rsidRDefault="00C94DF6" w:rsidP="00C94DF6">
      <w:pPr>
        <w:jc w:val="center"/>
        <w:rPr>
          <w:rFonts w:ascii="Arial" w:eastAsia="Times New Roman" w:hAnsi="Arial" w:cs="Arial"/>
          <w:b/>
          <w:bCs/>
          <w:sz w:val="24"/>
          <w:szCs w:val="24"/>
        </w:rPr>
      </w:pPr>
    </w:p>
    <w:p w14:paraId="2BFE1E8E" w14:textId="77777777" w:rsidR="00C94DF6" w:rsidRPr="004C0366" w:rsidRDefault="00C94DF6" w:rsidP="00C94DF6">
      <w:pPr>
        <w:jc w:val="center"/>
        <w:rPr>
          <w:rFonts w:ascii="Arial" w:eastAsia="Times New Roman" w:hAnsi="Arial" w:cs="Arial"/>
          <w:b/>
          <w:bCs/>
          <w:sz w:val="24"/>
          <w:szCs w:val="24"/>
        </w:rPr>
      </w:pPr>
    </w:p>
    <w:p w14:paraId="4EE705A0" w14:textId="77777777" w:rsidR="00C94DF6" w:rsidRPr="00240347" w:rsidRDefault="00C94DF6" w:rsidP="00C94DF6">
      <w:pPr>
        <w:adjustRightInd w:val="0"/>
        <w:snapToGrid w:val="0"/>
        <w:rPr>
          <w:rFonts w:ascii="Arial" w:hAnsi="Arial" w:cs="Arial"/>
        </w:rPr>
      </w:pPr>
      <w:bookmarkStart w:id="81" w:name="_Hlk64292412"/>
      <w:r w:rsidRPr="00B2071D">
        <w:rPr>
          <w:rFonts w:ascii="Arial" w:eastAsiaTheme="minorEastAsia" w:hAnsi="Arial" w:cs="Arial"/>
        </w:rPr>
        <w:t xml:space="preserve">In my opinion, </w:t>
      </w:r>
      <w:r w:rsidRPr="00240347">
        <w:rPr>
          <w:rFonts w:ascii="Arial" w:hAnsi="Arial" w:cs="Arial"/>
        </w:rPr>
        <w:t>ACT Leave’s financial statements have been prepared in accordance with the Australian Accounting Standards, are in agreement with its accounts and records, and fairly reflect its financial operations for the year ended 30 June 2026 and the financial position on that date.</w:t>
      </w:r>
    </w:p>
    <w:p w14:paraId="0FCFB560" w14:textId="77777777" w:rsidR="00C94DF6" w:rsidRPr="00B2071D" w:rsidRDefault="00C94DF6" w:rsidP="00C94DF6">
      <w:pPr>
        <w:pStyle w:val="BodyText"/>
        <w:tabs>
          <w:tab w:val="left" w:pos="3306"/>
        </w:tabs>
        <w:spacing w:after="120"/>
        <w:jc w:val="both"/>
        <w:rPr>
          <w:rFonts w:ascii="Arial" w:hAnsi="Arial" w:cs="Arial"/>
          <w:sz w:val="20"/>
          <w:u w:val="none"/>
        </w:rPr>
      </w:pPr>
    </w:p>
    <w:p w14:paraId="2E6DED15" w14:textId="77777777" w:rsidR="00C94DF6" w:rsidRPr="00B2071D" w:rsidRDefault="00C94DF6" w:rsidP="00C94DF6">
      <w:pPr>
        <w:pStyle w:val="BodyText"/>
        <w:tabs>
          <w:tab w:val="left" w:pos="3306"/>
        </w:tabs>
        <w:spacing w:after="120"/>
        <w:jc w:val="both"/>
        <w:rPr>
          <w:rFonts w:ascii="Arial" w:hAnsi="Arial" w:cs="Arial"/>
          <w:sz w:val="20"/>
          <w:u w:val="none"/>
        </w:rPr>
      </w:pPr>
    </w:p>
    <w:p w14:paraId="4A2D03DD" w14:textId="058FD229" w:rsidR="00C94DF6" w:rsidRPr="00B2071D" w:rsidRDefault="00C94DF6" w:rsidP="00C94DF6">
      <w:pPr>
        <w:pStyle w:val="BodyText"/>
        <w:tabs>
          <w:tab w:val="left" w:pos="3306"/>
        </w:tabs>
        <w:spacing w:after="120"/>
        <w:jc w:val="both"/>
        <w:rPr>
          <w:rFonts w:ascii="Arial" w:hAnsi="Arial" w:cs="Arial"/>
          <w:sz w:val="20"/>
          <w:u w:val="none"/>
        </w:rPr>
      </w:pPr>
    </w:p>
    <w:p w14:paraId="2FDE417B" w14:textId="4C633C3C" w:rsidR="00C94DF6" w:rsidRPr="00B2071D" w:rsidRDefault="00C94DF6" w:rsidP="00C94DF6">
      <w:pPr>
        <w:pStyle w:val="BodyText"/>
        <w:tabs>
          <w:tab w:val="left" w:pos="3306"/>
        </w:tabs>
        <w:spacing w:after="120"/>
        <w:jc w:val="both"/>
        <w:rPr>
          <w:rFonts w:ascii="Arial" w:hAnsi="Arial" w:cs="Arial"/>
          <w:sz w:val="20"/>
          <w:u w:val="none"/>
        </w:rPr>
      </w:pPr>
    </w:p>
    <w:p w14:paraId="51658A4E" w14:textId="77777777" w:rsidR="00C85E1A" w:rsidRDefault="00C85E1A" w:rsidP="00C94DF6">
      <w:pPr>
        <w:adjustRightInd w:val="0"/>
        <w:snapToGrid w:val="0"/>
        <w:spacing w:after="0"/>
        <w:rPr>
          <w:rFonts w:ascii="Arial" w:eastAsia="Meiryo" w:hAnsi="Arial" w:cs="Arial"/>
          <w:color w:val="000000"/>
        </w:rPr>
      </w:pPr>
    </w:p>
    <w:p w14:paraId="7C82DBC7" w14:textId="68098CA5" w:rsidR="00C94DF6" w:rsidRPr="00240347" w:rsidRDefault="00C94DF6" w:rsidP="00C94DF6">
      <w:pPr>
        <w:adjustRightInd w:val="0"/>
        <w:snapToGrid w:val="0"/>
        <w:spacing w:after="0"/>
        <w:rPr>
          <w:rFonts w:ascii="Arial" w:hAnsi="Arial" w:cs="Arial"/>
        </w:rPr>
      </w:pPr>
      <w:r>
        <w:rPr>
          <w:rFonts w:ascii="Arial" w:eastAsia="Meiryo" w:hAnsi="Arial" w:cs="Arial"/>
          <w:color w:val="000000"/>
        </w:rPr>
        <w:t>Christine Miller</w:t>
      </w:r>
    </w:p>
    <w:p w14:paraId="4336682A" w14:textId="370DE90C" w:rsidR="00C94DF6" w:rsidRPr="00240347" w:rsidRDefault="00C94DF6" w:rsidP="00C94DF6">
      <w:pPr>
        <w:adjustRightInd w:val="0"/>
        <w:snapToGrid w:val="0"/>
        <w:spacing w:after="0"/>
        <w:rPr>
          <w:rFonts w:ascii="Arial" w:hAnsi="Arial" w:cs="Arial"/>
        </w:rPr>
      </w:pPr>
      <w:r>
        <w:rPr>
          <w:rFonts w:ascii="Arial" w:eastAsia="Meiryo" w:hAnsi="Arial" w:cs="Arial"/>
          <w:color w:val="000000"/>
        </w:rPr>
        <w:t xml:space="preserve">Acting </w:t>
      </w:r>
      <w:r w:rsidRPr="00B2071D">
        <w:rPr>
          <w:rFonts w:ascii="Arial" w:eastAsia="Meiryo" w:hAnsi="Arial" w:cs="Arial"/>
          <w:color w:val="000000"/>
        </w:rPr>
        <w:t>Chief Finance Officer</w:t>
      </w:r>
    </w:p>
    <w:p w14:paraId="1946EB4D" w14:textId="77777777" w:rsidR="00C94DF6" w:rsidRPr="00240347" w:rsidRDefault="00C94DF6" w:rsidP="00C94DF6">
      <w:pPr>
        <w:adjustRightInd w:val="0"/>
        <w:snapToGrid w:val="0"/>
        <w:spacing w:after="0"/>
        <w:rPr>
          <w:rFonts w:ascii="Arial" w:hAnsi="Arial" w:cs="Arial"/>
        </w:rPr>
      </w:pPr>
      <w:r w:rsidRPr="00B2071D">
        <w:rPr>
          <w:rFonts w:ascii="Arial" w:eastAsia="Meiryo" w:hAnsi="Arial" w:cs="Arial"/>
          <w:color w:val="000000"/>
        </w:rPr>
        <w:t>Long Service Leave Authority</w:t>
      </w:r>
    </w:p>
    <w:bookmarkEnd w:id="81"/>
    <w:p w14:paraId="309BF9C9" w14:textId="77777777" w:rsidR="00C94DF6" w:rsidRPr="00E915ED" w:rsidRDefault="00C94DF6" w:rsidP="00C94DF6">
      <w:pPr>
        <w:adjustRightInd w:val="0"/>
        <w:snapToGrid w:val="0"/>
        <w:spacing w:after="0"/>
        <w:rPr>
          <w:rFonts w:ascii="Arial" w:eastAsia="Meiryo" w:hAnsi="Arial" w:cs="Arial"/>
          <w:color w:val="000000"/>
        </w:rPr>
      </w:pPr>
      <w:r>
        <w:rPr>
          <w:rFonts w:ascii="Arial" w:eastAsia="Meiryo" w:hAnsi="Arial" w:cs="Arial"/>
          <w:color w:val="000000"/>
        </w:rPr>
        <w:t>14</w:t>
      </w:r>
      <w:r w:rsidRPr="00E915ED">
        <w:rPr>
          <w:rFonts w:ascii="Arial" w:eastAsia="Meiryo" w:hAnsi="Arial" w:cs="Arial"/>
          <w:color w:val="000000"/>
        </w:rPr>
        <w:t xml:space="preserve"> September 2026</w:t>
      </w:r>
    </w:p>
    <w:p w14:paraId="01F997DC" w14:textId="77777777" w:rsidR="00057430" w:rsidRPr="00057430" w:rsidRDefault="00057430" w:rsidP="006E0242">
      <w:pPr>
        <w:rPr>
          <w:lang w:val="en-AU" w:eastAsia="en-US"/>
        </w:rPr>
      </w:pPr>
    </w:p>
    <w:p w14:paraId="5F43814D" w14:textId="48DB8BA2" w:rsidR="00C94DF6" w:rsidRDefault="00C94DF6">
      <w:pPr>
        <w:spacing w:before="120" w:after="120" w:line="240" w:lineRule="auto"/>
        <w:rPr>
          <w:lang w:val="en-AU" w:eastAsia="en-US"/>
        </w:rPr>
      </w:pPr>
      <w:r>
        <w:rPr>
          <w:lang w:val="en-AU" w:eastAsia="en-US"/>
        </w:rPr>
        <w:br w:type="page"/>
      </w:r>
    </w:p>
    <w:p w14:paraId="2107169A" w14:textId="63840664" w:rsidR="00A53CD9" w:rsidRPr="004C0366" w:rsidRDefault="00A53CD9" w:rsidP="00F0752D">
      <w:pPr>
        <w:spacing w:after="120"/>
        <w:jc w:val="center"/>
        <w:rPr>
          <w:rFonts w:ascii="Arial" w:hAnsi="Arial" w:cs="Arial"/>
        </w:rPr>
      </w:pPr>
      <w:r w:rsidRPr="004C0366">
        <w:rPr>
          <w:rFonts w:ascii="Arial" w:eastAsia="Times New Roman" w:hAnsi="Arial" w:cs="Arial"/>
          <w:b/>
          <w:bCs/>
          <w:sz w:val="24"/>
          <w:szCs w:val="24"/>
        </w:rPr>
        <w:lastRenderedPageBreak/>
        <w:t>LONG SERVICE LEAVE AUTHORITY</w:t>
      </w:r>
    </w:p>
    <w:p w14:paraId="27FAE412" w14:textId="77777777" w:rsidR="002C6A63" w:rsidRDefault="00A53CD9" w:rsidP="002C6A63">
      <w:pPr>
        <w:spacing w:after="120"/>
        <w:jc w:val="center"/>
        <w:rPr>
          <w:rFonts w:ascii="Arial" w:hAnsi="Arial" w:cs="Arial"/>
          <w:b/>
          <w:bCs/>
          <w:sz w:val="24"/>
          <w:szCs w:val="24"/>
        </w:rPr>
      </w:pPr>
      <w:r w:rsidRPr="004C0366">
        <w:rPr>
          <w:rFonts w:ascii="Arial" w:hAnsi="Arial" w:cs="Arial"/>
          <w:b/>
          <w:bCs/>
          <w:sz w:val="24"/>
          <w:szCs w:val="24"/>
        </w:rPr>
        <w:t>CONTENT OF FINANCIAL STATEMENTS</w:t>
      </w:r>
    </w:p>
    <w:p w14:paraId="05A36F58" w14:textId="77777777" w:rsidR="00A53CD9" w:rsidRDefault="00A53CD9" w:rsidP="00F0752D">
      <w:pPr>
        <w:tabs>
          <w:tab w:val="right" w:leader="dot" w:pos="9949"/>
        </w:tabs>
        <w:rPr>
          <w:rFonts w:ascii="Arial" w:hAnsi="Arial" w:cs="Arial"/>
        </w:rPr>
      </w:pPr>
    </w:p>
    <w:p w14:paraId="58E6534C" w14:textId="77777777" w:rsidR="00C21CA4" w:rsidRPr="00C21CA4" w:rsidRDefault="00C21CA4" w:rsidP="00C21CA4">
      <w:pPr>
        <w:tabs>
          <w:tab w:val="right" w:leader="dot" w:pos="9949"/>
        </w:tabs>
        <w:spacing w:before="240" w:after="0" w:line="240" w:lineRule="auto"/>
        <w:rPr>
          <w:rFonts w:ascii="Arial" w:eastAsia="Times New Roman" w:hAnsi="Arial" w:cs="Arial"/>
          <w:b/>
          <w:bCs/>
          <w:color w:val="auto"/>
          <w:lang w:val="en-AU" w:eastAsia="en-US"/>
        </w:rPr>
      </w:pPr>
      <w:r w:rsidRPr="00C21CA4">
        <w:rPr>
          <w:rFonts w:ascii="Arial" w:eastAsia="Times New Roman" w:hAnsi="Arial" w:cs="Arial"/>
          <w:b/>
          <w:bCs/>
          <w:color w:val="auto"/>
          <w:lang w:val="en-AU" w:eastAsia="en-US"/>
        </w:rPr>
        <w:t>Financial Statements</w:t>
      </w:r>
    </w:p>
    <w:p w14:paraId="17167D8D"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Operating Statement</w:t>
      </w:r>
    </w:p>
    <w:p w14:paraId="54DB5620"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Balance Sheet</w:t>
      </w:r>
    </w:p>
    <w:p w14:paraId="7D83E389"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Statement of Changes in Equity</w:t>
      </w:r>
    </w:p>
    <w:p w14:paraId="47BCFDC6"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Statement of Cash Flows</w:t>
      </w:r>
    </w:p>
    <w:p w14:paraId="38606A46" w14:textId="77777777" w:rsidR="00C21CA4" w:rsidRPr="00C21CA4" w:rsidRDefault="00C21CA4" w:rsidP="00C21CA4">
      <w:pPr>
        <w:tabs>
          <w:tab w:val="right" w:leader="dot" w:pos="9949"/>
        </w:tabs>
        <w:spacing w:before="240" w:after="0" w:line="240" w:lineRule="auto"/>
        <w:rPr>
          <w:rFonts w:ascii="Arial" w:eastAsia="Times New Roman" w:hAnsi="Arial" w:cs="Arial"/>
          <w:b/>
          <w:bCs/>
          <w:color w:val="auto"/>
          <w:lang w:val="en-AU" w:eastAsia="en-US"/>
        </w:rPr>
      </w:pPr>
      <w:r w:rsidRPr="00C21CA4">
        <w:rPr>
          <w:rFonts w:ascii="Arial" w:eastAsia="Times New Roman" w:hAnsi="Arial" w:cs="Arial"/>
          <w:b/>
          <w:bCs/>
          <w:color w:val="auto"/>
          <w:lang w:val="en-AU" w:eastAsia="en-US"/>
        </w:rPr>
        <w:t>Overview Notes</w:t>
      </w:r>
    </w:p>
    <w:p w14:paraId="65D9D4FF"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     Objectives of the Long Service Leave Authority</w:t>
      </w:r>
    </w:p>
    <w:p w14:paraId="70CD251B"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2     Basis of Preparation of the Financial Statements</w:t>
      </w:r>
    </w:p>
    <w:p w14:paraId="09158149"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3     Impact of Accounting Standards Issued but Yet to be Applied</w:t>
      </w:r>
    </w:p>
    <w:p w14:paraId="190D8665"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4     Change in Accounting Estimates</w:t>
      </w:r>
    </w:p>
    <w:p w14:paraId="36E97EFF" w14:textId="77777777" w:rsidR="00C21CA4" w:rsidRPr="00C21CA4" w:rsidRDefault="00C21CA4" w:rsidP="00C21CA4">
      <w:pPr>
        <w:tabs>
          <w:tab w:val="right" w:leader="dot" w:pos="9949"/>
        </w:tabs>
        <w:spacing w:before="240" w:after="0" w:line="240" w:lineRule="auto"/>
        <w:rPr>
          <w:rFonts w:ascii="Arial" w:eastAsia="Times New Roman" w:hAnsi="Arial" w:cs="Arial"/>
          <w:b/>
          <w:bCs/>
          <w:color w:val="auto"/>
          <w:lang w:val="en-AU" w:eastAsia="en-US"/>
        </w:rPr>
      </w:pPr>
      <w:r w:rsidRPr="00C21CA4">
        <w:rPr>
          <w:rFonts w:ascii="Arial" w:eastAsia="Times New Roman" w:hAnsi="Arial" w:cs="Arial"/>
          <w:b/>
          <w:bCs/>
          <w:color w:val="auto"/>
          <w:lang w:val="en-AU" w:eastAsia="en-US"/>
        </w:rPr>
        <w:t>Income Notes</w:t>
      </w:r>
    </w:p>
    <w:p w14:paraId="36B9E038"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5     Contributions from Employers and Contractors</w:t>
      </w:r>
    </w:p>
    <w:p w14:paraId="13DB872F"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bookmarkStart w:id="82" w:name="_Hlk101304984"/>
      <w:r w:rsidRPr="00C21CA4">
        <w:rPr>
          <w:rFonts w:ascii="Arial" w:eastAsia="SimSun" w:hAnsi="Arial" w:cs="Arial"/>
          <w:color w:val="auto"/>
          <w:lang w:val="en-AU" w:eastAsia="en-US"/>
        </w:rPr>
        <w:t>Note 6     Gains from Remeasurement of Assets</w:t>
      </w:r>
    </w:p>
    <w:p w14:paraId="67DDCA72"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7     Investment Revenue</w:t>
      </w:r>
    </w:p>
    <w:bookmarkEnd w:id="82"/>
    <w:p w14:paraId="42AC7658" w14:textId="77777777" w:rsidR="00C21CA4" w:rsidRPr="00C21CA4" w:rsidRDefault="00C21CA4" w:rsidP="00C21CA4">
      <w:pPr>
        <w:tabs>
          <w:tab w:val="right" w:leader="dot" w:pos="9949"/>
        </w:tabs>
        <w:spacing w:before="240" w:after="0" w:line="240" w:lineRule="auto"/>
        <w:rPr>
          <w:rFonts w:ascii="Arial" w:eastAsia="Times New Roman" w:hAnsi="Arial" w:cs="Arial"/>
          <w:b/>
          <w:bCs/>
          <w:color w:val="auto"/>
          <w:lang w:val="en-AU" w:eastAsia="en-US"/>
        </w:rPr>
      </w:pPr>
      <w:r w:rsidRPr="00C21CA4">
        <w:rPr>
          <w:rFonts w:ascii="Arial" w:eastAsia="Times New Roman" w:hAnsi="Arial" w:cs="Arial"/>
          <w:b/>
          <w:bCs/>
          <w:color w:val="auto"/>
          <w:lang w:val="en-AU" w:eastAsia="en-US"/>
        </w:rPr>
        <w:t>Expense Notes</w:t>
      </w:r>
    </w:p>
    <w:p w14:paraId="6D44DC44"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8     Employee Expenses</w:t>
      </w:r>
    </w:p>
    <w:p w14:paraId="05C315CB"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 xml:space="preserve">Note 9     Supplies and Services </w:t>
      </w:r>
    </w:p>
    <w:p w14:paraId="2827AE3E"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10   Other Expenses</w:t>
      </w:r>
    </w:p>
    <w:p w14:paraId="15543B6C"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15   Provision for Long Service Leave Benefits</w:t>
      </w:r>
    </w:p>
    <w:p w14:paraId="5B7848DE" w14:textId="77777777" w:rsidR="00C21CA4" w:rsidRPr="00C21CA4" w:rsidRDefault="00C21CA4" w:rsidP="00C21CA4">
      <w:pPr>
        <w:tabs>
          <w:tab w:val="right" w:leader="dot" w:pos="9949"/>
        </w:tabs>
        <w:spacing w:before="240" w:after="0" w:line="240" w:lineRule="auto"/>
        <w:rPr>
          <w:rFonts w:ascii="Arial" w:eastAsia="Times New Roman" w:hAnsi="Arial" w:cs="Arial"/>
          <w:b/>
          <w:bCs/>
          <w:color w:val="auto"/>
          <w:lang w:val="en-AU" w:eastAsia="en-US"/>
        </w:rPr>
      </w:pPr>
      <w:r w:rsidRPr="00C21CA4">
        <w:rPr>
          <w:rFonts w:ascii="Arial" w:eastAsia="Times New Roman" w:hAnsi="Arial" w:cs="Arial"/>
          <w:b/>
          <w:bCs/>
          <w:color w:val="auto"/>
          <w:lang w:val="en-AU" w:eastAsia="en-US"/>
        </w:rPr>
        <w:t>Asset Notes</w:t>
      </w:r>
    </w:p>
    <w:p w14:paraId="3090540D"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11   Cash and Investments</w:t>
      </w:r>
    </w:p>
    <w:p w14:paraId="2BF543AD"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12   Receivables</w:t>
      </w:r>
    </w:p>
    <w:p w14:paraId="7B320C3A"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 xml:space="preserve">Note 13   Property, Plant and Equipment </w:t>
      </w:r>
    </w:p>
    <w:p w14:paraId="4A0BF8BE" w14:textId="77777777" w:rsidR="00C21CA4" w:rsidRPr="00C21CA4" w:rsidRDefault="00C21CA4" w:rsidP="00C21CA4">
      <w:pPr>
        <w:tabs>
          <w:tab w:val="right" w:leader="dot" w:pos="9949"/>
        </w:tabs>
        <w:spacing w:before="240" w:after="0" w:line="240" w:lineRule="auto"/>
        <w:rPr>
          <w:rFonts w:ascii="Arial" w:eastAsia="Times New Roman" w:hAnsi="Arial" w:cs="Arial"/>
          <w:b/>
          <w:bCs/>
          <w:color w:val="auto"/>
          <w:lang w:val="en-AU" w:eastAsia="en-US"/>
        </w:rPr>
      </w:pPr>
      <w:r w:rsidRPr="00C21CA4">
        <w:rPr>
          <w:rFonts w:ascii="Arial" w:eastAsia="Times New Roman" w:hAnsi="Arial" w:cs="Arial"/>
          <w:b/>
          <w:bCs/>
          <w:color w:val="auto"/>
          <w:lang w:val="en-AU" w:eastAsia="en-US"/>
        </w:rPr>
        <w:t>Liability Notes</w:t>
      </w:r>
    </w:p>
    <w:p w14:paraId="48526B9D"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14   Payables</w:t>
      </w:r>
    </w:p>
    <w:p w14:paraId="1CF730AB"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15   Provision for Long Service Leave Benefits</w:t>
      </w:r>
    </w:p>
    <w:p w14:paraId="5212C04D"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16   Employee Benefits</w:t>
      </w:r>
    </w:p>
    <w:p w14:paraId="34681BF2" w14:textId="77777777" w:rsidR="00C21CA4" w:rsidRPr="00C21CA4" w:rsidRDefault="00C21CA4" w:rsidP="00C21CA4">
      <w:pPr>
        <w:tabs>
          <w:tab w:val="right" w:leader="dot" w:pos="9949"/>
        </w:tabs>
        <w:spacing w:before="240" w:after="0" w:line="240" w:lineRule="auto"/>
        <w:rPr>
          <w:rFonts w:ascii="Arial" w:eastAsia="Times New Roman" w:hAnsi="Arial" w:cs="Arial"/>
          <w:b/>
          <w:bCs/>
          <w:color w:val="auto"/>
          <w:lang w:val="en-AU" w:eastAsia="en-US"/>
        </w:rPr>
      </w:pPr>
      <w:r w:rsidRPr="00C21CA4">
        <w:rPr>
          <w:rFonts w:ascii="Arial" w:eastAsia="Times New Roman" w:hAnsi="Arial" w:cs="Arial"/>
          <w:b/>
          <w:bCs/>
          <w:color w:val="auto"/>
          <w:lang w:val="en-AU" w:eastAsia="en-US"/>
        </w:rPr>
        <w:t>Other Notes</w:t>
      </w:r>
    </w:p>
    <w:p w14:paraId="1904E1D1"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17   Operating Statement and Balance Sheets for Long Service Leave Schemes</w:t>
      </w:r>
    </w:p>
    <w:p w14:paraId="6B57CCAA"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18   Financial Instruments</w:t>
      </w:r>
    </w:p>
    <w:p w14:paraId="22538960"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19   Commitments</w:t>
      </w:r>
    </w:p>
    <w:p w14:paraId="79C9E5D6"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20   Contingent Liabilities and Contingent Assets</w:t>
      </w:r>
    </w:p>
    <w:p w14:paraId="51834B43"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21   Related Party Disclosures</w:t>
      </w:r>
    </w:p>
    <w:p w14:paraId="34EB2162" w14:textId="77777777" w:rsidR="00C21CA4" w:rsidRPr="00C21CA4" w:rsidRDefault="00C21CA4" w:rsidP="00C21CA4">
      <w:pPr>
        <w:tabs>
          <w:tab w:val="right" w:leader="dot" w:pos="9949"/>
        </w:tabs>
        <w:spacing w:after="0" w:line="240" w:lineRule="auto"/>
        <w:rPr>
          <w:rFonts w:ascii="Arial" w:eastAsia="SimSun" w:hAnsi="Arial" w:cs="Arial"/>
          <w:color w:val="auto"/>
          <w:lang w:val="en-AU" w:eastAsia="en-US"/>
        </w:rPr>
      </w:pPr>
      <w:r w:rsidRPr="00C21CA4">
        <w:rPr>
          <w:rFonts w:ascii="Arial" w:eastAsia="SimSun" w:hAnsi="Arial" w:cs="Arial"/>
          <w:color w:val="auto"/>
          <w:lang w:val="en-AU" w:eastAsia="en-US"/>
        </w:rPr>
        <w:t>Note 22   Budgetary Reporting</w:t>
      </w:r>
    </w:p>
    <w:p w14:paraId="23E74385" w14:textId="77777777" w:rsidR="00C21CA4" w:rsidRPr="004C0366" w:rsidRDefault="00C21CA4" w:rsidP="00F0752D">
      <w:pPr>
        <w:tabs>
          <w:tab w:val="right" w:leader="dot" w:pos="9949"/>
        </w:tabs>
        <w:rPr>
          <w:rFonts w:ascii="Arial" w:hAnsi="Arial" w:cs="Arial"/>
        </w:rPr>
      </w:pPr>
    </w:p>
    <w:p w14:paraId="69F333AB" w14:textId="77777777" w:rsidR="00A53CD9" w:rsidRPr="004C0366" w:rsidRDefault="00A53CD9" w:rsidP="00F0752D">
      <w:pPr>
        <w:tabs>
          <w:tab w:val="right" w:leader="dot" w:pos="9949"/>
        </w:tabs>
        <w:ind w:left="216"/>
        <w:rPr>
          <w:rFonts w:ascii="Arial" w:hAnsi="Arial" w:cs="Arial"/>
        </w:rPr>
        <w:sectPr w:rsidR="00A53CD9" w:rsidRPr="004C0366" w:rsidSect="00A53CD9">
          <w:headerReference w:type="default" r:id="rId68"/>
          <w:footerReference w:type="default" r:id="rId69"/>
          <w:type w:val="continuous"/>
          <w:pgSz w:w="11910" w:h="16840"/>
          <w:pgMar w:top="1202" w:right="907" w:bottom="851" w:left="907" w:header="0" w:footer="703" w:gutter="0"/>
          <w:cols w:space="720"/>
          <w:docGrid w:linePitch="299"/>
        </w:sectPr>
      </w:pPr>
    </w:p>
    <w:p w14:paraId="321229DF" w14:textId="77777777" w:rsidR="00FC337C" w:rsidRPr="00FC337C" w:rsidRDefault="00FC337C" w:rsidP="00FC337C">
      <w:pPr>
        <w:keepNext/>
        <w:spacing w:after="120" w:line="240" w:lineRule="auto"/>
        <w:jc w:val="center"/>
        <w:outlineLvl w:val="0"/>
        <w:rPr>
          <w:rFonts w:ascii="Arial" w:eastAsia="Times New Roman" w:hAnsi="Arial" w:cs="Arial"/>
          <w:b/>
          <w:bCs/>
          <w:color w:val="auto"/>
          <w:kern w:val="32"/>
          <w:sz w:val="24"/>
          <w:szCs w:val="24"/>
          <w:lang w:val="en-AU" w:eastAsia="en-US"/>
        </w:rPr>
      </w:pPr>
      <w:bookmarkStart w:id="83" w:name="_Toc240533507"/>
      <w:r w:rsidRPr="00FC337C">
        <w:rPr>
          <w:rFonts w:ascii="Arial" w:eastAsia="Times New Roman" w:hAnsi="Arial" w:cs="Arial"/>
          <w:b/>
          <w:bCs/>
          <w:color w:val="auto"/>
          <w:kern w:val="32"/>
          <w:sz w:val="24"/>
          <w:szCs w:val="24"/>
          <w:lang w:val="en-AU" w:eastAsia="en-US"/>
        </w:rPr>
        <w:lastRenderedPageBreak/>
        <w:t>Long Service Leave Authority</w:t>
      </w:r>
      <w:bookmarkEnd w:id="83"/>
    </w:p>
    <w:p w14:paraId="7DDD286C" w14:textId="77777777" w:rsidR="00FC337C" w:rsidRPr="00FC337C" w:rsidRDefault="00FC337C" w:rsidP="00FC337C">
      <w:pPr>
        <w:spacing w:after="120" w:line="240" w:lineRule="auto"/>
        <w:jc w:val="center"/>
        <w:rPr>
          <w:rFonts w:ascii="Arial" w:eastAsia="Times New Roman" w:hAnsi="Arial" w:cs="Arial"/>
          <w:b/>
          <w:bCs/>
          <w:color w:val="auto"/>
          <w:kern w:val="32"/>
          <w:sz w:val="24"/>
          <w:szCs w:val="24"/>
          <w:lang w:val="en-AU" w:eastAsia="en-US"/>
        </w:rPr>
      </w:pPr>
      <w:r w:rsidRPr="00FC337C">
        <w:rPr>
          <w:rFonts w:ascii="Arial" w:eastAsia="Times New Roman" w:hAnsi="Arial" w:cs="Arial"/>
          <w:b/>
          <w:bCs/>
          <w:color w:val="auto"/>
          <w:kern w:val="32"/>
          <w:sz w:val="24"/>
          <w:szCs w:val="24"/>
          <w:lang w:val="en-AU" w:eastAsia="en-US"/>
        </w:rPr>
        <w:t>Operating Statement</w:t>
      </w:r>
    </w:p>
    <w:p w14:paraId="2864C453" w14:textId="77777777" w:rsidR="00FC337C" w:rsidRPr="00FC337C" w:rsidRDefault="00FC337C" w:rsidP="00FC337C">
      <w:pPr>
        <w:spacing w:after="120" w:line="240" w:lineRule="auto"/>
        <w:jc w:val="center"/>
        <w:rPr>
          <w:rFonts w:ascii="Arial" w:eastAsia="SimSun" w:hAnsi="Arial" w:cs="Arial"/>
          <w:color w:val="auto"/>
          <w:sz w:val="24"/>
          <w:szCs w:val="24"/>
          <w:lang w:val="en-AU"/>
        </w:rPr>
      </w:pPr>
      <w:r w:rsidRPr="00FC337C">
        <w:rPr>
          <w:rFonts w:ascii="Arial" w:eastAsia="Times New Roman" w:hAnsi="Arial" w:cs="Arial"/>
          <w:b/>
          <w:bCs/>
          <w:color w:val="auto"/>
          <w:kern w:val="32"/>
          <w:sz w:val="24"/>
          <w:szCs w:val="24"/>
          <w:lang w:val="en-AU" w:eastAsia="en-US"/>
        </w:rPr>
        <w:t>For the Year Ended 30 June 2026</w:t>
      </w:r>
    </w:p>
    <w:tbl>
      <w:tblPr>
        <w:tblW w:w="9781" w:type="dxa"/>
        <w:tblLayout w:type="fixed"/>
        <w:tblLook w:val="04A0" w:firstRow="1" w:lastRow="0" w:firstColumn="1" w:lastColumn="0" w:noHBand="0" w:noVBand="1"/>
      </w:tblPr>
      <w:tblGrid>
        <w:gridCol w:w="4724"/>
        <w:gridCol w:w="666"/>
        <w:gridCol w:w="1318"/>
        <w:gridCol w:w="1514"/>
        <w:gridCol w:w="1559"/>
      </w:tblGrid>
      <w:tr w:rsidR="00FC337C" w:rsidRPr="00FC337C" w14:paraId="7A3B4FA7" w14:textId="77777777" w:rsidTr="00FC337C">
        <w:trPr>
          <w:trHeight w:val="272"/>
        </w:trPr>
        <w:tc>
          <w:tcPr>
            <w:tcW w:w="4724" w:type="dxa"/>
            <w:tcBorders>
              <w:top w:val="nil"/>
              <w:left w:val="nil"/>
              <w:bottom w:val="nil"/>
              <w:right w:val="nil"/>
            </w:tcBorders>
            <w:shd w:val="clear" w:color="auto" w:fill="FFFFFF"/>
            <w:vAlign w:val="bottom"/>
          </w:tcPr>
          <w:p w14:paraId="3CCC7F31" w14:textId="77777777" w:rsidR="00FC337C" w:rsidRPr="00FC337C" w:rsidRDefault="00FC337C" w:rsidP="00FC337C">
            <w:pPr>
              <w:spacing w:after="0" w:line="240" w:lineRule="auto"/>
              <w:rPr>
                <w:rFonts w:ascii="Arial" w:eastAsia="Times New Roman" w:hAnsi="Arial" w:cs="Arial"/>
                <w:b/>
                <w:color w:val="auto"/>
                <w:sz w:val="18"/>
                <w:szCs w:val="18"/>
                <w:lang w:val="en-AU"/>
              </w:rPr>
            </w:pPr>
          </w:p>
        </w:tc>
        <w:tc>
          <w:tcPr>
            <w:tcW w:w="666" w:type="dxa"/>
            <w:tcBorders>
              <w:top w:val="nil"/>
              <w:left w:val="nil"/>
              <w:bottom w:val="nil"/>
              <w:right w:val="nil"/>
            </w:tcBorders>
            <w:shd w:val="clear" w:color="auto" w:fill="FFFFFF"/>
            <w:vAlign w:val="bottom"/>
          </w:tcPr>
          <w:p w14:paraId="0C3848E1" w14:textId="77777777" w:rsidR="00FC337C" w:rsidRPr="00FC337C" w:rsidRDefault="00FC337C" w:rsidP="00FC337C">
            <w:pPr>
              <w:spacing w:after="0" w:line="240" w:lineRule="auto"/>
              <w:jc w:val="center"/>
              <w:rPr>
                <w:rFonts w:ascii="Arial" w:eastAsia="Times New Roman" w:hAnsi="Arial" w:cs="Arial"/>
                <w:b/>
                <w:color w:val="auto"/>
                <w:sz w:val="18"/>
                <w:szCs w:val="18"/>
                <w:lang w:val="en-AU"/>
              </w:rPr>
            </w:pPr>
          </w:p>
        </w:tc>
        <w:tc>
          <w:tcPr>
            <w:tcW w:w="1318" w:type="dxa"/>
            <w:tcBorders>
              <w:top w:val="nil"/>
              <w:left w:val="nil"/>
              <w:bottom w:val="nil"/>
              <w:right w:val="nil"/>
            </w:tcBorders>
            <w:shd w:val="clear" w:color="auto" w:fill="FFFFFF"/>
            <w:vAlign w:val="bottom"/>
          </w:tcPr>
          <w:p w14:paraId="66509D8D"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 </w:t>
            </w:r>
          </w:p>
        </w:tc>
        <w:tc>
          <w:tcPr>
            <w:tcW w:w="1514" w:type="dxa"/>
            <w:tcBorders>
              <w:top w:val="nil"/>
              <w:left w:val="nil"/>
              <w:bottom w:val="nil"/>
              <w:right w:val="nil"/>
            </w:tcBorders>
            <w:shd w:val="clear" w:color="auto" w:fill="FFFFFF"/>
            <w:vAlign w:val="bottom"/>
          </w:tcPr>
          <w:p w14:paraId="3DB924CE"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Original</w:t>
            </w:r>
          </w:p>
        </w:tc>
        <w:tc>
          <w:tcPr>
            <w:tcW w:w="1559" w:type="dxa"/>
            <w:tcBorders>
              <w:top w:val="nil"/>
              <w:left w:val="nil"/>
              <w:bottom w:val="nil"/>
              <w:right w:val="nil"/>
            </w:tcBorders>
            <w:shd w:val="clear" w:color="auto" w:fill="FFFFFF"/>
            <w:noWrap/>
            <w:vAlign w:val="bottom"/>
          </w:tcPr>
          <w:p w14:paraId="02C5D2F9"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b/>
                <w:color w:val="auto"/>
                <w:sz w:val="18"/>
                <w:szCs w:val="18"/>
                <w:lang w:val="en-AU"/>
              </w:rPr>
              <w:t> </w:t>
            </w:r>
          </w:p>
        </w:tc>
      </w:tr>
      <w:tr w:rsidR="00FC337C" w:rsidRPr="00FC337C" w14:paraId="3DDA5E6C" w14:textId="77777777" w:rsidTr="00FC337C">
        <w:trPr>
          <w:trHeight w:val="272"/>
        </w:trPr>
        <w:tc>
          <w:tcPr>
            <w:tcW w:w="4724" w:type="dxa"/>
            <w:tcBorders>
              <w:top w:val="nil"/>
              <w:left w:val="nil"/>
              <w:right w:val="nil"/>
            </w:tcBorders>
            <w:shd w:val="clear" w:color="auto" w:fill="FFFFFF"/>
            <w:vAlign w:val="bottom"/>
          </w:tcPr>
          <w:p w14:paraId="506BB886" w14:textId="77777777" w:rsidR="00FC337C" w:rsidRPr="00FC337C" w:rsidRDefault="00FC337C" w:rsidP="00FC337C">
            <w:pPr>
              <w:spacing w:after="0" w:line="240" w:lineRule="auto"/>
              <w:ind w:left="-360"/>
              <w:rPr>
                <w:rFonts w:ascii="Arial" w:eastAsia="Times New Roman" w:hAnsi="Arial" w:cs="Arial"/>
                <w:b/>
                <w:color w:val="auto"/>
                <w:sz w:val="18"/>
                <w:szCs w:val="18"/>
                <w:lang w:val="en-AU"/>
              </w:rPr>
            </w:pPr>
          </w:p>
        </w:tc>
        <w:tc>
          <w:tcPr>
            <w:tcW w:w="666" w:type="dxa"/>
            <w:tcBorders>
              <w:top w:val="nil"/>
              <w:left w:val="nil"/>
              <w:right w:val="nil"/>
            </w:tcBorders>
            <w:shd w:val="clear" w:color="auto" w:fill="FFFFFF"/>
            <w:vAlign w:val="bottom"/>
          </w:tcPr>
          <w:p w14:paraId="4F92CB04" w14:textId="77777777" w:rsidR="00FC337C" w:rsidRPr="00FC337C" w:rsidRDefault="00FC337C" w:rsidP="00FC337C">
            <w:pPr>
              <w:spacing w:after="0" w:line="240" w:lineRule="auto"/>
              <w:ind w:left="-360"/>
              <w:jc w:val="center"/>
              <w:rPr>
                <w:rFonts w:ascii="Arial" w:eastAsia="Times New Roman" w:hAnsi="Arial" w:cs="Arial"/>
                <w:b/>
                <w:color w:val="auto"/>
                <w:sz w:val="18"/>
                <w:szCs w:val="18"/>
                <w:lang w:val="en-AU"/>
              </w:rPr>
            </w:pPr>
          </w:p>
        </w:tc>
        <w:tc>
          <w:tcPr>
            <w:tcW w:w="1318" w:type="dxa"/>
            <w:tcBorders>
              <w:top w:val="nil"/>
              <w:left w:val="nil"/>
              <w:bottom w:val="nil"/>
              <w:right w:val="nil"/>
            </w:tcBorders>
            <w:shd w:val="clear" w:color="auto" w:fill="FFFFFF"/>
            <w:vAlign w:val="bottom"/>
          </w:tcPr>
          <w:p w14:paraId="4D83263A" w14:textId="77777777" w:rsidR="00FC337C" w:rsidRPr="00FC337C" w:rsidRDefault="00FC337C" w:rsidP="00FC337C">
            <w:pPr>
              <w:spacing w:after="0" w:line="240" w:lineRule="auto"/>
              <w:ind w:left="-360"/>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Actual</w:t>
            </w:r>
          </w:p>
        </w:tc>
        <w:tc>
          <w:tcPr>
            <w:tcW w:w="1514" w:type="dxa"/>
            <w:tcBorders>
              <w:top w:val="nil"/>
              <w:left w:val="nil"/>
              <w:bottom w:val="nil"/>
              <w:right w:val="nil"/>
            </w:tcBorders>
            <w:shd w:val="clear" w:color="auto" w:fill="FFFFFF"/>
            <w:vAlign w:val="bottom"/>
          </w:tcPr>
          <w:p w14:paraId="3B5E6DBD"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Budget</w:t>
            </w:r>
          </w:p>
        </w:tc>
        <w:tc>
          <w:tcPr>
            <w:tcW w:w="1559" w:type="dxa"/>
            <w:vAlign w:val="bottom"/>
          </w:tcPr>
          <w:p w14:paraId="30A4D05D" w14:textId="77777777" w:rsidR="00FC337C" w:rsidRPr="00FC337C" w:rsidRDefault="00FC337C" w:rsidP="00FC337C">
            <w:pPr>
              <w:spacing w:after="0" w:line="240" w:lineRule="auto"/>
              <w:jc w:val="right"/>
              <w:rPr>
                <w:rFonts w:ascii="Arial" w:eastAsia="SimSun" w:hAnsi="Arial" w:cs="Arial"/>
                <w:color w:val="auto"/>
                <w:sz w:val="18"/>
                <w:szCs w:val="18"/>
                <w:lang w:val="en-AU" w:eastAsia="en-US"/>
              </w:rPr>
            </w:pPr>
            <w:r w:rsidRPr="00FC337C">
              <w:rPr>
                <w:rFonts w:ascii="Arial" w:eastAsia="Times New Roman" w:hAnsi="Arial" w:cs="Arial"/>
                <w:b/>
                <w:color w:val="auto"/>
                <w:sz w:val="18"/>
                <w:szCs w:val="18"/>
                <w:lang w:val="en-AU"/>
              </w:rPr>
              <w:t>Actual</w:t>
            </w:r>
          </w:p>
        </w:tc>
      </w:tr>
      <w:tr w:rsidR="00FC337C" w:rsidRPr="00FC337C" w14:paraId="779422F5" w14:textId="77777777" w:rsidTr="00FC337C">
        <w:trPr>
          <w:trHeight w:val="272"/>
        </w:trPr>
        <w:tc>
          <w:tcPr>
            <w:tcW w:w="4724" w:type="dxa"/>
            <w:tcBorders>
              <w:top w:val="nil"/>
              <w:left w:val="nil"/>
              <w:bottom w:val="nil"/>
              <w:right w:val="nil"/>
            </w:tcBorders>
            <w:shd w:val="clear" w:color="auto" w:fill="FFFFFF"/>
            <w:vAlign w:val="bottom"/>
          </w:tcPr>
          <w:p w14:paraId="7D651884" w14:textId="77777777" w:rsidR="00FC337C" w:rsidRPr="00FC337C" w:rsidRDefault="00FC337C" w:rsidP="00FC337C">
            <w:pPr>
              <w:spacing w:after="0" w:line="240" w:lineRule="auto"/>
              <w:rPr>
                <w:rFonts w:ascii="Arial" w:eastAsia="Times New Roman" w:hAnsi="Arial" w:cs="Arial"/>
                <w:b/>
                <w:color w:val="auto"/>
                <w:sz w:val="18"/>
                <w:szCs w:val="18"/>
                <w:lang w:val="en-AU"/>
              </w:rPr>
            </w:pPr>
          </w:p>
        </w:tc>
        <w:tc>
          <w:tcPr>
            <w:tcW w:w="666" w:type="dxa"/>
            <w:tcBorders>
              <w:top w:val="nil"/>
              <w:left w:val="nil"/>
              <w:bottom w:val="nil"/>
              <w:right w:val="nil"/>
            </w:tcBorders>
            <w:shd w:val="clear" w:color="auto" w:fill="FFFFFF"/>
            <w:vAlign w:val="bottom"/>
          </w:tcPr>
          <w:p w14:paraId="2A6A8481" w14:textId="77777777" w:rsidR="00FC337C" w:rsidRPr="00FC337C" w:rsidRDefault="00FC337C" w:rsidP="00FC337C">
            <w:pPr>
              <w:spacing w:after="0" w:line="240" w:lineRule="auto"/>
              <w:jc w:val="center"/>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Note</w:t>
            </w:r>
          </w:p>
        </w:tc>
        <w:tc>
          <w:tcPr>
            <w:tcW w:w="1318" w:type="dxa"/>
            <w:tcBorders>
              <w:top w:val="nil"/>
              <w:left w:val="nil"/>
              <w:bottom w:val="nil"/>
              <w:right w:val="nil"/>
            </w:tcBorders>
            <w:vAlign w:val="bottom"/>
          </w:tcPr>
          <w:p w14:paraId="536A08C7"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2026</w:t>
            </w:r>
          </w:p>
        </w:tc>
        <w:tc>
          <w:tcPr>
            <w:tcW w:w="1514" w:type="dxa"/>
            <w:tcBorders>
              <w:top w:val="nil"/>
              <w:left w:val="nil"/>
              <w:bottom w:val="nil"/>
              <w:right w:val="nil"/>
            </w:tcBorders>
            <w:vAlign w:val="bottom"/>
          </w:tcPr>
          <w:p w14:paraId="25DF91D0"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2026</w:t>
            </w:r>
          </w:p>
        </w:tc>
        <w:tc>
          <w:tcPr>
            <w:tcW w:w="1559" w:type="dxa"/>
            <w:tcBorders>
              <w:top w:val="nil"/>
              <w:left w:val="nil"/>
              <w:bottom w:val="nil"/>
              <w:right w:val="nil"/>
            </w:tcBorders>
            <w:vAlign w:val="bottom"/>
          </w:tcPr>
          <w:p w14:paraId="0CE99209"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2025</w:t>
            </w:r>
          </w:p>
        </w:tc>
      </w:tr>
      <w:tr w:rsidR="00FC337C" w:rsidRPr="00FC337C" w14:paraId="15D6A172" w14:textId="77777777" w:rsidTr="00FC337C">
        <w:trPr>
          <w:trHeight w:val="272"/>
        </w:trPr>
        <w:tc>
          <w:tcPr>
            <w:tcW w:w="4724" w:type="dxa"/>
            <w:tcBorders>
              <w:top w:val="nil"/>
              <w:left w:val="nil"/>
              <w:right w:val="nil"/>
            </w:tcBorders>
            <w:shd w:val="clear" w:color="auto" w:fill="FFFFFF"/>
            <w:vAlign w:val="bottom"/>
          </w:tcPr>
          <w:p w14:paraId="090DF9FB" w14:textId="77777777" w:rsidR="00FC337C" w:rsidRPr="00FC337C" w:rsidRDefault="00FC337C" w:rsidP="00FC337C">
            <w:pPr>
              <w:spacing w:after="0" w:line="240" w:lineRule="auto"/>
              <w:rPr>
                <w:rFonts w:ascii="Arial" w:eastAsia="Times New Roman" w:hAnsi="Arial" w:cs="Arial"/>
                <w:b/>
                <w:color w:val="auto"/>
                <w:sz w:val="18"/>
                <w:szCs w:val="18"/>
                <w:lang w:val="en-AU"/>
              </w:rPr>
            </w:pPr>
          </w:p>
        </w:tc>
        <w:tc>
          <w:tcPr>
            <w:tcW w:w="666" w:type="dxa"/>
            <w:tcBorders>
              <w:top w:val="nil"/>
              <w:left w:val="nil"/>
              <w:right w:val="nil"/>
            </w:tcBorders>
            <w:shd w:val="clear" w:color="auto" w:fill="FFFFFF"/>
            <w:vAlign w:val="bottom"/>
          </w:tcPr>
          <w:p w14:paraId="783BD817" w14:textId="77777777" w:rsidR="00FC337C" w:rsidRPr="00FC337C" w:rsidRDefault="00FC337C" w:rsidP="00FC337C">
            <w:pPr>
              <w:spacing w:after="0" w:line="240" w:lineRule="auto"/>
              <w:jc w:val="center"/>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No.</w:t>
            </w:r>
          </w:p>
        </w:tc>
        <w:tc>
          <w:tcPr>
            <w:tcW w:w="1318" w:type="dxa"/>
            <w:tcBorders>
              <w:top w:val="nil"/>
              <w:left w:val="nil"/>
              <w:bottom w:val="single" w:sz="4" w:space="0" w:color="auto"/>
              <w:right w:val="nil"/>
            </w:tcBorders>
            <w:shd w:val="clear" w:color="auto" w:fill="FFFFFF"/>
            <w:vAlign w:val="bottom"/>
          </w:tcPr>
          <w:p w14:paraId="2ADDD641"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$’000</w:t>
            </w:r>
          </w:p>
        </w:tc>
        <w:tc>
          <w:tcPr>
            <w:tcW w:w="1514" w:type="dxa"/>
            <w:tcBorders>
              <w:top w:val="nil"/>
              <w:left w:val="nil"/>
              <w:bottom w:val="single" w:sz="4" w:space="0" w:color="auto"/>
              <w:right w:val="nil"/>
            </w:tcBorders>
            <w:shd w:val="clear" w:color="auto" w:fill="FFFFFF"/>
            <w:vAlign w:val="bottom"/>
          </w:tcPr>
          <w:p w14:paraId="1B7144AC"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$’000</w:t>
            </w:r>
          </w:p>
        </w:tc>
        <w:tc>
          <w:tcPr>
            <w:tcW w:w="1559" w:type="dxa"/>
            <w:tcBorders>
              <w:top w:val="nil"/>
              <w:left w:val="nil"/>
              <w:bottom w:val="single" w:sz="4" w:space="0" w:color="auto"/>
              <w:right w:val="nil"/>
            </w:tcBorders>
            <w:shd w:val="clear" w:color="auto" w:fill="FFFFFF"/>
            <w:vAlign w:val="bottom"/>
          </w:tcPr>
          <w:p w14:paraId="636431C8"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$’000</w:t>
            </w:r>
          </w:p>
        </w:tc>
      </w:tr>
      <w:tr w:rsidR="00FC337C" w:rsidRPr="00FC337C" w14:paraId="40764FAA" w14:textId="77777777" w:rsidTr="00FC337C">
        <w:trPr>
          <w:trHeight w:val="272"/>
        </w:trPr>
        <w:tc>
          <w:tcPr>
            <w:tcW w:w="4724" w:type="dxa"/>
            <w:tcBorders>
              <w:top w:val="nil"/>
              <w:left w:val="nil"/>
              <w:bottom w:val="nil"/>
              <w:right w:val="nil"/>
            </w:tcBorders>
            <w:shd w:val="clear" w:color="auto" w:fill="FFFFFF"/>
            <w:vAlign w:val="bottom"/>
          </w:tcPr>
          <w:p w14:paraId="65FC5972" w14:textId="77777777" w:rsidR="00FC337C" w:rsidRPr="00FC337C" w:rsidRDefault="00FC337C" w:rsidP="00FC337C">
            <w:pPr>
              <w:spacing w:after="0" w:line="240" w:lineRule="auto"/>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Income</w:t>
            </w:r>
          </w:p>
        </w:tc>
        <w:tc>
          <w:tcPr>
            <w:tcW w:w="666" w:type="dxa"/>
            <w:tcBorders>
              <w:top w:val="nil"/>
              <w:left w:val="nil"/>
              <w:bottom w:val="nil"/>
              <w:right w:val="nil"/>
            </w:tcBorders>
            <w:shd w:val="clear" w:color="auto" w:fill="FFFFFF"/>
            <w:vAlign w:val="bottom"/>
          </w:tcPr>
          <w:p w14:paraId="1D004BC0"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p>
        </w:tc>
        <w:tc>
          <w:tcPr>
            <w:tcW w:w="1318" w:type="dxa"/>
            <w:tcBorders>
              <w:top w:val="nil"/>
              <w:left w:val="nil"/>
              <w:bottom w:val="nil"/>
              <w:right w:val="nil"/>
            </w:tcBorders>
            <w:shd w:val="clear" w:color="auto" w:fill="FFFFFF"/>
            <w:vAlign w:val="bottom"/>
          </w:tcPr>
          <w:p w14:paraId="2F66B65B"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 </w:t>
            </w:r>
          </w:p>
        </w:tc>
        <w:tc>
          <w:tcPr>
            <w:tcW w:w="1514" w:type="dxa"/>
            <w:tcBorders>
              <w:top w:val="nil"/>
              <w:left w:val="nil"/>
              <w:right w:val="nil"/>
            </w:tcBorders>
            <w:shd w:val="clear" w:color="auto" w:fill="FFFFFF"/>
            <w:vAlign w:val="bottom"/>
          </w:tcPr>
          <w:p w14:paraId="126E7DFA"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 </w:t>
            </w:r>
          </w:p>
        </w:tc>
        <w:tc>
          <w:tcPr>
            <w:tcW w:w="1559" w:type="dxa"/>
            <w:tcBorders>
              <w:top w:val="nil"/>
              <w:left w:val="nil"/>
              <w:right w:val="nil"/>
            </w:tcBorders>
            <w:shd w:val="clear" w:color="auto" w:fill="FFFFFF"/>
            <w:vAlign w:val="bottom"/>
          </w:tcPr>
          <w:p w14:paraId="33E3AD26"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 </w:t>
            </w:r>
          </w:p>
        </w:tc>
      </w:tr>
      <w:tr w:rsidR="00FC337C" w:rsidRPr="00FC337C" w14:paraId="502FC11D" w14:textId="77777777" w:rsidTr="00FC337C">
        <w:trPr>
          <w:trHeight w:val="20"/>
        </w:trPr>
        <w:tc>
          <w:tcPr>
            <w:tcW w:w="4724" w:type="dxa"/>
            <w:tcBorders>
              <w:top w:val="nil"/>
              <w:left w:val="nil"/>
              <w:bottom w:val="nil"/>
              <w:right w:val="nil"/>
            </w:tcBorders>
            <w:shd w:val="clear" w:color="auto" w:fill="FFFFFF"/>
            <w:vAlign w:val="bottom"/>
          </w:tcPr>
          <w:p w14:paraId="15DB03D4"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Contributions from Employers and Contractors</w:t>
            </w:r>
          </w:p>
        </w:tc>
        <w:tc>
          <w:tcPr>
            <w:tcW w:w="666" w:type="dxa"/>
            <w:tcBorders>
              <w:top w:val="nil"/>
              <w:left w:val="nil"/>
              <w:bottom w:val="nil"/>
              <w:right w:val="nil"/>
            </w:tcBorders>
            <w:shd w:val="clear" w:color="auto" w:fill="FFFFFF"/>
            <w:vAlign w:val="bottom"/>
          </w:tcPr>
          <w:p w14:paraId="0E2E920B" w14:textId="77777777" w:rsidR="00FC337C" w:rsidRPr="00FC337C" w:rsidRDefault="00FC337C" w:rsidP="00FC337C">
            <w:pPr>
              <w:spacing w:after="0" w:line="240" w:lineRule="auto"/>
              <w:jc w:val="center"/>
              <w:rPr>
                <w:rFonts w:ascii="Arial" w:eastAsia="Times New Roman" w:hAnsi="Arial" w:cs="Arial"/>
                <w:color w:val="auto"/>
                <w:sz w:val="18"/>
                <w:szCs w:val="18"/>
                <w:highlight w:val="yellow"/>
                <w:lang w:val="en-AU"/>
              </w:rPr>
            </w:pPr>
            <w:r w:rsidRPr="00FC337C">
              <w:rPr>
                <w:rFonts w:ascii="Arial" w:eastAsia="Times New Roman" w:hAnsi="Arial" w:cs="Arial"/>
                <w:color w:val="auto"/>
                <w:sz w:val="18"/>
                <w:szCs w:val="18"/>
                <w:lang w:val="en-AU"/>
              </w:rPr>
              <w:t>5</w:t>
            </w:r>
          </w:p>
        </w:tc>
        <w:tc>
          <w:tcPr>
            <w:tcW w:w="1318" w:type="dxa"/>
            <w:tcBorders>
              <w:top w:val="nil"/>
              <w:left w:val="nil"/>
              <w:bottom w:val="nil"/>
            </w:tcBorders>
            <w:shd w:val="clear" w:color="auto" w:fill="FFFFFF"/>
            <w:noWrap/>
            <w:vAlign w:val="bottom"/>
          </w:tcPr>
          <w:p w14:paraId="2BA5620D"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 xml:space="preserve"> 51,057 </w:t>
            </w:r>
          </w:p>
        </w:tc>
        <w:tc>
          <w:tcPr>
            <w:tcW w:w="1514" w:type="dxa"/>
            <w:tcBorders>
              <w:top w:val="nil"/>
              <w:left w:val="nil"/>
              <w:bottom w:val="nil"/>
              <w:right w:val="nil"/>
            </w:tcBorders>
            <w:noWrap/>
            <w:vAlign w:val="bottom"/>
          </w:tcPr>
          <w:p w14:paraId="02AF4D17" w14:textId="77777777" w:rsidR="00FC337C" w:rsidRPr="00FC337C" w:rsidRDefault="00FC337C" w:rsidP="00FC337C">
            <w:pPr>
              <w:spacing w:after="0" w:line="240" w:lineRule="auto"/>
              <w:jc w:val="right"/>
              <w:rPr>
                <w:rFonts w:ascii="Arial" w:eastAsia="Calibri" w:hAnsi="Arial" w:cs="Arial"/>
                <w:color w:val="000000"/>
                <w:sz w:val="18"/>
                <w:szCs w:val="18"/>
                <w:lang w:val="en-AU" w:eastAsia="en-US"/>
              </w:rPr>
            </w:pPr>
            <w:r w:rsidRPr="00FC337C">
              <w:rPr>
                <w:rFonts w:ascii="Arial" w:eastAsia="Calibri" w:hAnsi="Arial" w:cs="Arial"/>
                <w:color w:val="000000"/>
                <w:sz w:val="18"/>
                <w:szCs w:val="18"/>
                <w:lang w:val="en-AU" w:eastAsia="en-US"/>
              </w:rPr>
              <w:t>49,070</w:t>
            </w:r>
          </w:p>
        </w:tc>
        <w:tc>
          <w:tcPr>
            <w:tcW w:w="1559" w:type="dxa"/>
            <w:tcBorders>
              <w:top w:val="nil"/>
              <w:left w:val="nil"/>
              <w:bottom w:val="nil"/>
            </w:tcBorders>
            <w:shd w:val="clear" w:color="auto" w:fill="FFFFFF"/>
            <w:noWrap/>
            <w:vAlign w:val="bottom"/>
          </w:tcPr>
          <w:p w14:paraId="1A2D1FF5"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46,960</w:t>
            </w:r>
          </w:p>
        </w:tc>
      </w:tr>
      <w:tr w:rsidR="00FC337C" w:rsidRPr="00FC337C" w14:paraId="2C34CE14" w14:textId="77777777" w:rsidTr="00FC337C">
        <w:trPr>
          <w:trHeight w:val="20"/>
        </w:trPr>
        <w:tc>
          <w:tcPr>
            <w:tcW w:w="4724" w:type="dxa"/>
            <w:tcBorders>
              <w:top w:val="nil"/>
              <w:left w:val="nil"/>
              <w:bottom w:val="nil"/>
              <w:right w:val="nil"/>
            </w:tcBorders>
            <w:shd w:val="clear" w:color="auto" w:fill="FFFFFF"/>
            <w:vAlign w:val="bottom"/>
          </w:tcPr>
          <w:p w14:paraId="53104E79"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Gains from Remeasurement of Assets</w:t>
            </w:r>
          </w:p>
        </w:tc>
        <w:tc>
          <w:tcPr>
            <w:tcW w:w="666" w:type="dxa"/>
            <w:tcBorders>
              <w:top w:val="nil"/>
              <w:left w:val="nil"/>
              <w:bottom w:val="nil"/>
              <w:right w:val="nil"/>
            </w:tcBorders>
            <w:shd w:val="clear" w:color="auto" w:fill="FFFFFF"/>
            <w:vAlign w:val="bottom"/>
          </w:tcPr>
          <w:p w14:paraId="339F691A"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6</w:t>
            </w:r>
          </w:p>
        </w:tc>
        <w:tc>
          <w:tcPr>
            <w:tcW w:w="1318" w:type="dxa"/>
            <w:tcBorders>
              <w:top w:val="nil"/>
              <w:left w:val="nil"/>
              <w:bottom w:val="nil"/>
            </w:tcBorders>
            <w:shd w:val="clear" w:color="auto" w:fill="FFFFFF"/>
            <w:noWrap/>
            <w:vAlign w:val="bottom"/>
          </w:tcPr>
          <w:p w14:paraId="058FC891"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 xml:space="preserve"> 9,060 </w:t>
            </w:r>
          </w:p>
        </w:tc>
        <w:tc>
          <w:tcPr>
            <w:tcW w:w="1514" w:type="dxa"/>
            <w:tcBorders>
              <w:top w:val="nil"/>
              <w:left w:val="nil"/>
              <w:bottom w:val="nil"/>
              <w:right w:val="nil"/>
            </w:tcBorders>
            <w:noWrap/>
            <w:vAlign w:val="bottom"/>
          </w:tcPr>
          <w:p w14:paraId="780E060A" w14:textId="77777777" w:rsidR="00FC337C" w:rsidRPr="00FC337C" w:rsidRDefault="00FC337C" w:rsidP="00FC337C">
            <w:pPr>
              <w:spacing w:after="0" w:line="240" w:lineRule="auto"/>
              <w:jc w:val="right"/>
              <w:rPr>
                <w:rFonts w:ascii="Arial" w:eastAsia="Calibri" w:hAnsi="Arial" w:cs="Arial"/>
                <w:color w:val="000000"/>
                <w:sz w:val="18"/>
                <w:szCs w:val="18"/>
                <w:lang w:val="en-AU" w:eastAsia="en-US"/>
              </w:rPr>
            </w:pPr>
            <w:r w:rsidRPr="00FC337C">
              <w:rPr>
                <w:rFonts w:ascii="Arial" w:eastAsia="Calibri" w:hAnsi="Arial" w:cs="Arial"/>
                <w:color w:val="000000"/>
                <w:sz w:val="18"/>
                <w:szCs w:val="18"/>
                <w:lang w:val="en-AU" w:eastAsia="en-US"/>
              </w:rPr>
              <w:t>14,421</w:t>
            </w:r>
          </w:p>
        </w:tc>
        <w:tc>
          <w:tcPr>
            <w:tcW w:w="1559" w:type="dxa"/>
            <w:tcBorders>
              <w:top w:val="nil"/>
              <w:left w:val="nil"/>
              <w:bottom w:val="nil"/>
            </w:tcBorders>
            <w:shd w:val="clear" w:color="auto" w:fill="FFFFFF"/>
            <w:noWrap/>
            <w:vAlign w:val="bottom"/>
          </w:tcPr>
          <w:p w14:paraId="4D0AA3A5"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30,005</w:t>
            </w:r>
          </w:p>
        </w:tc>
      </w:tr>
      <w:tr w:rsidR="00FC337C" w:rsidRPr="00FC337C" w14:paraId="626EDACA" w14:textId="77777777" w:rsidTr="00FC337C">
        <w:trPr>
          <w:trHeight w:val="20"/>
        </w:trPr>
        <w:tc>
          <w:tcPr>
            <w:tcW w:w="4724" w:type="dxa"/>
            <w:tcBorders>
              <w:top w:val="nil"/>
              <w:left w:val="nil"/>
              <w:bottom w:val="nil"/>
              <w:right w:val="nil"/>
            </w:tcBorders>
            <w:shd w:val="clear" w:color="auto" w:fill="FFFFFF"/>
            <w:vAlign w:val="bottom"/>
          </w:tcPr>
          <w:p w14:paraId="00D2A6A4"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Investment Revenue</w:t>
            </w:r>
          </w:p>
        </w:tc>
        <w:tc>
          <w:tcPr>
            <w:tcW w:w="666" w:type="dxa"/>
            <w:tcBorders>
              <w:top w:val="nil"/>
              <w:left w:val="nil"/>
              <w:bottom w:val="nil"/>
              <w:right w:val="nil"/>
            </w:tcBorders>
            <w:shd w:val="clear" w:color="auto" w:fill="FFFFFF"/>
            <w:vAlign w:val="bottom"/>
          </w:tcPr>
          <w:p w14:paraId="2C4F9F19" w14:textId="77777777" w:rsidR="00FC337C" w:rsidRPr="00FC337C" w:rsidRDefault="00FC337C" w:rsidP="00FC337C">
            <w:pPr>
              <w:spacing w:after="0" w:line="240" w:lineRule="auto"/>
              <w:jc w:val="center"/>
              <w:rPr>
                <w:rFonts w:ascii="Arial" w:eastAsia="Times New Roman" w:hAnsi="Arial" w:cs="Arial"/>
                <w:color w:val="auto"/>
                <w:sz w:val="18"/>
                <w:szCs w:val="18"/>
                <w:highlight w:val="yellow"/>
                <w:lang w:val="en-AU"/>
              </w:rPr>
            </w:pPr>
            <w:r w:rsidRPr="00FC337C">
              <w:rPr>
                <w:rFonts w:ascii="Arial" w:eastAsia="Times New Roman" w:hAnsi="Arial" w:cs="Arial"/>
                <w:color w:val="auto"/>
                <w:sz w:val="18"/>
                <w:szCs w:val="18"/>
                <w:lang w:val="en-AU"/>
              </w:rPr>
              <w:t>7</w:t>
            </w:r>
          </w:p>
        </w:tc>
        <w:tc>
          <w:tcPr>
            <w:tcW w:w="1318" w:type="dxa"/>
            <w:tcBorders>
              <w:top w:val="nil"/>
              <w:left w:val="nil"/>
              <w:bottom w:val="nil"/>
            </w:tcBorders>
            <w:shd w:val="clear" w:color="auto" w:fill="FFFFFF"/>
            <w:noWrap/>
            <w:vAlign w:val="bottom"/>
          </w:tcPr>
          <w:p w14:paraId="05973A6F"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 xml:space="preserve"> 15,574 </w:t>
            </w:r>
          </w:p>
        </w:tc>
        <w:tc>
          <w:tcPr>
            <w:tcW w:w="1514" w:type="dxa"/>
            <w:tcBorders>
              <w:top w:val="nil"/>
              <w:left w:val="nil"/>
              <w:bottom w:val="nil"/>
              <w:right w:val="nil"/>
            </w:tcBorders>
            <w:noWrap/>
            <w:vAlign w:val="bottom"/>
          </w:tcPr>
          <w:p w14:paraId="15A963B8" w14:textId="77777777" w:rsidR="00FC337C" w:rsidRPr="00FC337C" w:rsidRDefault="00FC337C" w:rsidP="00FC337C">
            <w:pPr>
              <w:spacing w:after="0" w:line="240" w:lineRule="auto"/>
              <w:jc w:val="right"/>
              <w:rPr>
                <w:rFonts w:ascii="Arial" w:eastAsia="Calibri" w:hAnsi="Arial" w:cs="Arial"/>
                <w:color w:val="000000"/>
                <w:sz w:val="18"/>
                <w:szCs w:val="18"/>
                <w:lang w:val="en-AU" w:eastAsia="en-US"/>
              </w:rPr>
            </w:pPr>
            <w:r w:rsidRPr="00FC337C">
              <w:rPr>
                <w:rFonts w:ascii="Arial" w:eastAsia="Calibri" w:hAnsi="Arial" w:cs="Arial"/>
                <w:color w:val="000000"/>
                <w:sz w:val="18"/>
                <w:szCs w:val="18"/>
                <w:lang w:val="en-AU" w:eastAsia="en-US"/>
              </w:rPr>
              <w:t>8,350</w:t>
            </w:r>
          </w:p>
        </w:tc>
        <w:tc>
          <w:tcPr>
            <w:tcW w:w="1559" w:type="dxa"/>
            <w:tcBorders>
              <w:top w:val="nil"/>
              <w:left w:val="nil"/>
              <w:bottom w:val="nil"/>
            </w:tcBorders>
            <w:shd w:val="clear" w:color="auto" w:fill="FFFFFF"/>
            <w:noWrap/>
            <w:vAlign w:val="bottom"/>
          </w:tcPr>
          <w:p w14:paraId="1E634C32"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9,636</w:t>
            </w:r>
          </w:p>
        </w:tc>
      </w:tr>
      <w:tr w:rsidR="00FC337C" w:rsidRPr="00FC337C" w14:paraId="3357ACAF" w14:textId="77777777" w:rsidTr="00FC337C">
        <w:trPr>
          <w:trHeight w:val="20"/>
        </w:trPr>
        <w:tc>
          <w:tcPr>
            <w:tcW w:w="4724" w:type="dxa"/>
            <w:tcBorders>
              <w:top w:val="nil"/>
              <w:left w:val="nil"/>
              <w:right w:val="nil"/>
            </w:tcBorders>
            <w:shd w:val="clear" w:color="auto" w:fill="FFFFFF"/>
            <w:vAlign w:val="bottom"/>
          </w:tcPr>
          <w:p w14:paraId="51CC578D"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Sales of Services from Contracts with Customers</w:t>
            </w:r>
          </w:p>
        </w:tc>
        <w:tc>
          <w:tcPr>
            <w:tcW w:w="666" w:type="dxa"/>
            <w:tcBorders>
              <w:top w:val="nil"/>
              <w:left w:val="nil"/>
              <w:right w:val="nil"/>
            </w:tcBorders>
            <w:shd w:val="clear" w:color="auto" w:fill="FFFFFF"/>
            <w:vAlign w:val="bottom"/>
          </w:tcPr>
          <w:p w14:paraId="2747AE6A" w14:textId="77777777" w:rsidR="00FC337C" w:rsidRPr="00FC337C" w:rsidRDefault="00FC337C" w:rsidP="00FC337C">
            <w:pPr>
              <w:spacing w:after="0" w:line="240" w:lineRule="auto"/>
              <w:jc w:val="center"/>
              <w:rPr>
                <w:rFonts w:ascii="Arial" w:eastAsia="Times New Roman" w:hAnsi="Arial" w:cs="Arial"/>
                <w:color w:val="auto"/>
                <w:sz w:val="18"/>
                <w:szCs w:val="18"/>
                <w:highlight w:val="yellow"/>
                <w:lang w:val="en-AU"/>
              </w:rPr>
            </w:pPr>
          </w:p>
        </w:tc>
        <w:tc>
          <w:tcPr>
            <w:tcW w:w="1318" w:type="dxa"/>
            <w:tcBorders>
              <w:top w:val="nil"/>
              <w:left w:val="nil"/>
            </w:tcBorders>
            <w:shd w:val="clear" w:color="auto" w:fill="FFFFFF"/>
            <w:noWrap/>
            <w:vAlign w:val="bottom"/>
          </w:tcPr>
          <w:p w14:paraId="03FAEB75"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 xml:space="preserve"> 50 </w:t>
            </w:r>
          </w:p>
        </w:tc>
        <w:tc>
          <w:tcPr>
            <w:tcW w:w="1514" w:type="dxa"/>
            <w:tcBorders>
              <w:top w:val="nil"/>
              <w:left w:val="nil"/>
            </w:tcBorders>
            <w:noWrap/>
            <w:vAlign w:val="bottom"/>
          </w:tcPr>
          <w:p w14:paraId="4C279DE7" w14:textId="77777777" w:rsidR="00FC337C" w:rsidRPr="00FC337C" w:rsidRDefault="00FC337C" w:rsidP="00FC337C">
            <w:pPr>
              <w:spacing w:after="0" w:line="259" w:lineRule="auto"/>
              <w:jc w:val="right"/>
              <w:rPr>
                <w:rFonts w:ascii="Arial" w:eastAsia="Times New Roman" w:hAnsi="Arial" w:cs="Arial"/>
                <w:color w:val="000000"/>
                <w:sz w:val="18"/>
                <w:szCs w:val="18"/>
                <w:lang w:val="en-AU"/>
              </w:rPr>
            </w:pPr>
            <w:r w:rsidRPr="00FC337C">
              <w:rPr>
                <w:rFonts w:ascii="Arial" w:eastAsia="Times New Roman" w:hAnsi="Arial" w:cs="Arial"/>
                <w:color w:val="000000"/>
                <w:sz w:val="18"/>
                <w:szCs w:val="18"/>
                <w:lang w:val="en-AU"/>
              </w:rPr>
              <w:t>50</w:t>
            </w:r>
          </w:p>
        </w:tc>
        <w:tc>
          <w:tcPr>
            <w:tcW w:w="1559" w:type="dxa"/>
            <w:tcBorders>
              <w:top w:val="nil"/>
              <w:left w:val="nil"/>
            </w:tcBorders>
            <w:shd w:val="clear" w:color="auto" w:fill="FFFFFF"/>
            <w:noWrap/>
            <w:vAlign w:val="bottom"/>
          </w:tcPr>
          <w:p w14:paraId="26E17BD0"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79</w:t>
            </w:r>
          </w:p>
        </w:tc>
      </w:tr>
      <w:tr w:rsidR="00FC337C" w:rsidRPr="00FC337C" w14:paraId="3A210665" w14:textId="77777777" w:rsidTr="00FC337C">
        <w:trPr>
          <w:trHeight w:val="20"/>
        </w:trPr>
        <w:tc>
          <w:tcPr>
            <w:tcW w:w="4724" w:type="dxa"/>
            <w:tcBorders>
              <w:top w:val="nil"/>
              <w:left w:val="nil"/>
              <w:right w:val="nil"/>
            </w:tcBorders>
            <w:shd w:val="clear" w:color="auto" w:fill="FFFFFF"/>
            <w:vAlign w:val="bottom"/>
          </w:tcPr>
          <w:p w14:paraId="45889269"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Grants and Contributions Income</w:t>
            </w:r>
          </w:p>
        </w:tc>
        <w:tc>
          <w:tcPr>
            <w:tcW w:w="666" w:type="dxa"/>
            <w:tcBorders>
              <w:top w:val="nil"/>
              <w:left w:val="nil"/>
              <w:right w:val="nil"/>
            </w:tcBorders>
            <w:shd w:val="clear" w:color="auto" w:fill="FFFFFF"/>
            <w:vAlign w:val="bottom"/>
          </w:tcPr>
          <w:p w14:paraId="2365A202"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p>
        </w:tc>
        <w:tc>
          <w:tcPr>
            <w:tcW w:w="1318" w:type="dxa"/>
            <w:tcBorders>
              <w:top w:val="nil"/>
              <w:left w:val="nil"/>
            </w:tcBorders>
            <w:shd w:val="clear" w:color="auto" w:fill="FFFFFF"/>
            <w:noWrap/>
            <w:vAlign w:val="bottom"/>
          </w:tcPr>
          <w:p w14:paraId="0D04F4BB"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 xml:space="preserve">27 </w:t>
            </w:r>
          </w:p>
        </w:tc>
        <w:tc>
          <w:tcPr>
            <w:tcW w:w="1514" w:type="dxa"/>
            <w:tcBorders>
              <w:top w:val="nil"/>
              <w:left w:val="nil"/>
            </w:tcBorders>
            <w:noWrap/>
            <w:vAlign w:val="bottom"/>
          </w:tcPr>
          <w:p w14:paraId="122D60C9" w14:textId="77777777" w:rsidR="00FC337C" w:rsidRPr="00FC337C" w:rsidRDefault="00FC337C" w:rsidP="00FC337C">
            <w:pPr>
              <w:spacing w:after="0" w:line="240" w:lineRule="auto"/>
              <w:jc w:val="right"/>
              <w:rPr>
                <w:rFonts w:ascii="Arial" w:eastAsia="Times New Roman" w:hAnsi="Arial" w:cs="Arial"/>
                <w:color w:val="000000"/>
                <w:sz w:val="18"/>
                <w:szCs w:val="18"/>
                <w:lang w:val="en-AU"/>
              </w:rPr>
            </w:pPr>
            <w:r w:rsidRPr="00FC337C">
              <w:rPr>
                <w:rFonts w:ascii="Arial" w:eastAsia="Times New Roman" w:hAnsi="Arial" w:cs="Arial"/>
                <w:color w:val="000000"/>
                <w:sz w:val="18"/>
                <w:szCs w:val="18"/>
                <w:lang w:val="en-AU"/>
              </w:rPr>
              <w:t>-</w:t>
            </w:r>
          </w:p>
        </w:tc>
        <w:tc>
          <w:tcPr>
            <w:tcW w:w="1559" w:type="dxa"/>
            <w:tcBorders>
              <w:top w:val="nil"/>
              <w:left w:val="nil"/>
            </w:tcBorders>
            <w:shd w:val="clear" w:color="auto" w:fill="FFFFFF"/>
            <w:noWrap/>
            <w:vAlign w:val="bottom"/>
          </w:tcPr>
          <w:p w14:paraId="71E6B0FE"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6</w:t>
            </w:r>
          </w:p>
        </w:tc>
      </w:tr>
      <w:tr w:rsidR="00FC337C" w:rsidRPr="00FC337C" w14:paraId="2D05062D" w14:textId="77777777" w:rsidTr="00FC337C">
        <w:trPr>
          <w:trHeight w:val="20"/>
        </w:trPr>
        <w:tc>
          <w:tcPr>
            <w:tcW w:w="4724" w:type="dxa"/>
            <w:tcBorders>
              <w:top w:val="nil"/>
              <w:left w:val="nil"/>
              <w:right w:val="nil"/>
            </w:tcBorders>
            <w:shd w:val="clear" w:color="auto" w:fill="FFFFFF"/>
            <w:vAlign w:val="bottom"/>
          </w:tcPr>
          <w:p w14:paraId="1FFF2FED"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Other Income</w:t>
            </w:r>
          </w:p>
        </w:tc>
        <w:tc>
          <w:tcPr>
            <w:tcW w:w="666" w:type="dxa"/>
            <w:tcBorders>
              <w:top w:val="nil"/>
              <w:left w:val="nil"/>
              <w:right w:val="nil"/>
            </w:tcBorders>
            <w:shd w:val="clear" w:color="auto" w:fill="FFFFFF"/>
            <w:vAlign w:val="bottom"/>
          </w:tcPr>
          <w:p w14:paraId="1BDE6BC5"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p>
        </w:tc>
        <w:tc>
          <w:tcPr>
            <w:tcW w:w="1318" w:type="dxa"/>
            <w:tcBorders>
              <w:top w:val="nil"/>
              <w:left w:val="nil"/>
              <w:bottom w:val="single" w:sz="4" w:space="0" w:color="auto"/>
            </w:tcBorders>
            <w:shd w:val="clear" w:color="auto" w:fill="FFFFFF"/>
            <w:noWrap/>
            <w:vAlign w:val="bottom"/>
          </w:tcPr>
          <w:p w14:paraId="3ED921C9"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 xml:space="preserve"> 721 </w:t>
            </w:r>
          </w:p>
        </w:tc>
        <w:tc>
          <w:tcPr>
            <w:tcW w:w="1514" w:type="dxa"/>
            <w:tcBorders>
              <w:top w:val="nil"/>
              <w:left w:val="nil"/>
              <w:bottom w:val="single" w:sz="4" w:space="0" w:color="auto"/>
            </w:tcBorders>
            <w:noWrap/>
            <w:vAlign w:val="bottom"/>
          </w:tcPr>
          <w:p w14:paraId="2AF1DEDB" w14:textId="77777777" w:rsidR="00FC337C" w:rsidRPr="00FC337C" w:rsidRDefault="00FC337C" w:rsidP="00FC337C">
            <w:pPr>
              <w:spacing w:after="0" w:line="240" w:lineRule="auto"/>
              <w:jc w:val="right"/>
              <w:rPr>
                <w:rFonts w:ascii="Arial" w:eastAsia="Times New Roman" w:hAnsi="Arial" w:cs="Arial"/>
                <w:color w:val="000000"/>
                <w:sz w:val="18"/>
                <w:szCs w:val="18"/>
                <w:lang w:val="en-AU"/>
              </w:rPr>
            </w:pPr>
            <w:r w:rsidRPr="00FC337C">
              <w:rPr>
                <w:rFonts w:ascii="Arial" w:eastAsia="Times New Roman" w:hAnsi="Arial" w:cs="Arial"/>
                <w:color w:val="000000"/>
                <w:sz w:val="18"/>
                <w:szCs w:val="18"/>
                <w:lang w:val="en-AU"/>
              </w:rPr>
              <w:t>436</w:t>
            </w:r>
          </w:p>
        </w:tc>
        <w:tc>
          <w:tcPr>
            <w:tcW w:w="1559" w:type="dxa"/>
            <w:tcBorders>
              <w:top w:val="nil"/>
              <w:left w:val="nil"/>
              <w:bottom w:val="single" w:sz="4" w:space="0" w:color="auto"/>
            </w:tcBorders>
            <w:shd w:val="clear" w:color="auto" w:fill="FFFFFF"/>
            <w:noWrap/>
            <w:vAlign w:val="bottom"/>
          </w:tcPr>
          <w:p w14:paraId="1BFF524D"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502</w:t>
            </w:r>
          </w:p>
        </w:tc>
      </w:tr>
      <w:tr w:rsidR="00FC337C" w:rsidRPr="00FC337C" w14:paraId="7DC22F97" w14:textId="77777777" w:rsidTr="00FC337C">
        <w:trPr>
          <w:trHeight w:val="20"/>
        </w:trPr>
        <w:tc>
          <w:tcPr>
            <w:tcW w:w="4724" w:type="dxa"/>
            <w:tcBorders>
              <w:top w:val="nil"/>
              <w:left w:val="nil"/>
              <w:right w:val="nil"/>
            </w:tcBorders>
            <w:shd w:val="clear" w:color="auto" w:fill="FFFFFF"/>
            <w:vAlign w:val="bottom"/>
          </w:tcPr>
          <w:p w14:paraId="34CABAA6"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b/>
                <w:color w:val="auto"/>
                <w:sz w:val="18"/>
                <w:szCs w:val="18"/>
                <w:lang w:val="en-AU"/>
              </w:rPr>
              <w:t>Total Income</w:t>
            </w:r>
          </w:p>
        </w:tc>
        <w:tc>
          <w:tcPr>
            <w:tcW w:w="666" w:type="dxa"/>
            <w:tcBorders>
              <w:top w:val="nil"/>
              <w:left w:val="nil"/>
              <w:right w:val="nil"/>
            </w:tcBorders>
            <w:shd w:val="clear" w:color="auto" w:fill="FFFFFF"/>
            <w:vAlign w:val="bottom"/>
          </w:tcPr>
          <w:p w14:paraId="60674506"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p>
        </w:tc>
        <w:tc>
          <w:tcPr>
            <w:tcW w:w="1318" w:type="dxa"/>
            <w:tcBorders>
              <w:top w:val="single" w:sz="4" w:space="0" w:color="auto"/>
              <w:left w:val="nil"/>
              <w:bottom w:val="single" w:sz="4" w:space="0" w:color="auto"/>
            </w:tcBorders>
            <w:shd w:val="clear" w:color="auto" w:fill="FFFFFF"/>
            <w:noWrap/>
            <w:vAlign w:val="bottom"/>
          </w:tcPr>
          <w:p w14:paraId="74CFE565"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SimSun" w:hAnsi="Arial" w:cs="Arial"/>
                <w:color w:val="auto"/>
                <w:sz w:val="18"/>
                <w:szCs w:val="18"/>
                <w:lang w:val="en-AU" w:eastAsia="en-US"/>
              </w:rPr>
              <w:t xml:space="preserve"> </w:t>
            </w:r>
            <w:r w:rsidRPr="00FC337C">
              <w:rPr>
                <w:rFonts w:ascii="Arial" w:eastAsia="Times New Roman" w:hAnsi="Arial" w:cs="Arial"/>
                <w:b/>
                <w:bCs/>
                <w:color w:val="auto"/>
                <w:sz w:val="18"/>
                <w:szCs w:val="18"/>
                <w:lang w:val="en-AU"/>
              </w:rPr>
              <w:t>76,489</w:t>
            </w:r>
            <w:r w:rsidRPr="00FC337C">
              <w:rPr>
                <w:rFonts w:ascii="Arial" w:eastAsia="SimSun" w:hAnsi="Arial" w:cs="Arial"/>
                <w:color w:val="auto"/>
                <w:sz w:val="18"/>
                <w:szCs w:val="18"/>
                <w:lang w:val="en-AU" w:eastAsia="en-US"/>
              </w:rPr>
              <w:t xml:space="preserve"> </w:t>
            </w:r>
          </w:p>
        </w:tc>
        <w:tc>
          <w:tcPr>
            <w:tcW w:w="1514" w:type="dxa"/>
            <w:tcBorders>
              <w:top w:val="single" w:sz="4" w:space="0" w:color="auto"/>
              <w:left w:val="nil"/>
              <w:bottom w:val="single" w:sz="4" w:space="0" w:color="auto"/>
            </w:tcBorders>
            <w:noWrap/>
            <w:vAlign w:val="bottom"/>
          </w:tcPr>
          <w:p w14:paraId="66A05B4F" w14:textId="77777777" w:rsidR="00FC337C" w:rsidRPr="00FC337C" w:rsidRDefault="00FC337C" w:rsidP="00FC337C">
            <w:pPr>
              <w:spacing w:after="0" w:line="240" w:lineRule="auto"/>
              <w:jc w:val="right"/>
              <w:rPr>
                <w:rFonts w:ascii="Arial" w:eastAsia="Calibri" w:hAnsi="Arial" w:cs="Arial"/>
                <w:color w:val="000000"/>
                <w:sz w:val="18"/>
                <w:szCs w:val="18"/>
                <w:lang w:val="en-AU" w:eastAsia="en-US"/>
              </w:rPr>
            </w:pPr>
            <w:r w:rsidRPr="00FC337C">
              <w:rPr>
                <w:rFonts w:ascii="Arial" w:eastAsia="Calibri" w:hAnsi="Arial" w:cs="Arial"/>
                <w:b/>
                <w:color w:val="000000"/>
                <w:sz w:val="18"/>
                <w:szCs w:val="18"/>
                <w:lang w:val="en-AU" w:eastAsia="en-US"/>
              </w:rPr>
              <w:t>72,327</w:t>
            </w:r>
          </w:p>
        </w:tc>
        <w:tc>
          <w:tcPr>
            <w:tcW w:w="1559" w:type="dxa"/>
            <w:tcBorders>
              <w:top w:val="single" w:sz="4" w:space="0" w:color="auto"/>
              <w:left w:val="nil"/>
              <w:bottom w:val="single" w:sz="4" w:space="0" w:color="auto"/>
            </w:tcBorders>
            <w:shd w:val="clear" w:color="auto" w:fill="FFFFFF"/>
            <w:noWrap/>
            <w:vAlign w:val="bottom"/>
          </w:tcPr>
          <w:p w14:paraId="30DBDD36"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87,188</w:t>
            </w:r>
          </w:p>
        </w:tc>
      </w:tr>
      <w:tr w:rsidR="00FC337C" w:rsidRPr="00FC337C" w14:paraId="2DF2CEA5" w14:textId="77777777" w:rsidTr="00FC337C">
        <w:trPr>
          <w:trHeight w:val="20"/>
        </w:trPr>
        <w:tc>
          <w:tcPr>
            <w:tcW w:w="4724" w:type="dxa"/>
            <w:tcBorders>
              <w:top w:val="nil"/>
              <w:left w:val="nil"/>
              <w:bottom w:val="nil"/>
              <w:right w:val="nil"/>
            </w:tcBorders>
            <w:shd w:val="clear" w:color="auto" w:fill="FFFFFF"/>
            <w:vAlign w:val="bottom"/>
          </w:tcPr>
          <w:p w14:paraId="1DA89EEE" w14:textId="77777777" w:rsidR="00FC337C" w:rsidRPr="00FC337C" w:rsidRDefault="00FC337C" w:rsidP="00FC337C">
            <w:pPr>
              <w:spacing w:after="0" w:line="240" w:lineRule="auto"/>
              <w:rPr>
                <w:rFonts w:ascii="Arial" w:eastAsia="Times New Roman" w:hAnsi="Arial" w:cs="Arial"/>
                <w:b/>
                <w:color w:val="auto"/>
                <w:sz w:val="18"/>
                <w:szCs w:val="18"/>
                <w:lang w:val="en-AU"/>
              </w:rPr>
            </w:pPr>
          </w:p>
        </w:tc>
        <w:tc>
          <w:tcPr>
            <w:tcW w:w="666" w:type="dxa"/>
            <w:tcBorders>
              <w:top w:val="nil"/>
              <w:left w:val="nil"/>
              <w:bottom w:val="nil"/>
              <w:right w:val="nil"/>
            </w:tcBorders>
            <w:shd w:val="clear" w:color="auto" w:fill="FFFFFF"/>
            <w:vAlign w:val="bottom"/>
          </w:tcPr>
          <w:p w14:paraId="68E5D9AA" w14:textId="77777777" w:rsidR="00FC337C" w:rsidRPr="00FC337C" w:rsidRDefault="00FC337C" w:rsidP="00FC337C">
            <w:pPr>
              <w:spacing w:after="0" w:line="240" w:lineRule="auto"/>
              <w:jc w:val="center"/>
              <w:rPr>
                <w:rFonts w:ascii="Arial" w:eastAsia="Times New Roman" w:hAnsi="Arial" w:cs="Arial"/>
                <w:b/>
                <w:color w:val="auto"/>
                <w:sz w:val="18"/>
                <w:szCs w:val="18"/>
                <w:lang w:val="en-AU"/>
              </w:rPr>
            </w:pPr>
          </w:p>
        </w:tc>
        <w:tc>
          <w:tcPr>
            <w:tcW w:w="1318" w:type="dxa"/>
            <w:tcBorders>
              <w:top w:val="nil"/>
              <w:left w:val="nil"/>
              <w:bottom w:val="nil"/>
              <w:right w:val="nil"/>
            </w:tcBorders>
            <w:shd w:val="clear" w:color="auto" w:fill="FFFFFF"/>
            <w:noWrap/>
            <w:vAlign w:val="bottom"/>
          </w:tcPr>
          <w:p w14:paraId="54DC3A5B"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p>
        </w:tc>
        <w:tc>
          <w:tcPr>
            <w:tcW w:w="1514" w:type="dxa"/>
            <w:tcBorders>
              <w:top w:val="nil"/>
              <w:left w:val="nil"/>
              <w:bottom w:val="nil"/>
              <w:right w:val="nil"/>
            </w:tcBorders>
            <w:shd w:val="clear" w:color="auto" w:fill="FFFFFF"/>
            <w:noWrap/>
            <w:vAlign w:val="bottom"/>
          </w:tcPr>
          <w:p w14:paraId="1FB7889B" w14:textId="77777777" w:rsidR="00FC337C" w:rsidRPr="00FC337C" w:rsidRDefault="00FC337C" w:rsidP="00FC337C">
            <w:pPr>
              <w:spacing w:after="0" w:line="240" w:lineRule="auto"/>
              <w:jc w:val="right"/>
              <w:rPr>
                <w:rFonts w:ascii="Arial" w:eastAsia="Times New Roman" w:hAnsi="Arial" w:cs="Arial"/>
                <w:b/>
                <w:color w:val="000000"/>
                <w:sz w:val="18"/>
                <w:szCs w:val="18"/>
                <w:lang w:val="en-AU"/>
              </w:rPr>
            </w:pPr>
          </w:p>
        </w:tc>
        <w:tc>
          <w:tcPr>
            <w:tcW w:w="1559" w:type="dxa"/>
            <w:tcBorders>
              <w:top w:val="single" w:sz="2" w:space="0" w:color="auto"/>
              <w:left w:val="nil"/>
              <w:bottom w:val="nil"/>
              <w:right w:val="nil"/>
            </w:tcBorders>
            <w:shd w:val="clear" w:color="auto" w:fill="FFFFFF"/>
            <w:noWrap/>
            <w:vAlign w:val="bottom"/>
          </w:tcPr>
          <w:p w14:paraId="5F006A17"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p>
        </w:tc>
      </w:tr>
      <w:tr w:rsidR="00FC337C" w:rsidRPr="00FC337C" w14:paraId="4A884C0E" w14:textId="77777777" w:rsidTr="00FC337C">
        <w:trPr>
          <w:trHeight w:val="20"/>
        </w:trPr>
        <w:tc>
          <w:tcPr>
            <w:tcW w:w="4724" w:type="dxa"/>
            <w:tcBorders>
              <w:top w:val="nil"/>
              <w:left w:val="nil"/>
              <w:right w:val="nil"/>
            </w:tcBorders>
            <w:shd w:val="clear" w:color="auto" w:fill="FFFFFF"/>
            <w:vAlign w:val="bottom"/>
          </w:tcPr>
          <w:p w14:paraId="56EE650F" w14:textId="77777777" w:rsidR="00FC337C" w:rsidRPr="00FC337C" w:rsidRDefault="00FC337C" w:rsidP="00FC337C">
            <w:pPr>
              <w:spacing w:after="0" w:line="240" w:lineRule="auto"/>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Expenses</w:t>
            </w:r>
          </w:p>
        </w:tc>
        <w:tc>
          <w:tcPr>
            <w:tcW w:w="666" w:type="dxa"/>
            <w:tcBorders>
              <w:top w:val="nil"/>
              <w:left w:val="nil"/>
              <w:bottom w:val="nil"/>
              <w:right w:val="nil"/>
            </w:tcBorders>
            <w:shd w:val="clear" w:color="auto" w:fill="FFFFFF"/>
            <w:vAlign w:val="bottom"/>
          </w:tcPr>
          <w:p w14:paraId="12A7D77B"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p>
        </w:tc>
        <w:tc>
          <w:tcPr>
            <w:tcW w:w="1318" w:type="dxa"/>
            <w:tcBorders>
              <w:top w:val="nil"/>
              <w:left w:val="nil"/>
              <w:bottom w:val="nil"/>
              <w:right w:val="nil"/>
            </w:tcBorders>
            <w:shd w:val="clear" w:color="auto" w:fill="FFFFFF"/>
            <w:vAlign w:val="bottom"/>
          </w:tcPr>
          <w:p w14:paraId="4C0233CB"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p>
        </w:tc>
        <w:tc>
          <w:tcPr>
            <w:tcW w:w="1514" w:type="dxa"/>
            <w:tcBorders>
              <w:top w:val="nil"/>
              <w:left w:val="nil"/>
              <w:bottom w:val="nil"/>
              <w:right w:val="nil"/>
            </w:tcBorders>
            <w:shd w:val="clear" w:color="auto" w:fill="FFFFFF"/>
            <w:vAlign w:val="bottom"/>
          </w:tcPr>
          <w:p w14:paraId="0B89CFBC" w14:textId="77777777" w:rsidR="00FC337C" w:rsidRPr="00FC337C" w:rsidRDefault="00FC337C" w:rsidP="00FC337C">
            <w:pPr>
              <w:spacing w:after="0" w:line="240" w:lineRule="auto"/>
              <w:jc w:val="right"/>
              <w:rPr>
                <w:rFonts w:ascii="Arial" w:eastAsia="Times New Roman" w:hAnsi="Arial" w:cs="Arial"/>
                <w:color w:val="000000"/>
                <w:sz w:val="18"/>
                <w:szCs w:val="18"/>
                <w:lang w:val="en-AU"/>
              </w:rPr>
            </w:pPr>
          </w:p>
        </w:tc>
        <w:tc>
          <w:tcPr>
            <w:tcW w:w="1559" w:type="dxa"/>
            <w:tcBorders>
              <w:top w:val="nil"/>
              <w:left w:val="nil"/>
              <w:bottom w:val="nil"/>
              <w:right w:val="nil"/>
            </w:tcBorders>
            <w:shd w:val="clear" w:color="auto" w:fill="FFFFFF"/>
            <w:vAlign w:val="bottom"/>
          </w:tcPr>
          <w:p w14:paraId="40F322BC"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p>
        </w:tc>
      </w:tr>
      <w:tr w:rsidR="00FC337C" w:rsidRPr="00FC337C" w14:paraId="3F6E7E7C" w14:textId="77777777" w:rsidTr="00FC337C">
        <w:trPr>
          <w:trHeight w:val="20"/>
        </w:trPr>
        <w:tc>
          <w:tcPr>
            <w:tcW w:w="4724" w:type="dxa"/>
            <w:shd w:val="clear" w:color="auto" w:fill="FFFFFF"/>
            <w:vAlign w:val="bottom"/>
          </w:tcPr>
          <w:p w14:paraId="69DA930B"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Employee Expenses</w:t>
            </w:r>
          </w:p>
        </w:tc>
        <w:tc>
          <w:tcPr>
            <w:tcW w:w="666" w:type="dxa"/>
            <w:tcBorders>
              <w:top w:val="nil"/>
              <w:left w:val="nil"/>
              <w:bottom w:val="nil"/>
              <w:right w:val="nil"/>
            </w:tcBorders>
            <w:shd w:val="clear" w:color="auto" w:fill="FFFFFF"/>
            <w:vAlign w:val="bottom"/>
          </w:tcPr>
          <w:p w14:paraId="014804A9"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8</w:t>
            </w:r>
          </w:p>
        </w:tc>
        <w:tc>
          <w:tcPr>
            <w:tcW w:w="1318" w:type="dxa"/>
            <w:tcBorders>
              <w:top w:val="nil"/>
              <w:left w:val="nil"/>
              <w:bottom w:val="nil"/>
              <w:right w:val="nil"/>
            </w:tcBorders>
            <w:shd w:val="clear" w:color="auto" w:fill="FFFFFF"/>
            <w:noWrap/>
            <w:vAlign w:val="bottom"/>
          </w:tcPr>
          <w:p w14:paraId="42E77DF1"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SimSun" w:hAnsi="Arial" w:cs="Arial"/>
                <w:color w:val="auto"/>
                <w:sz w:val="18"/>
                <w:szCs w:val="18"/>
                <w:lang w:val="en-AU" w:eastAsia="en-US"/>
              </w:rPr>
              <w:t xml:space="preserve">             5,363 </w:t>
            </w:r>
          </w:p>
        </w:tc>
        <w:tc>
          <w:tcPr>
            <w:tcW w:w="1514" w:type="dxa"/>
            <w:tcBorders>
              <w:top w:val="nil"/>
              <w:left w:val="nil"/>
              <w:bottom w:val="nil"/>
              <w:right w:val="nil"/>
            </w:tcBorders>
            <w:shd w:val="clear" w:color="auto" w:fill="FFFFFF"/>
            <w:noWrap/>
            <w:vAlign w:val="bottom"/>
          </w:tcPr>
          <w:p w14:paraId="45D76962" w14:textId="77777777" w:rsidR="00FC337C" w:rsidRPr="00FC337C" w:rsidRDefault="00FC337C" w:rsidP="00FC337C">
            <w:pPr>
              <w:spacing w:after="0" w:line="240" w:lineRule="auto"/>
              <w:jc w:val="right"/>
              <w:rPr>
                <w:rFonts w:ascii="Arial" w:eastAsia="SimSun" w:hAnsi="Arial" w:cs="Arial"/>
                <w:color w:val="000000"/>
                <w:sz w:val="18"/>
                <w:szCs w:val="18"/>
                <w:lang w:val="en-AU" w:eastAsia="en-US"/>
              </w:rPr>
            </w:pPr>
            <w:r w:rsidRPr="00FC337C">
              <w:rPr>
                <w:rFonts w:ascii="Arial" w:eastAsia="Calibri" w:hAnsi="Arial" w:cs="Arial"/>
                <w:color w:val="000000"/>
                <w:sz w:val="18"/>
                <w:szCs w:val="18"/>
                <w:lang w:val="en-AU" w:eastAsia="en-US"/>
              </w:rPr>
              <w:t>5,628</w:t>
            </w:r>
          </w:p>
        </w:tc>
        <w:tc>
          <w:tcPr>
            <w:tcW w:w="1559" w:type="dxa"/>
            <w:tcBorders>
              <w:top w:val="nil"/>
              <w:left w:val="nil"/>
              <w:bottom w:val="nil"/>
              <w:right w:val="nil"/>
            </w:tcBorders>
            <w:shd w:val="clear" w:color="auto" w:fill="FFFFFF"/>
            <w:noWrap/>
            <w:vAlign w:val="bottom"/>
          </w:tcPr>
          <w:p w14:paraId="73F2A9F1"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4,978</w:t>
            </w:r>
          </w:p>
        </w:tc>
      </w:tr>
      <w:tr w:rsidR="00FC337C" w:rsidRPr="00FC337C" w14:paraId="7993C3FD" w14:textId="77777777" w:rsidTr="00FC337C">
        <w:trPr>
          <w:trHeight w:val="20"/>
        </w:trPr>
        <w:tc>
          <w:tcPr>
            <w:tcW w:w="4724" w:type="dxa"/>
            <w:shd w:val="clear" w:color="auto" w:fill="FFFFFF"/>
            <w:vAlign w:val="bottom"/>
          </w:tcPr>
          <w:p w14:paraId="0CF71F4F"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Supplies and Services</w:t>
            </w:r>
          </w:p>
        </w:tc>
        <w:tc>
          <w:tcPr>
            <w:tcW w:w="666" w:type="dxa"/>
            <w:tcBorders>
              <w:top w:val="nil"/>
              <w:left w:val="nil"/>
              <w:bottom w:val="nil"/>
              <w:right w:val="nil"/>
            </w:tcBorders>
            <w:shd w:val="clear" w:color="auto" w:fill="FFFFFF"/>
            <w:vAlign w:val="bottom"/>
          </w:tcPr>
          <w:p w14:paraId="7F78DF61"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9</w:t>
            </w:r>
          </w:p>
        </w:tc>
        <w:tc>
          <w:tcPr>
            <w:tcW w:w="1318" w:type="dxa"/>
            <w:tcBorders>
              <w:top w:val="nil"/>
              <w:left w:val="nil"/>
              <w:bottom w:val="nil"/>
              <w:right w:val="nil"/>
            </w:tcBorders>
            <w:shd w:val="clear" w:color="auto" w:fill="FFFFFF"/>
            <w:noWrap/>
            <w:vAlign w:val="bottom"/>
          </w:tcPr>
          <w:p w14:paraId="5B1E8998"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SimSun" w:hAnsi="Arial" w:cs="Arial"/>
                <w:color w:val="auto"/>
                <w:sz w:val="18"/>
                <w:szCs w:val="18"/>
                <w:lang w:val="en-AU" w:eastAsia="en-US"/>
              </w:rPr>
              <w:t xml:space="preserve">             2,147 </w:t>
            </w:r>
          </w:p>
        </w:tc>
        <w:tc>
          <w:tcPr>
            <w:tcW w:w="1514" w:type="dxa"/>
            <w:tcBorders>
              <w:top w:val="nil"/>
              <w:left w:val="nil"/>
              <w:bottom w:val="nil"/>
              <w:right w:val="nil"/>
            </w:tcBorders>
            <w:shd w:val="clear" w:color="auto" w:fill="FFFFFF"/>
            <w:noWrap/>
            <w:vAlign w:val="bottom"/>
          </w:tcPr>
          <w:p w14:paraId="3D9161B6" w14:textId="77777777" w:rsidR="00FC337C" w:rsidRPr="00FC337C" w:rsidRDefault="00FC337C" w:rsidP="00FC337C">
            <w:pPr>
              <w:spacing w:after="0" w:line="240" w:lineRule="auto"/>
              <w:jc w:val="right"/>
              <w:rPr>
                <w:rFonts w:ascii="Arial" w:eastAsia="SimSun" w:hAnsi="Arial" w:cs="Arial"/>
                <w:color w:val="000000"/>
                <w:sz w:val="18"/>
                <w:szCs w:val="18"/>
                <w:lang w:val="en-AU" w:eastAsia="en-US"/>
              </w:rPr>
            </w:pPr>
            <w:r w:rsidRPr="00FC337C">
              <w:rPr>
                <w:rFonts w:ascii="Arial" w:eastAsia="Calibri" w:hAnsi="Arial" w:cs="Arial"/>
                <w:color w:val="000000"/>
                <w:sz w:val="18"/>
                <w:szCs w:val="18"/>
                <w:lang w:val="en-AU" w:eastAsia="en-US"/>
              </w:rPr>
              <w:t>1,954</w:t>
            </w:r>
          </w:p>
        </w:tc>
        <w:tc>
          <w:tcPr>
            <w:tcW w:w="1559" w:type="dxa"/>
            <w:tcBorders>
              <w:top w:val="nil"/>
              <w:left w:val="nil"/>
              <w:bottom w:val="nil"/>
              <w:right w:val="nil"/>
            </w:tcBorders>
            <w:shd w:val="clear" w:color="auto" w:fill="FFFFFF"/>
            <w:noWrap/>
            <w:vAlign w:val="bottom"/>
          </w:tcPr>
          <w:p w14:paraId="0D5E66A0"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2,545</w:t>
            </w:r>
          </w:p>
        </w:tc>
      </w:tr>
      <w:tr w:rsidR="00FC337C" w:rsidRPr="00FC337C" w14:paraId="29053A53" w14:textId="77777777" w:rsidTr="00FC337C">
        <w:trPr>
          <w:trHeight w:val="20"/>
        </w:trPr>
        <w:tc>
          <w:tcPr>
            <w:tcW w:w="4724" w:type="dxa"/>
            <w:shd w:val="clear" w:color="auto" w:fill="FFFFFF"/>
            <w:vAlign w:val="bottom"/>
          </w:tcPr>
          <w:p w14:paraId="34D2C622"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Depreciation and Amortisation</w:t>
            </w:r>
          </w:p>
        </w:tc>
        <w:tc>
          <w:tcPr>
            <w:tcW w:w="666" w:type="dxa"/>
            <w:tcBorders>
              <w:top w:val="nil"/>
              <w:left w:val="nil"/>
              <w:bottom w:val="nil"/>
              <w:right w:val="nil"/>
            </w:tcBorders>
            <w:shd w:val="clear" w:color="auto" w:fill="FFFFFF"/>
            <w:vAlign w:val="bottom"/>
          </w:tcPr>
          <w:p w14:paraId="1507DEB2"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13</w:t>
            </w:r>
          </w:p>
        </w:tc>
        <w:tc>
          <w:tcPr>
            <w:tcW w:w="1318" w:type="dxa"/>
            <w:tcBorders>
              <w:top w:val="nil"/>
              <w:left w:val="nil"/>
              <w:bottom w:val="nil"/>
              <w:right w:val="nil"/>
            </w:tcBorders>
            <w:shd w:val="clear" w:color="auto" w:fill="FFFFFF"/>
            <w:noWrap/>
            <w:vAlign w:val="bottom"/>
          </w:tcPr>
          <w:p w14:paraId="69F70C0F"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SimSun" w:hAnsi="Arial" w:cs="Arial"/>
                <w:color w:val="auto"/>
                <w:sz w:val="18"/>
                <w:szCs w:val="18"/>
                <w:lang w:val="en-AU" w:eastAsia="en-US"/>
              </w:rPr>
              <w:t xml:space="preserve">                254 </w:t>
            </w:r>
          </w:p>
        </w:tc>
        <w:tc>
          <w:tcPr>
            <w:tcW w:w="1514" w:type="dxa"/>
            <w:tcBorders>
              <w:top w:val="nil"/>
              <w:left w:val="nil"/>
              <w:bottom w:val="nil"/>
              <w:right w:val="nil"/>
            </w:tcBorders>
            <w:shd w:val="clear" w:color="auto" w:fill="FFFFFF"/>
            <w:noWrap/>
            <w:vAlign w:val="bottom"/>
          </w:tcPr>
          <w:p w14:paraId="45967A89" w14:textId="77777777" w:rsidR="00FC337C" w:rsidRPr="00FC337C" w:rsidRDefault="00FC337C" w:rsidP="00FC337C">
            <w:pPr>
              <w:spacing w:after="0" w:line="240" w:lineRule="auto"/>
              <w:jc w:val="right"/>
              <w:rPr>
                <w:rFonts w:ascii="Arial" w:eastAsia="SimSun" w:hAnsi="Arial" w:cs="Arial"/>
                <w:color w:val="000000"/>
                <w:sz w:val="18"/>
                <w:szCs w:val="18"/>
                <w:lang w:val="en-AU" w:eastAsia="en-US"/>
              </w:rPr>
            </w:pPr>
            <w:r w:rsidRPr="00FC337C">
              <w:rPr>
                <w:rFonts w:ascii="Arial" w:eastAsia="Calibri" w:hAnsi="Arial" w:cs="Arial"/>
                <w:color w:val="000000"/>
                <w:sz w:val="18"/>
                <w:szCs w:val="18"/>
                <w:lang w:val="en-AU" w:eastAsia="en-US"/>
              </w:rPr>
              <w:t>287</w:t>
            </w:r>
          </w:p>
        </w:tc>
        <w:tc>
          <w:tcPr>
            <w:tcW w:w="1559" w:type="dxa"/>
            <w:tcBorders>
              <w:top w:val="nil"/>
              <w:left w:val="nil"/>
              <w:bottom w:val="nil"/>
              <w:right w:val="nil"/>
            </w:tcBorders>
            <w:shd w:val="clear" w:color="auto" w:fill="FFFFFF"/>
            <w:noWrap/>
            <w:vAlign w:val="bottom"/>
          </w:tcPr>
          <w:p w14:paraId="38E7A081"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317</w:t>
            </w:r>
          </w:p>
        </w:tc>
      </w:tr>
      <w:tr w:rsidR="00FC337C" w:rsidRPr="00FC337C" w14:paraId="0AC1CDD1" w14:textId="77777777" w:rsidTr="00FC337C">
        <w:trPr>
          <w:trHeight w:val="20"/>
        </w:trPr>
        <w:tc>
          <w:tcPr>
            <w:tcW w:w="4724" w:type="dxa"/>
            <w:shd w:val="clear" w:color="auto" w:fill="FFFFFF"/>
            <w:vAlign w:val="bottom"/>
          </w:tcPr>
          <w:p w14:paraId="489B443D"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Long Service Leave Benefits Expenses</w:t>
            </w:r>
          </w:p>
        </w:tc>
        <w:tc>
          <w:tcPr>
            <w:tcW w:w="666" w:type="dxa"/>
            <w:tcBorders>
              <w:top w:val="nil"/>
              <w:left w:val="nil"/>
              <w:bottom w:val="nil"/>
              <w:right w:val="nil"/>
            </w:tcBorders>
            <w:shd w:val="clear" w:color="auto" w:fill="FFFFFF"/>
            <w:vAlign w:val="bottom"/>
          </w:tcPr>
          <w:p w14:paraId="0795B9F2"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15</w:t>
            </w:r>
          </w:p>
        </w:tc>
        <w:tc>
          <w:tcPr>
            <w:tcW w:w="1318" w:type="dxa"/>
            <w:tcBorders>
              <w:top w:val="nil"/>
              <w:left w:val="nil"/>
              <w:right w:val="nil"/>
            </w:tcBorders>
            <w:shd w:val="clear" w:color="auto" w:fill="FFFFFF"/>
            <w:noWrap/>
            <w:vAlign w:val="bottom"/>
          </w:tcPr>
          <w:p w14:paraId="160B2DF7"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SimSun" w:hAnsi="Arial" w:cs="Arial"/>
                <w:color w:val="auto"/>
                <w:sz w:val="18"/>
                <w:szCs w:val="18"/>
                <w:lang w:val="en-AU" w:eastAsia="en-US"/>
              </w:rPr>
              <w:t xml:space="preserve">           38,768 </w:t>
            </w:r>
          </w:p>
        </w:tc>
        <w:tc>
          <w:tcPr>
            <w:tcW w:w="1514" w:type="dxa"/>
            <w:tcBorders>
              <w:top w:val="nil"/>
              <w:left w:val="nil"/>
              <w:right w:val="nil"/>
            </w:tcBorders>
            <w:noWrap/>
            <w:vAlign w:val="bottom"/>
          </w:tcPr>
          <w:p w14:paraId="45EF2749" w14:textId="77777777" w:rsidR="00FC337C" w:rsidRPr="00FC337C" w:rsidRDefault="00FC337C" w:rsidP="00FC337C">
            <w:pPr>
              <w:spacing w:after="0" w:line="240" w:lineRule="auto"/>
              <w:jc w:val="right"/>
              <w:rPr>
                <w:rFonts w:ascii="Arial" w:eastAsia="Calibri" w:hAnsi="Arial" w:cs="Arial"/>
                <w:color w:val="000000"/>
                <w:sz w:val="18"/>
                <w:szCs w:val="18"/>
                <w:lang w:val="en-AU" w:eastAsia="en-US"/>
              </w:rPr>
            </w:pPr>
            <w:r w:rsidRPr="00FC337C">
              <w:rPr>
                <w:rFonts w:ascii="Arial" w:eastAsia="Calibri" w:hAnsi="Arial" w:cs="Arial"/>
                <w:color w:val="000000"/>
                <w:sz w:val="18"/>
                <w:szCs w:val="18"/>
                <w:lang w:val="en-AU" w:eastAsia="en-US"/>
              </w:rPr>
              <w:t>54,200</w:t>
            </w:r>
          </w:p>
        </w:tc>
        <w:tc>
          <w:tcPr>
            <w:tcW w:w="1559" w:type="dxa"/>
            <w:tcBorders>
              <w:top w:val="nil"/>
              <w:left w:val="nil"/>
              <w:right w:val="nil"/>
            </w:tcBorders>
            <w:shd w:val="clear" w:color="auto" w:fill="FFFFFF"/>
            <w:noWrap/>
            <w:vAlign w:val="bottom"/>
          </w:tcPr>
          <w:p w14:paraId="02C2EB19"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39,633</w:t>
            </w:r>
          </w:p>
        </w:tc>
      </w:tr>
      <w:tr w:rsidR="00FC337C" w:rsidRPr="00FC337C" w14:paraId="0B5A1EAB" w14:textId="77777777" w:rsidTr="00FC337C">
        <w:trPr>
          <w:trHeight w:val="20"/>
        </w:trPr>
        <w:tc>
          <w:tcPr>
            <w:tcW w:w="4724" w:type="dxa"/>
            <w:shd w:val="clear" w:color="auto" w:fill="FFFFFF"/>
            <w:vAlign w:val="bottom"/>
          </w:tcPr>
          <w:p w14:paraId="48017317" w14:textId="5632075A"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Finance Costs</w:t>
            </w:r>
            <w:r w:rsidR="00162A48">
              <w:rPr>
                <w:rFonts w:ascii="ZWAdobeF" w:eastAsia="Times New Roman" w:hAnsi="ZWAdobeF" w:cs="ZWAdobeF"/>
                <w:color w:val="auto"/>
                <w:sz w:val="2"/>
                <w:szCs w:val="2"/>
                <w:lang w:val="en-AU"/>
              </w:rPr>
              <w:t>0F</w:t>
            </w:r>
            <w:r w:rsidRPr="00FC337C">
              <w:rPr>
                <w:rFonts w:ascii="Arial" w:eastAsia="Times New Roman" w:hAnsi="Arial" w:cs="Arial"/>
                <w:color w:val="auto"/>
                <w:sz w:val="18"/>
                <w:szCs w:val="18"/>
                <w:vertAlign w:val="superscript"/>
                <w:lang w:val="en-AU"/>
              </w:rPr>
              <w:footnoteReference w:id="2"/>
            </w:r>
          </w:p>
        </w:tc>
        <w:tc>
          <w:tcPr>
            <w:tcW w:w="666" w:type="dxa"/>
            <w:tcBorders>
              <w:top w:val="nil"/>
              <w:left w:val="nil"/>
              <w:bottom w:val="nil"/>
              <w:right w:val="nil"/>
            </w:tcBorders>
            <w:shd w:val="clear" w:color="auto" w:fill="FFFFFF"/>
            <w:vAlign w:val="bottom"/>
          </w:tcPr>
          <w:p w14:paraId="7AA9119C"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p>
        </w:tc>
        <w:tc>
          <w:tcPr>
            <w:tcW w:w="1318" w:type="dxa"/>
            <w:tcBorders>
              <w:top w:val="nil"/>
              <w:left w:val="nil"/>
              <w:right w:val="nil"/>
            </w:tcBorders>
            <w:shd w:val="clear" w:color="auto" w:fill="FFFFFF"/>
            <w:noWrap/>
            <w:vAlign w:val="bottom"/>
          </w:tcPr>
          <w:p w14:paraId="43157D8A"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SimSun" w:hAnsi="Arial" w:cs="Arial"/>
                <w:color w:val="auto"/>
                <w:sz w:val="18"/>
                <w:szCs w:val="18"/>
                <w:lang w:val="en-AU" w:eastAsia="en-US"/>
              </w:rPr>
              <w:t xml:space="preserve">           24,036</w:t>
            </w:r>
          </w:p>
        </w:tc>
        <w:tc>
          <w:tcPr>
            <w:tcW w:w="1514" w:type="dxa"/>
            <w:tcBorders>
              <w:top w:val="nil"/>
              <w:left w:val="nil"/>
              <w:right w:val="nil"/>
            </w:tcBorders>
            <w:noWrap/>
            <w:vAlign w:val="bottom"/>
          </w:tcPr>
          <w:p w14:paraId="2A7DF851" w14:textId="77777777" w:rsidR="00FC337C" w:rsidRPr="00FC337C" w:rsidRDefault="00FC337C" w:rsidP="00FC337C">
            <w:pPr>
              <w:spacing w:after="0" w:line="240" w:lineRule="auto"/>
              <w:jc w:val="right"/>
              <w:rPr>
                <w:rFonts w:ascii="Arial" w:eastAsia="Times New Roman" w:hAnsi="Arial" w:cs="Arial"/>
                <w:color w:val="000000"/>
                <w:sz w:val="18"/>
                <w:szCs w:val="18"/>
                <w:lang w:val="en-AU"/>
              </w:rPr>
            </w:pPr>
            <w:r w:rsidRPr="00FC337C">
              <w:rPr>
                <w:rFonts w:ascii="Arial" w:eastAsia="Times New Roman" w:hAnsi="Arial" w:cs="Arial"/>
                <w:color w:val="000000"/>
                <w:sz w:val="18"/>
                <w:szCs w:val="18"/>
                <w:lang w:val="en-AU"/>
              </w:rPr>
              <w:t>17,018</w:t>
            </w:r>
          </w:p>
        </w:tc>
        <w:tc>
          <w:tcPr>
            <w:tcW w:w="1559" w:type="dxa"/>
            <w:tcBorders>
              <w:top w:val="nil"/>
              <w:left w:val="nil"/>
              <w:right w:val="nil"/>
            </w:tcBorders>
            <w:shd w:val="clear" w:color="auto" w:fill="FFFFFF"/>
            <w:noWrap/>
            <w:vAlign w:val="bottom"/>
          </w:tcPr>
          <w:p w14:paraId="3DAC0575"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14,298</w:t>
            </w:r>
          </w:p>
        </w:tc>
      </w:tr>
      <w:tr w:rsidR="00FC337C" w:rsidRPr="00FC337C" w14:paraId="2BB26136" w14:textId="77777777" w:rsidTr="00FC337C">
        <w:trPr>
          <w:trHeight w:val="20"/>
        </w:trPr>
        <w:tc>
          <w:tcPr>
            <w:tcW w:w="4724" w:type="dxa"/>
            <w:shd w:val="clear" w:color="auto" w:fill="FFFFFF"/>
            <w:vAlign w:val="bottom"/>
          </w:tcPr>
          <w:p w14:paraId="1B572C56" w14:textId="77777777" w:rsidR="00FC337C" w:rsidRPr="00FC337C" w:rsidRDefault="00FC337C" w:rsidP="00FC337C">
            <w:pPr>
              <w:spacing w:after="0" w:line="240" w:lineRule="auto"/>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Other Expenses</w:t>
            </w:r>
          </w:p>
        </w:tc>
        <w:tc>
          <w:tcPr>
            <w:tcW w:w="666" w:type="dxa"/>
            <w:tcBorders>
              <w:top w:val="nil"/>
              <w:left w:val="nil"/>
              <w:bottom w:val="nil"/>
              <w:right w:val="nil"/>
            </w:tcBorders>
            <w:shd w:val="clear" w:color="auto" w:fill="FFFFFF"/>
            <w:vAlign w:val="bottom"/>
          </w:tcPr>
          <w:p w14:paraId="7A4CAB24"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10</w:t>
            </w:r>
          </w:p>
        </w:tc>
        <w:tc>
          <w:tcPr>
            <w:tcW w:w="1318" w:type="dxa"/>
            <w:tcBorders>
              <w:top w:val="nil"/>
              <w:left w:val="nil"/>
              <w:bottom w:val="single" w:sz="4" w:space="0" w:color="auto"/>
              <w:right w:val="nil"/>
            </w:tcBorders>
            <w:shd w:val="clear" w:color="auto" w:fill="FFFFFF"/>
            <w:noWrap/>
            <w:vAlign w:val="bottom"/>
          </w:tcPr>
          <w:p w14:paraId="6A4E845A"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SimSun" w:hAnsi="Arial" w:cs="Arial"/>
                <w:color w:val="auto"/>
                <w:sz w:val="18"/>
                <w:szCs w:val="18"/>
                <w:lang w:val="en-AU" w:eastAsia="en-US"/>
              </w:rPr>
              <w:t xml:space="preserve">                457 </w:t>
            </w:r>
          </w:p>
        </w:tc>
        <w:tc>
          <w:tcPr>
            <w:tcW w:w="1514" w:type="dxa"/>
            <w:tcBorders>
              <w:top w:val="nil"/>
              <w:left w:val="nil"/>
              <w:bottom w:val="single" w:sz="4" w:space="0" w:color="auto"/>
              <w:right w:val="nil"/>
            </w:tcBorders>
            <w:noWrap/>
            <w:vAlign w:val="bottom"/>
          </w:tcPr>
          <w:p w14:paraId="61386FB2" w14:textId="77777777" w:rsidR="00FC337C" w:rsidRPr="00FC337C" w:rsidRDefault="00FC337C" w:rsidP="00FC337C">
            <w:pPr>
              <w:spacing w:after="0" w:line="240" w:lineRule="auto"/>
              <w:jc w:val="right"/>
              <w:rPr>
                <w:rFonts w:ascii="Arial" w:eastAsia="Calibri" w:hAnsi="Arial" w:cs="Arial"/>
                <w:color w:val="000000"/>
                <w:sz w:val="18"/>
                <w:szCs w:val="18"/>
                <w:lang w:val="en-AU" w:eastAsia="en-US"/>
              </w:rPr>
            </w:pPr>
            <w:r w:rsidRPr="00FC337C">
              <w:rPr>
                <w:rFonts w:ascii="Arial" w:eastAsia="Calibri" w:hAnsi="Arial" w:cs="Arial"/>
                <w:color w:val="000000"/>
                <w:sz w:val="18"/>
                <w:szCs w:val="18"/>
                <w:lang w:val="en-AU" w:eastAsia="en-US"/>
              </w:rPr>
              <w:t>151</w:t>
            </w:r>
          </w:p>
        </w:tc>
        <w:tc>
          <w:tcPr>
            <w:tcW w:w="1559" w:type="dxa"/>
            <w:tcBorders>
              <w:top w:val="nil"/>
              <w:left w:val="nil"/>
              <w:bottom w:val="single" w:sz="4" w:space="0" w:color="auto"/>
              <w:right w:val="nil"/>
            </w:tcBorders>
            <w:shd w:val="clear" w:color="auto" w:fill="FFFFFF"/>
            <w:noWrap/>
            <w:vAlign w:val="bottom"/>
          </w:tcPr>
          <w:p w14:paraId="4D21FB4C"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259</w:t>
            </w:r>
          </w:p>
        </w:tc>
      </w:tr>
      <w:tr w:rsidR="00FC337C" w:rsidRPr="00FC337C" w14:paraId="49458840" w14:textId="77777777" w:rsidTr="00FC337C">
        <w:trPr>
          <w:trHeight w:val="20"/>
        </w:trPr>
        <w:tc>
          <w:tcPr>
            <w:tcW w:w="4724" w:type="dxa"/>
            <w:tcBorders>
              <w:top w:val="nil"/>
              <w:left w:val="nil"/>
              <w:right w:val="nil"/>
            </w:tcBorders>
            <w:shd w:val="clear" w:color="auto" w:fill="FFFFFF"/>
            <w:vAlign w:val="bottom"/>
          </w:tcPr>
          <w:p w14:paraId="75481CD8" w14:textId="77777777" w:rsidR="00FC337C" w:rsidRPr="00FC337C" w:rsidRDefault="00FC337C" w:rsidP="00FC337C">
            <w:pPr>
              <w:spacing w:after="0" w:line="240" w:lineRule="auto"/>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Total Expenses</w:t>
            </w:r>
          </w:p>
        </w:tc>
        <w:tc>
          <w:tcPr>
            <w:tcW w:w="666" w:type="dxa"/>
            <w:tcBorders>
              <w:top w:val="nil"/>
              <w:left w:val="nil"/>
              <w:right w:val="nil"/>
            </w:tcBorders>
            <w:shd w:val="clear" w:color="auto" w:fill="FFFFFF"/>
            <w:vAlign w:val="bottom"/>
          </w:tcPr>
          <w:p w14:paraId="6A878E91" w14:textId="77777777" w:rsidR="00FC337C" w:rsidRPr="00FC337C" w:rsidRDefault="00FC337C" w:rsidP="00FC337C">
            <w:pPr>
              <w:spacing w:after="0" w:line="240" w:lineRule="auto"/>
              <w:jc w:val="center"/>
              <w:rPr>
                <w:rFonts w:ascii="Arial" w:eastAsia="Times New Roman" w:hAnsi="Arial" w:cs="Arial"/>
                <w:b/>
                <w:bCs/>
                <w:color w:val="auto"/>
                <w:sz w:val="18"/>
                <w:szCs w:val="18"/>
                <w:lang w:val="en-AU"/>
              </w:rPr>
            </w:pPr>
          </w:p>
        </w:tc>
        <w:tc>
          <w:tcPr>
            <w:tcW w:w="1318" w:type="dxa"/>
            <w:tcBorders>
              <w:top w:val="single" w:sz="4" w:space="0" w:color="auto"/>
              <w:left w:val="nil"/>
              <w:bottom w:val="single" w:sz="4" w:space="0" w:color="auto"/>
              <w:right w:val="nil"/>
            </w:tcBorders>
            <w:shd w:val="clear" w:color="auto" w:fill="FFFFFF"/>
            <w:noWrap/>
            <w:vAlign w:val="bottom"/>
          </w:tcPr>
          <w:p w14:paraId="6D753381"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SimSun" w:hAnsi="Arial" w:cs="Arial"/>
                <w:b/>
                <w:bCs/>
                <w:color w:val="auto"/>
                <w:sz w:val="18"/>
                <w:szCs w:val="18"/>
                <w:lang w:val="en-AU" w:eastAsia="en-US"/>
              </w:rPr>
              <w:t xml:space="preserve">           71,025 </w:t>
            </w:r>
          </w:p>
        </w:tc>
        <w:tc>
          <w:tcPr>
            <w:tcW w:w="1514" w:type="dxa"/>
            <w:tcBorders>
              <w:top w:val="single" w:sz="4" w:space="0" w:color="auto"/>
              <w:left w:val="nil"/>
              <w:bottom w:val="single" w:sz="4" w:space="0" w:color="auto"/>
              <w:right w:val="nil"/>
            </w:tcBorders>
            <w:noWrap/>
            <w:vAlign w:val="bottom"/>
          </w:tcPr>
          <w:p w14:paraId="4445CC1B" w14:textId="77777777" w:rsidR="00FC337C" w:rsidRPr="00FC337C" w:rsidRDefault="00FC337C" w:rsidP="00FC337C">
            <w:pPr>
              <w:spacing w:after="0" w:line="240" w:lineRule="auto"/>
              <w:jc w:val="right"/>
              <w:rPr>
                <w:rFonts w:ascii="Arial" w:eastAsia="Calibri" w:hAnsi="Arial" w:cs="Arial"/>
                <w:color w:val="000000"/>
                <w:sz w:val="18"/>
                <w:szCs w:val="18"/>
                <w:lang w:val="en-AU" w:eastAsia="en-US"/>
              </w:rPr>
            </w:pPr>
            <w:r w:rsidRPr="00FC337C">
              <w:rPr>
                <w:rFonts w:ascii="Arial" w:eastAsia="Calibri" w:hAnsi="Arial" w:cs="Arial"/>
                <w:b/>
                <w:color w:val="000000"/>
                <w:sz w:val="18"/>
                <w:szCs w:val="18"/>
                <w:lang w:val="en-AU" w:eastAsia="en-US"/>
              </w:rPr>
              <w:t>79,239</w:t>
            </w:r>
          </w:p>
        </w:tc>
        <w:tc>
          <w:tcPr>
            <w:tcW w:w="1559" w:type="dxa"/>
            <w:tcBorders>
              <w:top w:val="single" w:sz="4" w:space="0" w:color="auto"/>
              <w:left w:val="nil"/>
              <w:bottom w:val="single" w:sz="4" w:space="0" w:color="auto"/>
              <w:right w:val="nil"/>
            </w:tcBorders>
            <w:shd w:val="clear" w:color="auto" w:fill="FFFFFF"/>
            <w:noWrap/>
            <w:vAlign w:val="bottom"/>
          </w:tcPr>
          <w:p w14:paraId="44B4058B"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62,030</w:t>
            </w:r>
          </w:p>
        </w:tc>
      </w:tr>
      <w:tr w:rsidR="00FC337C" w:rsidRPr="00FC337C" w14:paraId="3165AA07" w14:textId="77777777" w:rsidTr="00FC337C">
        <w:trPr>
          <w:trHeight w:val="20"/>
        </w:trPr>
        <w:tc>
          <w:tcPr>
            <w:tcW w:w="4724" w:type="dxa"/>
            <w:tcBorders>
              <w:top w:val="nil"/>
              <w:left w:val="nil"/>
              <w:bottom w:val="nil"/>
              <w:right w:val="nil"/>
            </w:tcBorders>
            <w:shd w:val="clear" w:color="auto" w:fill="FFFFFF"/>
            <w:vAlign w:val="bottom"/>
          </w:tcPr>
          <w:p w14:paraId="0B88E887" w14:textId="77777777" w:rsidR="00FC337C" w:rsidRPr="00FC337C" w:rsidRDefault="00FC337C" w:rsidP="00FC337C">
            <w:pPr>
              <w:spacing w:after="0" w:line="240" w:lineRule="auto"/>
              <w:rPr>
                <w:rFonts w:ascii="Arial" w:eastAsia="Times New Roman" w:hAnsi="Arial" w:cs="Arial"/>
                <w:b/>
                <w:color w:val="auto"/>
                <w:sz w:val="18"/>
                <w:szCs w:val="18"/>
                <w:lang w:val="en-AU"/>
              </w:rPr>
            </w:pPr>
          </w:p>
        </w:tc>
        <w:tc>
          <w:tcPr>
            <w:tcW w:w="666" w:type="dxa"/>
            <w:tcBorders>
              <w:top w:val="nil"/>
              <w:left w:val="nil"/>
              <w:bottom w:val="nil"/>
              <w:right w:val="nil"/>
            </w:tcBorders>
            <w:shd w:val="clear" w:color="auto" w:fill="FFFFFF"/>
            <w:vAlign w:val="bottom"/>
          </w:tcPr>
          <w:p w14:paraId="1E4D3E63" w14:textId="77777777" w:rsidR="00FC337C" w:rsidRPr="00FC337C" w:rsidRDefault="00FC337C" w:rsidP="00FC337C">
            <w:pPr>
              <w:spacing w:after="0" w:line="240" w:lineRule="auto"/>
              <w:jc w:val="center"/>
              <w:rPr>
                <w:rFonts w:ascii="Arial" w:eastAsia="Times New Roman" w:hAnsi="Arial" w:cs="Arial"/>
                <w:b/>
                <w:bCs/>
                <w:color w:val="auto"/>
                <w:sz w:val="18"/>
                <w:szCs w:val="18"/>
                <w:lang w:val="en-AU"/>
              </w:rPr>
            </w:pPr>
          </w:p>
        </w:tc>
        <w:tc>
          <w:tcPr>
            <w:tcW w:w="1318" w:type="dxa"/>
            <w:tcBorders>
              <w:top w:val="nil"/>
              <w:left w:val="nil"/>
              <w:bottom w:val="nil"/>
              <w:right w:val="nil"/>
            </w:tcBorders>
            <w:shd w:val="clear" w:color="auto" w:fill="FFFFFF"/>
            <w:noWrap/>
            <w:vAlign w:val="bottom"/>
          </w:tcPr>
          <w:p w14:paraId="145F3069"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p>
        </w:tc>
        <w:tc>
          <w:tcPr>
            <w:tcW w:w="1514" w:type="dxa"/>
            <w:tcBorders>
              <w:top w:val="nil"/>
              <w:left w:val="nil"/>
              <w:bottom w:val="nil"/>
              <w:right w:val="nil"/>
            </w:tcBorders>
            <w:shd w:val="clear" w:color="auto" w:fill="FFFFFF"/>
            <w:noWrap/>
            <w:vAlign w:val="bottom"/>
          </w:tcPr>
          <w:p w14:paraId="22D0FAD2" w14:textId="77777777" w:rsidR="00FC337C" w:rsidRPr="00FC337C" w:rsidRDefault="00FC337C" w:rsidP="00FC337C">
            <w:pPr>
              <w:spacing w:after="0" w:line="240" w:lineRule="auto"/>
              <w:jc w:val="right"/>
              <w:rPr>
                <w:rFonts w:ascii="Arial" w:eastAsia="Times New Roman" w:hAnsi="Arial" w:cs="Arial"/>
                <w:b/>
                <w:color w:val="000000"/>
                <w:sz w:val="18"/>
                <w:szCs w:val="18"/>
                <w:lang w:val="en-AU"/>
              </w:rPr>
            </w:pPr>
          </w:p>
        </w:tc>
        <w:tc>
          <w:tcPr>
            <w:tcW w:w="1559" w:type="dxa"/>
            <w:tcBorders>
              <w:top w:val="nil"/>
              <w:left w:val="nil"/>
              <w:bottom w:val="nil"/>
              <w:right w:val="nil"/>
            </w:tcBorders>
            <w:shd w:val="clear" w:color="auto" w:fill="FFFFFF"/>
            <w:noWrap/>
            <w:vAlign w:val="bottom"/>
          </w:tcPr>
          <w:p w14:paraId="4633197D"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p>
        </w:tc>
      </w:tr>
      <w:tr w:rsidR="00FC337C" w:rsidRPr="00FC337C" w14:paraId="1B167F0A" w14:textId="77777777" w:rsidTr="00FC337C">
        <w:trPr>
          <w:trHeight w:val="20"/>
        </w:trPr>
        <w:tc>
          <w:tcPr>
            <w:tcW w:w="4724" w:type="dxa"/>
            <w:tcBorders>
              <w:left w:val="nil"/>
              <w:right w:val="nil"/>
            </w:tcBorders>
            <w:shd w:val="clear" w:color="auto" w:fill="FFFFFF"/>
            <w:vAlign w:val="bottom"/>
          </w:tcPr>
          <w:p w14:paraId="24388B50" w14:textId="77777777" w:rsidR="00FC337C" w:rsidRPr="00FC337C" w:rsidRDefault="00FC337C" w:rsidP="00FC337C">
            <w:pPr>
              <w:spacing w:after="0" w:line="240" w:lineRule="auto"/>
              <w:rPr>
                <w:rFonts w:ascii="Arial" w:eastAsia="Times New Roman" w:hAnsi="Arial" w:cs="Arial"/>
                <w:b/>
                <w:color w:val="auto"/>
                <w:sz w:val="18"/>
                <w:szCs w:val="18"/>
                <w:highlight w:val="yellow"/>
                <w:lang w:val="en-AU"/>
              </w:rPr>
            </w:pPr>
            <w:r w:rsidRPr="00FC337C">
              <w:rPr>
                <w:rFonts w:ascii="Arial" w:eastAsia="Times New Roman" w:hAnsi="Arial" w:cs="Arial"/>
                <w:b/>
                <w:color w:val="auto"/>
                <w:sz w:val="18"/>
                <w:szCs w:val="18"/>
                <w:lang w:val="en-AU"/>
              </w:rPr>
              <w:t>Operating Result</w:t>
            </w:r>
          </w:p>
        </w:tc>
        <w:tc>
          <w:tcPr>
            <w:tcW w:w="666" w:type="dxa"/>
            <w:tcBorders>
              <w:left w:val="nil"/>
              <w:right w:val="nil"/>
            </w:tcBorders>
            <w:shd w:val="clear" w:color="auto" w:fill="FFFFFF"/>
            <w:vAlign w:val="bottom"/>
          </w:tcPr>
          <w:p w14:paraId="28453B74" w14:textId="77777777" w:rsidR="00FC337C" w:rsidRPr="00FC337C" w:rsidRDefault="00FC337C" w:rsidP="00FC337C">
            <w:pPr>
              <w:spacing w:after="0" w:line="240" w:lineRule="auto"/>
              <w:jc w:val="center"/>
              <w:rPr>
                <w:rFonts w:ascii="Arial" w:eastAsia="Times New Roman" w:hAnsi="Arial" w:cs="Arial"/>
                <w:b/>
                <w:bCs/>
                <w:color w:val="auto"/>
                <w:sz w:val="18"/>
                <w:szCs w:val="18"/>
                <w:lang w:val="en-AU"/>
              </w:rPr>
            </w:pPr>
          </w:p>
        </w:tc>
        <w:tc>
          <w:tcPr>
            <w:tcW w:w="1318" w:type="dxa"/>
            <w:tcBorders>
              <w:top w:val="single" w:sz="4" w:space="0" w:color="auto"/>
              <w:left w:val="nil"/>
              <w:bottom w:val="single" w:sz="4" w:space="0" w:color="auto"/>
              <w:right w:val="nil"/>
            </w:tcBorders>
            <w:shd w:val="clear" w:color="auto" w:fill="FFFFFF"/>
            <w:noWrap/>
            <w:vAlign w:val="bottom"/>
          </w:tcPr>
          <w:p w14:paraId="03069E3F"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bCs/>
                <w:color w:val="auto"/>
                <w:sz w:val="18"/>
                <w:szCs w:val="18"/>
                <w:lang w:val="en-AU"/>
              </w:rPr>
              <w:t>5,465</w:t>
            </w:r>
          </w:p>
        </w:tc>
        <w:tc>
          <w:tcPr>
            <w:tcW w:w="1514" w:type="dxa"/>
            <w:tcBorders>
              <w:top w:val="single" w:sz="4" w:space="0" w:color="auto"/>
              <w:left w:val="nil"/>
              <w:bottom w:val="single" w:sz="4" w:space="0" w:color="auto"/>
              <w:right w:val="nil"/>
            </w:tcBorders>
            <w:shd w:val="clear" w:color="auto" w:fill="FFFFFF"/>
            <w:noWrap/>
            <w:vAlign w:val="bottom"/>
          </w:tcPr>
          <w:p w14:paraId="2FF186D8" w14:textId="77777777" w:rsidR="00FC337C" w:rsidRPr="00FC337C" w:rsidRDefault="00FC337C" w:rsidP="00FC337C">
            <w:pPr>
              <w:spacing w:after="0" w:line="240" w:lineRule="auto"/>
              <w:jc w:val="right"/>
              <w:rPr>
                <w:rFonts w:ascii="Arial" w:eastAsia="Calibri" w:hAnsi="Arial" w:cs="Arial"/>
                <w:b/>
                <w:color w:val="000000"/>
                <w:sz w:val="18"/>
                <w:szCs w:val="18"/>
                <w:lang w:val="en-AU" w:eastAsia="en-US"/>
              </w:rPr>
            </w:pPr>
            <w:r w:rsidRPr="00FC337C">
              <w:rPr>
                <w:rFonts w:ascii="Arial" w:eastAsia="Calibri" w:hAnsi="Arial" w:cs="Arial"/>
                <w:b/>
                <w:color w:val="000000"/>
                <w:sz w:val="18"/>
                <w:szCs w:val="18"/>
                <w:lang w:val="en-AU" w:eastAsia="en-US"/>
              </w:rPr>
              <w:t xml:space="preserve"> (6,912)</w:t>
            </w:r>
          </w:p>
        </w:tc>
        <w:tc>
          <w:tcPr>
            <w:tcW w:w="1559" w:type="dxa"/>
            <w:tcBorders>
              <w:top w:val="single" w:sz="4" w:space="0" w:color="auto"/>
              <w:left w:val="nil"/>
              <w:bottom w:val="single" w:sz="4" w:space="0" w:color="auto"/>
              <w:right w:val="nil"/>
            </w:tcBorders>
            <w:shd w:val="clear" w:color="auto" w:fill="FFFFFF"/>
            <w:noWrap/>
            <w:vAlign w:val="bottom"/>
          </w:tcPr>
          <w:p w14:paraId="5FCEC989"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25,158</w:t>
            </w:r>
          </w:p>
        </w:tc>
      </w:tr>
      <w:tr w:rsidR="00FC337C" w:rsidRPr="00FC337C" w14:paraId="70B4B700" w14:textId="77777777" w:rsidTr="00FC337C">
        <w:trPr>
          <w:trHeight w:val="20"/>
        </w:trPr>
        <w:tc>
          <w:tcPr>
            <w:tcW w:w="5390" w:type="dxa"/>
            <w:gridSpan w:val="2"/>
            <w:tcBorders>
              <w:top w:val="nil"/>
              <w:left w:val="nil"/>
              <w:right w:val="nil"/>
            </w:tcBorders>
            <w:shd w:val="clear" w:color="auto" w:fill="FFFFFF"/>
            <w:vAlign w:val="bottom"/>
          </w:tcPr>
          <w:p w14:paraId="4914562F" w14:textId="77777777" w:rsidR="00FC337C" w:rsidRPr="00FC337C" w:rsidRDefault="00FC337C" w:rsidP="00FC337C">
            <w:pPr>
              <w:spacing w:after="0" w:line="240" w:lineRule="auto"/>
              <w:rPr>
                <w:rFonts w:ascii="Arial" w:eastAsia="Times New Roman" w:hAnsi="Arial" w:cs="Arial"/>
                <w:i/>
                <w:color w:val="auto"/>
                <w:sz w:val="18"/>
                <w:szCs w:val="18"/>
                <w:lang w:val="en-AU"/>
              </w:rPr>
            </w:pPr>
          </w:p>
        </w:tc>
        <w:tc>
          <w:tcPr>
            <w:tcW w:w="1318" w:type="dxa"/>
            <w:tcBorders>
              <w:top w:val="nil"/>
              <w:left w:val="nil"/>
              <w:right w:val="nil"/>
            </w:tcBorders>
            <w:shd w:val="clear" w:color="auto" w:fill="FFFFFF"/>
            <w:vAlign w:val="bottom"/>
          </w:tcPr>
          <w:p w14:paraId="2C3B21B7"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p>
        </w:tc>
        <w:tc>
          <w:tcPr>
            <w:tcW w:w="1514" w:type="dxa"/>
            <w:tcBorders>
              <w:top w:val="nil"/>
              <w:left w:val="nil"/>
              <w:right w:val="nil"/>
            </w:tcBorders>
            <w:shd w:val="clear" w:color="auto" w:fill="FFFFFF"/>
            <w:vAlign w:val="bottom"/>
          </w:tcPr>
          <w:p w14:paraId="73893EBF" w14:textId="77777777" w:rsidR="00FC337C" w:rsidRPr="00FC337C" w:rsidRDefault="00FC337C" w:rsidP="00FC337C">
            <w:pPr>
              <w:spacing w:after="0" w:line="240" w:lineRule="auto"/>
              <w:jc w:val="right"/>
              <w:rPr>
                <w:rFonts w:ascii="Arial" w:eastAsia="Times New Roman" w:hAnsi="Arial" w:cs="Arial"/>
                <w:color w:val="000000"/>
                <w:sz w:val="18"/>
                <w:szCs w:val="18"/>
                <w:lang w:val="en-AU"/>
              </w:rPr>
            </w:pPr>
          </w:p>
        </w:tc>
        <w:tc>
          <w:tcPr>
            <w:tcW w:w="1559" w:type="dxa"/>
            <w:tcBorders>
              <w:top w:val="nil"/>
              <w:left w:val="nil"/>
              <w:right w:val="nil"/>
            </w:tcBorders>
            <w:shd w:val="clear" w:color="auto" w:fill="FFFFFF"/>
            <w:vAlign w:val="bottom"/>
          </w:tcPr>
          <w:p w14:paraId="73391A59"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p>
        </w:tc>
      </w:tr>
      <w:tr w:rsidR="00FC337C" w:rsidRPr="00FC337C" w14:paraId="3F539A71" w14:textId="77777777" w:rsidTr="00FC337C">
        <w:trPr>
          <w:trHeight w:val="20"/>
        </w:trPr>
        <w:tc>
          <w:tcPr>
            <w:tcW w:w="4724" w:type="dxa"/>
            <w:tcBorders>
              <w:top w:val="nil"/>
              <w:left w:val="nil"/>
              <w:right w:val="nil"/>
            </w:tcBorders>
            <w:shd w:val="clear" w:color="auto" w:fill="FFFFFF"/>
            <w:vAlign w:val="bottom"/>
          </w:tcPr>
          <w:p w14:paraId="5FDD5FC7" w14:textId="77777777" w:rsidR="00FC337C" w:rsidRPr="00FC337C" w:rsidRDefault="00FC337C" w:rsidP="00FC337C">
            <w:pPr>
              <w:spacing w:after="0" w:line="240" w:lineRule="auto"/>
              <w:rPr>
                <w:rFonts w:ascii="Arial" w:eastAsia="Times New Roman" w:hAnsi="Arial" w:cs="Arial"/>
                <w:color w:val="auto"/>
                <w:sz w:val="18"/>
                <w:szCs w:val="18"/>
                <w:lang w:val="en-AU"/>
              </w:rPr>
            </w:pPr>
          </w:p>
          <w:p w14:paraId="4AB03AF8" w14:textId="77777777" w:rsidR="00FC337C" w:rsidRPr="00FC337C" w:rsidRDefault="00FC337C" w:rsidP="00FC337C">
            <w:pPr>
              <w:spacing w:after="0" w:line="240" w:lineRule="auto"/>
              <w:rPr>
                <w:rFonts w:ascii="Arial" w:eastAsia="Times New Roman" w:hAnsi="Arial" w:cs="Arial"/>
                <w:b/>
                <w:color w:val="auto"/>
                <w:sz w:val="18"/>
                <w:szCs w:val="18"/>
                <w:lang w:val="en-AU"/>
              </w:rPr>
            </w:pPr>
            <w:r w:rsidRPr="00FC337C">
              <w:rPr>
                <w:rFonts w:ascii="Arial" w:eastAsia="Times New Roman" w:hAnsi="Arial" w:cs="Arial"/>
                <w:i/>
                <w:color w:val="auto"/>
                <w:sz w:val="18"/>
                <w:szCs w:val="18"/>
                <w:lang w:val="en-AU"/>
              </w:rPr>
              <w:t>Items that will not be reclassified subsequently to profit and loss</w:t>
            </w:r>
          </w:p>
        </w:tc>
        <w:tc>
          <w:tcPr>
            <w:tcW w:w="666" w:type="dxa"/>
            <w:tcBorders>
              <w:top w:val="nil"/>
              <w:left w:val="nil"/>
              <w:right w:val="nil"/>
            </w:tcBorders>
            <w:vAlign w:val="bottom"/>
          </w:tcPr>
          <w:p w14:paraId="65D32897" w14:textId="77777777" w:rsidR="00FC337C" w:rsidRPr="00FC337C" w:rsidRDefault="00FC337C" w:rsidP="00FC337C">
            <w:pPr>
              <w:spacing w:after="0" w:line="240" w:lineRule="auto"/>
              <w:jc w:val="center"/>
              <w:rPr>
                <w:rFonts w:ascii="Arial" w:eastAsia="Times New Roman" w:hAnsi="Arial" w:cs="Arial"/>
                <w:color w:val="auto"/>
                <w:sz w:val="18"/>
                <w:szCs w:val="18"/>
                <w:lang w:val="en-AU"/>
              </w:rPr>
            </w:pPr>
          </w:p>
        </w:tc>
        <w:tc>
          <w:tcPr>
            <w:tcW w:w="1318" w:type="dxa"/>
            <w:tcBorders>
              <w:top w:val="nil"/>
              <w:left w:val="nil"/>
              <w:right w:val="nil"/>
            </w:tcBorders>
            <w:vAlign w:val="bottom"/>
          </w:tcPr>
          <w:p w14:paraId="70C9034B"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w:t>
            </w:r>
          </w:p>
        </w:tc>
        <w:tc>
          <w:tcPr>
            <w:tcW w:w="1514" w:type="dxa"/>
            <w:tcBorders>
              <w:top w:val="nil"/>
              <w:left w:val="nil"/>
              <w:right w:val="nil"/>
            </w:tcBorders>
            <w:vAlign w:val="bottom"/>
          </w:tcPr>
          <w:p w14:paraId="6A90374D" w14:textId="77777777" w:rsidR="00FC337C" w:rsidRPr="00FC337C" w:rsidRDefault="00FC337C" w:rsidP="00FC337C">
            <w:pPr>
              <w:spacing w:after="0" w:line="240" w:lineRule="auto"/>
              <w:jc w:val="right"/>
              <w:rPr>
                <w:rFonts w:ascii="Arial" w:eastAsia="Times New Roman" w:hAnsi="Arial" w:cs="Arial"/>
                <w:color w:val="000000"/>
                <w:sz w:val="18"/>
                <w:szCs w:val="18"/>
                <w:lang w:val="en-AU"/>
              </w:rPr>
            </w:pPr>
            <w:r w:rsidRPr="00FC337C">
              <w:rPr>
                <w:rFonts w:ascii="Arial" w:eastAsia="Times New Roman" w:hAnsi="Arial" w:cs="Arial"/>
                <w:color w:val="000000"/>
                <w:sz w:val="18"/>
                <w:szCs w:val="18"/>
                <w:lang w:val="en-AU"/>
              </w:rPr>
              <w:t>-</w:t>
            </w:r>
          </w:p>
        </w:tc>
        <w:tc>
          <w:tcPr>
            <w:tcW w:w="1559" w:type="dxa"/>
            <w:tcBorders>
              <w:top w:val="nil"/>
              <w:left w:val="nil"/>
              <w:right w:val="nil"/>
            </w:tcBorders>
            <w:vAlign w:val="bottom"/>
          </w:tcPr>
          <w:p w14:paraId="39A663E8" w14:textId="77777777" w:rsidR="00FC337C" w:rsidRPr="00FC337C" w:rsidRDefault="00FC337C" w:rsidP="00FC337C">
            <w:pPr>
              <w:spacing w:after="0" w:line="240" w:lineRule="auto"/>
              <w:jc w:val="right"/>
              <w:rPr>
                <w:rFonts w:ascii="Arial" w:eastAsia="Times New Roman" w:hAnsi="Arial" w:cs="Arial"/>
                <w:color w:val="auto"/>
                <w:sz w:val="18"/>
                <w:szCs w:val="18"/>
                <w:lang w:val="en-AU"/>
              </w:rPr>
            </w:pPr>
            <w:r w:rsidRPr="00FC337C">
              <w:rPr>
                <w:rFonts w:ascii="Arial" w:eastAsia="Times New Roman" w:hAnsi="Arial" w:cs="Arial"/>
                <w:color w:val="auto"/>
                <w:sz w:val="18"/>
                <w:szCs w:val="18"/>
                <w:lang w:val="en-AU"/>
              </w:rPr>
              <w:t>-</w:t>
            </w:r>
          </w:p>
        </w:tc>
      </w:tr>
      <w:tr w:rsidR="00FC337C" w:rsidRPr="00FC337C" w14:paraId="1402133E" w14:textId="77777777" w:rsidTr="00FC337C">
        <w:trPr>
          <w:trHeight w:val="20"/>
        </w:trPr>
        <w:tc>
          <w:tcPr>
            <w:tcW w:w="4724" w:type="dxa"/>
            <w:tcBorders>
              <w:left w:val="nil"/>
              <w:right w:val="nil"/>
            </w:tcBorders>
            <w:shd w:val="clear" w:color="auto" w:fill="FFFFFF"/>
            <w:vAlign w:val="bottom"/>
          </w:tcPr>
          <w:p w14:paraId="0558AEC1" w14:textId="77777777" w:rsidR="00FC337C" w:rsidRPr="00FC337C" w:rsidRDefault="00FC337C" w:rsidP="00FC337C">
            <w:pPr>
              <w:spacing w:after="0" w:line="240" w:lineRule="auto"/>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Total Comprehensive Result</w:t>
            </w:r>
          </w:p>
        </w:tc>
        <w:tc>
          <w:tcPr>
            <w:tcW w:w="666" w:type="dxa"/>
            <w:tcBorders>
              <w:left w:val="nil"/>
              <w:right w:val="nil"/>
            </w:tcBorders>
            <w:vAlign w:val="bottom"/>
          </w:tcPr>
          <w:p w14:paraId="3634E374" w14:textId="77777777" w:rsidR="00FC337C" w:rsidRPr="00FC337C" w:rsidRDefault="00FC337C" w:rsidP="00FC337C">
            <w:pPr>
              <w:spacing w:after="0" w:line="240" w:lineRule="auto"/>
              <w:jc w:val="center"/>
              <w:rPr>
                <w:rFonts w:ascii="Arial" w:eastAsia="Times New Roman" w:hAnsi="Arial" w:cs="Arial"/>
                <w:b/>
                <w:color w:val="auto"/>
                <w:sz w:val="18"/>
                <w:szCs w:val="18"/>
                <w:lang w:val="en-AU"/>
              </w:rPr>
            </w:pPr>
          </w:p>
        </w:tc>
        <w:tc>
          <w:tcPr>
            <w:tcW w:w="1318" w:type="dxa"/>
            <w:tcBorders>
              <w:top w:val="single" w:sz="4" w:space="0" w:color="auto"/>
              <w:left w:val="nil"/>
              <w:bottom w:val="double" w:sz="6" w:space="0" w:color="auto"/>
              <w:right w:val="nil"/>
            </w:tcBorders>
            <w:noWrap/>
            <w:vAlign w:val="bottom"/>
          </w:tcPr>
          <w:p w14:paraId="26069B9B"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bCs/>
                <w:color w:val="auto"/>
                <w:sz w:val="18"/>
                <w:szCs w:val="18"/>
                <w:lang w:val="en-AU"/>
              </w:rPr>
              <w:t>5,465</w:t>
            </w:r>
          </w:p>
        </w:tc>
        <w:tc>
          <w:tcPr>
            <w:tcW w:w="1514" w:type="dxa"/>
            <w:tcBorders>
              <w:top w:val="single" w:sz="4" w:space="0" w:color="auto"/>
              <w:left w:val="nil"/>
              <w:bottom w:val="double" w:sz="6" w:space="0" w:color="auto"/>
            </w:tcBorders>
            <w:noWrap/>
            <w:vAlign w:val="bottom"/>
          </w:tcPr>
          <w:p w14:paraId="668C4134" w14:textId="77777777" w:rsidR="00FC337C" w:rsidRPr="00FC337C" w:rsidRDefault="00FC337C" w:rsidP="00FC337C">
            <w:pPr>
              <w:spacing w:after="0" w:line="240" w:lineRule="auto"/>
              <w:jc w:val="right"/>
              <w:rPr>
                <w:rFonts w:ascii="Arial" w:eastAsia="Calibri" w:hAnsi="Arial" w:cs="Arial"/>
                <w:color w:val="000000"/>
                <w:sz w:val="18"/>
                <w:szCs w:val="18"/>
                <w:lang w:val="en-AU" w:eastAsia="en-US"/>
              </w:rPr>
            </w:pPr>
            <w:r w:rsidRPr="00FC337C">
              <w:rPr>
                <w:rFonts w:ascii="Arial" w:eastAsia="Calibri" w:hAnsi="Arial" w:cs="Arial"/>
                <w:b/>
                <w:color w:val="000000"/>
                <w:sz w:val="18"/>
                <w:szCs w:val="18"/>
                <w:lang w:val="en-AU" w:eastAsia="en-US"/>
              </w:rPr>
              <w:t xml:space="preserve"> (6,912)</w:t>
            </w:r>
          </w:p>
        </w:tc>
        <w:tc>
          <w:tcPr>
            <w:tcW w:w="1559" w:type="dxa"/>
            <w:tcBorders>
              <w:top w:val="single" w:sz="4" w:space="0" w:color="auto"/>
              <w:left w:val="nil"/>
              <w:bottom w:val="double" w:sz="6" w:space="0" w:color="auto"/>
              <w:right w:val="nil"/>
            </w:tcBorders>
            <w:noWrap/>
            <w:vAlign w:val="bottom"/>
          </w:tcPr>
          <w:p w14:paraId="2DAE5510" w14:textId="77777777" w:rsidR="00FC337C" w:rsidRPr="00FC337C" w:rsidRDefault="00FC337C" w:rsidP="00FC337C">
            <w:pPr>
              <w:spacing w:after="0" w:line="240" w:lineRule="auto"/>
              <w:jc w:val="right"/>
              <w:rPr>
                <w:rFonts w:ascii="Arial" w:eastAsia="Times New Roman" w:hAnsi="Arial" w:cs="Arial"/>
                <w:b/>
                <w:color w:val="auto"/>
                <w:sz w:val="18"/>
                <w:szCs w:val="18"/>
                <w:lang w:val="en-AU"/>
              </w:rPr>
            </w:pPr>
            <w:r w:rsidRPr="00FC337C">
              <w:rPr>
                <w:rFonts w:ascii="Arial" w:eastAsia="Times New Roman" w:hAnsi="Arial" w:cs="Arial"/>
                <w:b/>
                <w:color w:val="auto"/>
                <w:sz w:val="18"/>
                <w:szCs w:val="18"/>
                <w:lang w:val="en-AU"/>
              </w:rPr>
              <w:t>25,158</w:t>
            </w:r>
          </w:p>
        </w:tc>
      </w:tr>
    </w:tbl>
    <w:p w14:paraId="0C39D8A5" w14:textId="77777777" w:rsidR="00FC337C" w:rsidRPr="00FC337C" w:rsidRDefault="00FC337C" w:rsidP="00FC337C">
      <w:pPr>
        <w:adjustRightInd w:val="0"/>
        <w:snapToGrid w:val="0"/>
        <w:spacing w:before="240"/>
        <w:rPr>
          <w:rFonts w:ascii="Arial" w:eastAsia="Times New Roman" w:hAnsi="Arial" w:cs="Arial"/>
          <w:color w:val="auto"/>
          <w:lang w:val="en-AU"/>
        </w:rPr>
      </w:pPr>
      <w:r w:rsidRPr="00FC337C">
        <w:rPr>
          <w:rFonts w:ascii="Arial" w:eastAsia="Times New Roman" w:hAnsi="Arial" w:cs="Arial"/>
          <w:color w:val="auto"/>
          <w:lang w:val="en-AU"/>
        </w:rPr>
        <w:t>The above Operating Statement is to be read in conjunction with the accompanying notes.</w:t>
      </w:r>
    </w:p>
    <w:p w14:paraId="2238DF20" w14:textId="77777777" w:rsidR="00FC337C" w:rsidRPr="00FC337C" w:rsidRDefault="00FC337C" w:rsidP="00FC337C">
      <w:pPr>
        <w:adjustRightInd w:val="0"/>
        <w:snapToGrid w:val="0"/>
        <w:spacing w:before="240"/>
        <w:rPr>
          <w:rFonts w:ascii="Arial" w:eastAsia="Times New Roman" w:hAnsi="Arial" w:cs="Arial"/>
          <w:color w:val="auto"/>
          <w:lang w:val="en-AU"/>
        </w:rPr>
      </w:pPr>
      <w:r w:rsidRPr="00FC337C">
        <w:rPr>
          <w:rFonts w:ascii="Arial" w:eastAsia="Times New Roman" w:hAnsi="Arial" w:cs="Arial"/>
          <w:color w:val="auto"/>
          <w:lang w:val="en-AU"/>
        </w:rPr>
        <w:t>The information contained in this statement may not add up due to rounding.</w:t>
      </w:r>
    </w:p>
    <w:p w14:paraId="2EA8EF7E" w14:textId="77777777" w:rsidR="00A53CD9" w:rsidRDefault="00A53CD9" w:rsidP="00F0752D">
      <w:pPr>
        <w:pStyle w:val="Normal2"/>
        <w:spacing w:before="240"/>
      </w:pPr>
      <w:r w:rsidRPr="004C0366">
        <w:t>The above Operating Statement is to be read in conjunction with the accompanying notes.</w:t>
      </w:r>
    </w:p>
    <w:p w14:paraId="21F87092" w14:textId="77777777" w:rsidR="00A53CD9" w:rsidRDefault="00A53CD9" w:rsidP="00F0752D">
      <w:pPr>
        <w:pStyle w:val="Normal2"/>
        <w:spacing w:before="240"/>
      </w:pPr>
      <w:r>
        <w:t>The information contained in this statement may not add up due to rounding.</w:t>
      </w:r>
    </w:p>
    <w:p w14:paraId="53034291" w14:textId="77777777" w:rsidR="00A53CD9" w:rsidRPr="004C0366" w:rsidRDefault="00A53CD9" w:rsidP="00F0752D">
      <w:pPr>
        <w:pStyle w:val="Normal2"/>
        <w:spacing w:before="240"/>
      </w:pPr>
    </w:p>
    <w:p w14:paraId="3F1D90FD" w14:textId="77777777" w:rsidR="003F38ED" w:rsidRPr="003F38ED" w:rsidRDefault="00A53CD9" w:rsidP="003F38ED">
      <w:pPr>
        <w:pStyle w:val="Heading1"/>
        <w:spacing w:before="0" w:after="120"/>
        <w:jc w:val="center"/>
        <w:rPr>
          <w:rFonts w:eastAsia="Times New Roman" w:cs="Arial"/>
          <w:bCs/>
          <w:color w:val="auto"/>
          <w:spacing w:val="0"/>
          <w:kern w:val="32"/>
          <w:sz w:val="24"/>
          <w:szCs w:val="24"/>
        </w:rPr>
      </w:pPr>
      <w:r w:rsidRPr="004B4FB4">
        <w:rPr>
          <w:rFonts w:cs="Arial"/>
          <w:sz w:val="20"/>
          <w:szCs w:val="20"/>
          <w:lang w:eastAsia="en-AU"/>
        </w:rPr>
        <w:br w:type="page"/>
      </w:r>
      <w:bookmarkStart w:id="84" w:name="_Toc240533508"/>
      <w:r w:rsidR="003F38ED" w:rsidRPr="003F38ED">
        <w:rPr>
          <w:rFonts w:eastAsia="Times New Roman" w:cs="Arial"/>
          <w:bCs/>
          <w:color w:val="auto"/>
          <w:spacing w:val="0"/>
          <w:kern w:val="32"/>
          <w:sz w:val="24"/>
          <w:szCs w:val="24"/>
        </w:rPr>
        <w:lastRenderedPageBreak/>
        <w:t>Long Service Leave Authority</w:t>
      </w:r>
      <w:bookmarkEnd w:id="84"/>
    </w:p>
    <w:p w14:paraId="6C500B5B" w14:textId="77777777" w:rsidR="003F38ED" w:rsidRPr="003F38ED" w:rsidRDefault="003F38ED" w:rsidP="003F38ED">
      <w:pPr>
        <w:spacing w:after="120" w:line="240" w:lineRule="auto"/>
        <w:jc w:val="center"/>
        <w:rPr>
          <w:rFonts w:ascii="Arial" w:eastAsia="Times New Roman" w:hAnsi="Arial" w:cs="Arial"/>
          <w:b/>
          <w:bCs/>
          <w:color w:val="auto"/>
          <w:kern w:val="32"/>
          <w:sz w:val="24"/>
          <w:szCs w:val="24"/>
          <w:lang w:val="en-AU" w:eastAsia="en-US"/>
        </w:rPr>
      </w:pPr>
      <w:r w:rsidRPr="003F38ED">
        <w:rPr>
          <w:rFonts w:ascii="Arial" w:eastAsia="Times New Roman" w:hAnsi="Arial" w:cs="Arial"/>
          <w:b/>
          <w:bCs/>
          <w:color w:val="auto"/>
          <w:kern w:val="32"/>
          <w:sz w:val="24"/>
          <w:szCs w:val="24"/>
          <w:lang w:val="en-AU" w:eastAsia="en-US"/>
        </w:rPr>
        <w:t>Balance Sheet</w:t>
      </w:r>
    </w:p>
    <w:p w14:paraId="55D08CE8" w14:textId="77777777" w:rsidR="003F38ED" w:rsidRPr="003F38ED" w:rsidRDefault="003F38ED" w:rsidP="003F38ED">
      <w:pPr>
        <w:keepNext/>
        <w:spacing w:after="120" w:line="240" w:lineRule="auto"/>
        <w:jc w:val="center"/>
        <w:outlineLvl w:val="1"/>
        <w:rPr>
          <w:rFonts w:ascii="Arial" w:eastAsia="Times New Roman" w:hAnsi="Arial" w:cs="Arial"/>
          <w:b/>
          <w:bCs/>
          <w:color w:val="auto"/>
          <w:sz w:val="24"/>
          <w:szCs w:val="24"/>
          <w:lang w:val="en-AU"/>
        </w:rPr>
      </w:pPr>
      <w:bookmarkStart w:id="85" w:name="_Toc240533509"/>
      <w:r w:rsidRPr="003F38ED">
        <w:rPr>
          <w:rFonts w:ascii="Arial" w:eastAsia="Times New Roman" w:hAnsi="Arial" w:cs="Arial"/>
          <w:b/>
          <w:bCs/>
          <w:color w:val="auto"/>
          <w:kern w:val="32"/>
          <w:sz w:val="24"/>
          <w:szCs w:val="24"/>
          <w:lang w:val="en-AU" w:eastAsia="en-US"/>
        </w:rPr>
        <w:t>As at 30 June 2026</w:t>
      </w:r>
      <w:bookmarkEnd w:id="85"/>
    </w:p>
    <w:tbl>
      <w:tblPr>
        <w:tblW w:w="9911" w:type="dxa"/>
        <w:tblInd w:w="142" w:type="dxa"/>
        <w:tblLayout w:type="fixed"/>
        <w:tblLook w:val="04A0" w:firstRow="1" w:lastRow="0" w:firstColumn="1" w:lastColumn="0" w:noHBand="0" w:noVBand="1"/>
      </w:tblPr>
      <w:tblGrid>
        <w:gridCol w:w="5397"/>
        <w:gridCol w:w="715"/>
        <w:gridCol w:w="1273"/>
        <w:gridCol w:w="1260"/>
        <w:gridCol w:w="1266"/>
      </w:tblGrid>
      <w:tr w:rsidR="003F38ED" w:rsidRPr="003F38ED" w14:paraId="4C8AEAA8" w14:textId="77777777" w:rsidTr="003F38ED">
        <w:trPr>
          <w:trHeight w:val="20"/>
        </w:trPr>
        <w:tc>
          <w:tcPr>
            <w:tcW w:w="5397" w:type="dxa"/>
            <w:tcBorders>
              <w:top w:val="nil"/>
              <w:left w:val="nil"/>
              <w:bottom w:val="nil"/>
              <w:right w:val="nil"/>
            </w:tcBorders>
            <w:shd w:val="clear" w:color="auto" w:fill="FFFFFF"/>
            <w:vAlign w:val="bottom"/>
          </w:tcPr>
          <w:p w14:paraId="3CBA7B05"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715" w:type="dxa"/>
            <w:tcBorders>
              <w:top w:val="nil"/>
              <w:left w:val="nil"/>
              <w:bottom w:val="nil"/>
              <w:right w:val="nil"/>
            </w:tcBorders>
            <w:shd w:val="clear" w:color="auto" w:fill="FFFFFF"/>
            <w:vAlign w:val="bottom"/>
          </w:tcPr>
          <w:p w14:paraId="590E4761"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3" w:type="dxa"/>
            <w:tcBorders>
              <w:top w:val="nil"/>
              <w:left w:val="nil"/>
              <w:bottom w:val="nil"/>
              <w:right w:val="nil"/>
            </w:tcBorders>
            <w:shd w:val="clear" w:color="auto" w:fill="FFFFFF"/>
            <w:noWrap/>
            <w:vAlign w:val="bottom"/>
          </w:tcPr>
          <w:p w14:paraId="13D548E8"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 </w:t>
            </w:r>
          </w:p>
        </w:tc>
        <w:tc>
          <w:tcPr>
            <w:tcW w:w="1260" w:type="dxa"/>
            <w:tcBorders>
              <w:top w:val="nil"/>
              <w:left w:val="nil"/>
              <w:bottom w:val="nil"/>
              <w:right w:val="nil"/>
            </w:tcBorders>
            <w:shd w:val="clear" w:color="auto" w:fill="FFFFFF"/>
            <w:vAlign w:val="bottom"/>
          </w:tcPr>
          <w:p w14:paraId="785A98A3"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Original</w:t>
            </w:r>
          </w:p>
        </w:tc>
        <w:tc>
          <w:tcPr>
            <w:tcW w:w="1266" w:type="dxa"/>
            <w:tcBorders>
              <w:top w:val="nil"/>
              <w:left w:val="nil"/>
              <w:bottom w:val="nil"/>
              <w:right w:val="nil"/>
            </w:tcBorders>
            <w:shd w:val="clear" w:color="auto" w:fill="FFFFFF"/>
            <w:noWrap/>
            <w:vAlign w:val="bottom"/>
          </w:tcPr>
          <w:p w14:paraId="469E936F"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w:t>
            </w:r>
          </w:p>
        </w:tc>
      </w:tr>
      <w:tr w:rsidR="003F38ED" w:rsidRPr="003F38ED" w14:paraId="0EE266CC" w14:textId="77777777" w:rsidTr="003F38ED">
        <w:trPr>
          <w:trHeight w:val="20"/>
        </w:trPr>
        <w:tc>
          <w:tcPr>
            <w:tcW w:w="5397" w:type="dxa"/>
            <w:tcBorders>
              <w:top w:val="nil"/>
              <w:left w:val="nil"/>
              <w:bottom w:val="nil"/>
              <w:right w:val="nil"/>
            </w:tcBorders>
            <w:shd w:val="clear" w:color="auto" w:fill="FFFFFF"/>
            <w:vAlign w:val="bottom"/>
          </w:tcPr>
          <w:p w14:paraId="08590700"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715" w:type="dxa"/>
            <w:tcBorders>
              <w:top w:val="nil"/>
              <w:left w:val="nil"/>
              <w:bottom w:val="nil"/>
              <w:right w:val="nil"/>
            </w:tcBorders>
            <w:shd w:val="clear" w:color="auto" w:fill="FFFFFF"/>
            <w:vAlign w:val="bottom"/>
          </w:tcPr>
          <w:p w14:paraId="5A6E47EA"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Note</w:t>
            </w:r>
          </w:p>
        </w:tc>
        <w:tc>
          <w:tcPr>
            <w:tcW w:w="1273" w:type="dxa"/>
            <w:tcBorders>
              <w:top w:val="nil"/>
              <w:left w:val="nil"/>
              <w:bottom w:val="nil"/>
              <w:right w:val="nil"/>
            </w:tcBorders>
            <w:shd w:val="clear" w:color="auto" w:fill="FFFFFF"/>
            <w:vAlign w:val="bottom"/>
          </w:tcPr>
          <w:p w14:paraId="53C9CFB2"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Actual</w:t>
            </w:r>
          </w:p>
        </w:tc>
        <w:tc>
          <w:tcPr>
            <w:tcW w:w="1260" w:type="dxa"/>
            <w:tcBorders>
              <w:top w:val="nil"/>
              <w:left w:val="nil"/>
              <w:bottom w:val="nil"/>
              <w:right w:val="nil"/>
            </w:tcBorders>
            <w:shd w:val="clear" w:color="auto" w:fill="FFFFFF"/>
            <w:vAlign w:val="bottom"/>
          </w:tcPr>
          <w:p w14:paraId="0031CAE4"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Budget</w:t>
            </w:r>
          </w:p>
        </w:tc>
        <w:tc>
          <w:tcPr>
            <w:tcW w:w="1266" w:type="dxa"/>
            <w:tcBorders>
              <w:top w:val="nil"/>
              <w:left w:val="nil"/>
              <w:bottom w:val="nil"/>
              <w:right w:val="nil"/>
            </w:tcBorders>
            <w:shd w:val="clear" w:color="auto" w:fill="FFFFFF"/>
            <w:vAlign w:val="bottom"/>
          </w:tcPr>
          <w:p w14:paraId="11413D89"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Actual</w:t>
            </w:r>
          </w:p>
        </w:tc>
      </w:tr>
      <w:tr w:rsidR="003F38ED" w:rsidRPr="003F38ED" w14:paraId="4E4A3902" w14:textId="77777777" w:rsidTr="003F38ED">
        <w:trPr>
          <w:trHeight w:val="20"/>
        </w:trPr>
        <w:tc>
          <w:tcPr>
            <w:tcW w:w="5397" w:type="dxa"/>
            <w:tcBorders>
              <w:top w:val="nil"/>
              <w:left w:val="nil"/>
              <w:right w:val="nil"/>
            </w:tcBorders>
            <w:shd w:val="clear" w:color="auto" w:fill="FFFFFF"/>
            <w:vAlign w:val="bottom"/>
          </w:tcPr>
          <w:p w14:paraId="1E8E6088"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715" w:type="dxa"/>
            <w:tcBorders>
              <w:top w:val="nil"/>
              <w:left w:val="nil"/>
              <w:right w:val="nil"/>
            </w:tcBorders>
            <w:shd w:val="clear" w:color="auto" w:fill="FFFFFF"/>
            <w:vAlign w:val="bottom"/>
          </w:tcPr>
          <w:p w14:paraId="571A04D2"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No.</w:t>
            </w:r>
          </w:p>
        </w:tc>
        <w:tc>
          <w:tcPr>
            <w:tcW w:w="1273" w:type="dxa"/>
            <w:tcBorders>
              <w:top w:val="nil"/>
              <w:left w:val="nil"/>
              <w:bottom w:val="nil"/>
              <w:right w:val="nil"/>
            </w:tcBorders>
            <w:vAlign w:val="bottom"/>
          </w:tcPr>
          <w:p w14:paraId="1C37E048"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2026</w:t>
            </w:r>
          </w:p>
        </w:tc>
        <w:tc>
          <w:tcPr>
            <w:tcW w:w="1260" w:type="dxa"/>
            <w:tcBorders>
              <w:top w:val="nil"/>
              <w:left w:val="nil"/>
              <w:bottom w:val="nil"/>
              <w:right w:val="nil"/>
            </w:tcBorders>
            <w:vAlign w:val="bottom"/>
          </w:tcPr>
          <w:p w14:paraId="26A3E487"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2026</w:t>
            </w:r>
          </w:p>
        </w:tc>
        <w:tc>
          <w:tcPr>
            <w:tcW w:w="1266" w:type="dxa"/>
            <w:tcBorders>
              <w:top w:val="nil"/>
              <w:left w:val="nil"/>
              <w:bottom w:val="nil"/>
              <w:right w:val="nil"/>
            </w:tcBorders>
            <w:vAlign w:val="bottom"/>
          </w:tcPr>
          <w:p w14:paraId="7882D59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2025</w:t>
            </w:r>
          </w:p>
        </w:tc>
      </w:tr>
      <w:tr w:rsidR="003F38ED" w:rsidRPr="003F38ED" w14:paraId="3334AF9D" w14:textId="77777777" w:rsidTr="003F38ED">
        <w:trPr>
          <w:trHeight w:val="20"/>
        </w:trPr>
        <w:tc>
          <w:tcPr>
            <w:tcW w:w="5397" w:type="dxa"/>
            <w:tcBorders>
              <w:top w:val="nil"/>
              <w:left w:val="nil"/>
              <w:right w:val="nil"/>
            </w:tcBorders>
            <w:shd w:val="clear" w:color="auto" w:fill="FFFFFF"/>
            <w:vAlign w:val="bottom"/>
          </w:tcPr>
          <w:p w14:paraId="1079F27F"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715" w:type="dxa"/>
            <w:tcBorders>
              <w:top w:val="nil"/>
              <w:left w:val="nil"/>
              <w:right w:val="nil"/>
            </w:tcBorders>
            <w:shd w:val="clear" w:color="auto" w:fill="FFFFFF"/>
            <w:vAlign w:val="bottom"/>
          </w:tcPr>
          <w:p w14:paraId="3158B3C6"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3" w:type="dxa"/>
            <w:tcBorders>
              <w:top w:val="nil"/>
              <w:left w:val="nil"/>
              <w:bottom w:val="single" w:sz="4" w:space="0" w:color="auto"/>
              <w:right w:val="nil"/>
            </w:tcBorders>
            <w:shd w:val="clear" w:color="auto" w:fill="FFFFFF"/>
            <w:vAlign w:val="bottom"/>
          </w:tcPr>
          <w:p w14:paraId="32F59144"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c>
          <w:tcPr>
            <w:tcW w:w="1260" w:type="dxa"/>
            <w:tcBorders>
              <w:top w:val="nil"/>
              <w:left w:val="nil"/>
              <w:bottom w:val="single" w:sz="4" w:space="0" w:color="auto"/>
              <w:right w:val="nil"/>
            </w:tcBorders>
            <w:shd w:val="clear" w:color="auto" w:fill="FFFFFF"/>
            <w:vAlign w:val="bottom"/>
          </w:tcPr>
          <w:p w14:paraId="11D2AB7B"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c>
          <w:tcPr>
            <w:tcW w:w="1266" w:type="dxa"/>
            <w:tcBorders>
              <w:top w:val="nil"/>
              <w:left w:val="nil"/>
              <w:bottom w:val="single" w:sz="4" w:space="0" w:color="auto"/>
              <w:right w:val="nil"/>
            </w:tcBorders>
            <w:shd w:val="clear" w:color="auto" w:fill="FFFFFF"/>
            <w:vAlign w:val="bottom"/>
          </w:tcPr>
          <w:p w14:paraId="5A0955F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r>
      <w:tr w:rsidR="003F38ED" w:rsidRPr="003F38ED" w14:paraId="4053F564" w14:textId="77777777" w:rsidTr="003F38ED">
        <w:trPr>
          <w:trHeight w:val="20"/>
        </w:trPr>
        <w:tc>
          <w:tcPr>
            <w:tcW w:w="5397" w:type="dxa"/>
            <w:tcBorders>
              <w:top w:val="nil"/>
              <w:left w:val="nil"/>
              <w:bottom w:val="nil"/>
              <w:right w:val="nil"/>
            </w:tcBorders>
            <w:shd w:val="clear" w:color="auto" w:fill="FFFFFF"/>
            <w:vAlign w:val="bottom"/>
          </w:tcPr>
          <w:p w14:paraId="0741F8AC"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Current Assets</w:t>
            </w:r>
          </w:p>
        </w:tc>
        <w:tc>
          <w:tcPr>
            <w:tcW w:w="715" w:type="dxa"/>
            <w:tcBorders>
              <w:top w:val="nil"/>
              <w:left w:val="nil"/>
              <w:bottom w:val="nil"/>
              <w:right w:val="nil"/>
            </w:tcBorders>
            <w:shd w:val="clear" w:color="auto" w:fill="FFFFFF"/>
            <w:vAlign w:val="bottom"/>
          </w:tcPr>
          <w:p w14:paraId="08EDA1C6"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nil"/>
              <w:left w:val="nil"/>
              <w:bottom w:val="nil"/>
              <w:right w:val="nil"/>
            </w:tcBorders>
            <w:shd w:val="clear" w:color="auto" w:fill="FFFFFF"/>
            <w:vAlign w:val="bottom"/>
          </w:tcPr>
          <w:p w14:paraId="1F63E0C1"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w:t>
            </w:r>
          </w:p>
        </w:tc>
        <w:tc>
          <w:tcPr>
            <w:tcW w:w="1260" w:type="dxa"/>
            <w:tcBorders>
              <w:top w:val="nil"/>
              <w:left w:val="nil"/>
              <w:bottom w:val="nil"/>
              <w:right w:val="nil"/>
            </w:tcBorders>
            <w:shd w:val="clear" w:color="auto" w:fill="FFFFFF"/>
            <w:vAlign w:val="bottom"/>
          </w:tcPr>
          <w:p w14:paraId="55B20BF4"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w:t>
            </w:r>
          </w:p>
        </w:tc>
        <w:tc>
          <w:tcPr>
            <w:tcW w:w="1266" w:type="dxa"/>
            <w:tcBorders>
              <w:top w:val="nil"/>
              <w:left w:val="nil"/>
              <w:bottom w:val="nil"/>
              <w:right w:val="nil"/>
            </w:tcBorders>
            <w:shd w:val="clear" w:color="auto" w:fill="FFFFFF"/>
            <w:vAlign w:val="bottom"/>
          </w:tcPr>
          <w:p w14:paraId="2A816031"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w:t>
            </w:r>
          </w:p>
        </w:tc>
      </w:tr>
      <w:tr w:rsidR="003F38ED" w:rsidRPr="003F38ED" w14:paraId="5B030708" w14:textId="77777777" w:rsidTr="003F38ED">
        <w:trPr>
          <w:trHeight w:val="20"/>
        </w:trPr>
        <w:tc>
          <w:tcPr>
            <w:tcW w:w="5397" w:type="dxa"/>
            <w:tcBorders>
              <w:top w:val="nil"/>
              <w:left w:val="nil"/>
              <w:bottom w:val="nil"/>
              <w:right w:val="nil"/>
            </w:tcBorders>
            <w:shd w:val="clear" w:color="auto" w:fill="FFFFFF"/>
            <w:vAlign w:val="bottom"/>
          </w:tcPr>
          <w:p w14:paraId="6FF9E301"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xml:space="preserve">Cash </w:t>
            </w:r>
          </w:p>
        </w:tc>
        <w:tc>
          <w:tcPr>
            <w:tcW w:w="715" w:type="dxa"/>
            <w:tcBorders>
              <w:top w:val="nil"/>
              <w:left w:val="nil"/>
              <w:bottom w:val="nil"/>
              <w:right w:val="nil"/>
            </w:tcBorders>
            <w:shd w:val="clear" w:color="auto" w:fill="FFFFFF"/>
            <w:vAlign w:val="bottom"/>
          </w:tcPr>
          <w:p w14:paraId="608689DC"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11</w:t>
            </w:r>
          </w:p>
        </w:tc>
        <w:tc>
          <w:tcPr>
            <w:tcW w:w="1273" w:type="dxa"/>
            <w:tcBorders>
              <w:top w:val="nil"/>
              <w:left w:val="nil"/>
              <w:bottom w:val="nil"/>
              <w:right w:val="nil"/>
            </w:tcBorders>
            <w:shd w:val="clear" w:color="auto" w:fill="FFFFFF"/>
            <w:noWrap/>
            <w:vAlign w:val="bottom"/>
          </w:tcPr>
          <w:p w14:paraId="2463975D"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 xml:space="preserve"> 8,501 </w:t>
            </w:r>
          </w:p>
        </w:tc>
        <w:tc>
          <w:tcPr>
            <w:tcW w:w="1260" w:type="dxa"/>
            <w:tcBorders>
              <w:top w:val="nil"/>
              <w:left w:val="nil"/>
              <w:bottom w:val="nil"/>
              <w:right w:val="nil"/>
            </w:tcBorders>
            <w:noWrap/>
            <w:vAlign w:val="bottom"/>
          </w:tcPr>
          <w:p w14:paraId="1BB2877B" w14:textId="77777777" w:rsidR="003F38ED" w:rsidRPr="003F38ED" w:rsidRDefault="003F38ED" w:rsidP="003F38ED">
            <w:pPr>
              <w:spacing w:after="0" w:line="240" w:lineRule="auto"/>
              <w:jc w:val="right"/>
              <w:rPr>
                <w:rFonts w:ascii="Arial" w:eastAsia="SimSun" w:hAnsi="Arial" w:cs="Arial"/>
                <w:color w:val="000000"/>
                <w:sz w:val="18"/>
                <w:szCs w:val="18"/>
                <w:lang w:val="en-AU" w:eastAsia="en-US"/>
              </w:rPr>
            </w:pPr>
            <w:r w:rsidRPr="003F38ED">
              <w:rPr>
                <w:rFonts w:ascii="Arial" w:eastAsia="Calibri" w:hAnsi="Arial" w:cs="Arial"/>
                <w:color w:val="000000"/>
                <w:sz w:val="18"/>
                <w:szCs w:val="18"/>
                <w:lang w:val="en-AU" w:eastAsia="en-US"/>
              </w:rPr>
              <w:t>10,665</w:t>
            </w:r>
          </w:p>
        </w:tc>
        <w:tc>
          <w:tcPr>
            <w:tcW w:w="1266" w:type="dxa"/>
            <w:tcBorders>
              <w:top w:val="nil"/>
              <w:left w:val="nil"/>
              <w:bottom w:val="nil"/>
              <w:right w:val="nil"/>
            </w:tcBorders>
            <w:shd w:val="clear" w:color="auto" w:fill="FFFFFF"/>
            <w:noWrap/>
            <w:vAlign w:val="bottom"/>
          </w:tcPr>
          <w:p w14:paraId="2B04321B"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5,942</w:t>
            </w:r>
          </w:p>
        </w:tc>
      </w:tr>
      <w:tr w:rsidR="003F38ED" w:rsidRPr="003F38ED" w14:paraId="19088796" w14:textId="77777777" w:rsidTr="003F38ED">
        <w:trPr>
          <w:trHeight w:val="20"/>
        </w:trPr>
        <w:tc>
          <w:tcPr>
            <w:tcW w:w="5397" w:type="dxa"/>
            <w:tcBorders>
              <w:top w:val="nil"/>
              <w:left w:val="nil"/>
              <w:bottom w:val="nil"/>
              <w:right w:val="nil"/>
            </w:tcBorders>
            <w:shd w:val="clear" w:color="auto" w:fill="FFFFFF"/>
            <w:vAlign w:val="bottom"/>
          </w:tcPr>
          <w:p w14:paraId="1E3193DA"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Investments</w:t>
            </w:r>
          </w:p>
        </w:tc>
        <w:tc>
          <w:tcPr>
            <w:tcW w:w="715" w:type="dxa"/>
            <w:tcBorders>
              <w:top w:val="nil"/>
              <w:left w:val="nil"/>
              <w:bottom w:val="nil"/>
              <w:right w:val="nil"/>
            </w:tcBorders>
            <w:shd w:val="clear" w:color="auto" w:fill="FFFFFF"/>
            <w:vAlign w:val="bottom"/>
          </w:tcPr>
          <w:p w14:paraId="6F01D2C8"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11</w:t>
            </w:r>
          </w:p>
        </w:tc>
        <w:tc>
          <w:tcPr>
            <w:tcW w:w="1273" w:type="dxa"/>
            <w:tcBorders>
              <w:top w:val="nil"/>
              <w:left w:val="nil"/>
              <w:bottom w:val="nil"/>
              <w:right w:val="nil"/>
            </w:tcBorders>
            <w:shd w:val="clear" w:color="auto" w:fill="FFFFFF"/>
            <w:noWrap/>
            <w:vAlign w:val="bottom"/>
          </w:tcPr>
          <w:p w14:paraId="34003286"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 xml:space="preserve"> 380,271 </w:t>
            </w:r>
          </w:p>
        </w:tc>
        <w:tc>
          <w:tcPr>
            <w:tcW w:w="1260" w:type="dxa"/>
            <w:tcBorders>
              <w:top w:val="nil"/>
              <w:left w:val="nil"/>
              <w:bottom w:val="nil"/>
              <w:right w:val="nil"/>
            </w:tcBorders>
            <w:noWrap/>
            <w:vAlign w:val="bottom"/>
          </w:tcPr>
          <w:p w14:paraId="069F1FDE"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384,652</w:t>
            </w:r>
          </w:p>
        </w:tc>
        <w:tc>
          <w:tcPr>
            <w:tcW w:w="1266" w:type="dxa"/>
            <w:tcBorders>
              <w:top w:val="nil"/>
              <w:left w:val="nil"/>
              <w:bottom w:val="nil"/>
              <w:right w:val="nil"/>
            </w:tcBorders>
            <w:shd w:val="clear" w:color="auto" w:fill="FFFFFF"/>
            <w:noWrap/>
            <w:vAlign w:val="bottom"/>
          </w:tcPr>
          <w:p w14:paraId="21962B51"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351,072</w:t>
            </w:r>
          </w:p>
        </w:tc>
      </w:tr>
      <w:tr w:rsidR="003F38ED" w:rsidRPr="003F38ED" w14:paraId="4CE2B089" w14:textId="77777777" w:rsidTr="003F38ED">
        <w:trPr>
          <w:trHeight w:val="20"/>
        </w:trPr>
        <w:tc>
          <w:tcPr>
            <w:tcW w:w="5397" w:type="dxa"/>
            <w:tcBorders>
              <w:top w:val="nil"/>
              <w:left w:val="nil"/>
              <w:bottom w:val="nil"/>
              <w:right w:val="nil"/>
            </w:tcBorders>
            <w:shd w:val="clear" w:color="auto" w:fill="FFFFFF"/>
            <w:vAlign w:val="bottom"/>
          </w:tcPr>
          <w:p w14:paraId="77465211"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Receivables</w:t>
            </w:r>
          </w:p>
        </w:tc>
        <w:tc>
          <w:tcPr>
            <w:tcW w:w="715" w:type="dxa"/>
            <w:tcBorders>
              <w:top w:val="nil"/>
              <w:left w:val="nil"/>
              <w:bottom w:val="nil"/>
              <w:right w:val="nil"/>
            </w:tcBorders>
            <w:shd w:val="clear" w:color="auto" w:fill="FFFFFF"/>
            <w:vAlign w:val="bottom"/>
          </w:tcPr>
          <w:p w14:paraId="5FC74871"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12</w:t>
            </w:r>
          </w:p>
        </w:tc>
        <w:tc>
          <w:tcPr>
            <w:tcW w:w="1273" w:type="dxa"/>
            <w:tcBorders>
              <w:top w:val="nil"/>
              <w:left w:val="nil"/>
              <w:bottom w:val="nil"/>
              <w:right w:val="nil"/>
            </w:tcBorders>
            <w:shd w:val="clear" w:color="auto" w:fill="FFFFFF"/>
            <w:noWrap/>
            <w:vAlign w:val="bottom"/>
          </w:tcPr>
          <w:p w14:paraId="7B32F109"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 xml:space="preserve"> 19,075 </w:t>
            </w:r>
          </w:p>
        </w:tc>
        <w:tc>
          <w:tcPr>
            <w:tcW w:w="1260" w:type="dxa"/>
            <w:tcBorders>
              <w:top w:val="nil"/>
              <w:left w:val="nil"/>
              <w:bottom w:val="nil"/>
              <w:right w:val="nil"/>
            </w:tcBorders>
            <w:noWrap/>
            <w:vAlign w:val="bottom"/>
          </w:tcPr>
          <w:p w14:paraId="6C55EC3D"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14,355</w:t>
            </w:r>
          </w:p>
        </w:tc>
        <w:tc>
          <w:tcPr>
            <w:tcW w:w="1266" w:type="dxa"/>
            <w:tcBorders>
              <w:top w:val="nil"/>
              <w:left w:val="nil"/>
              <w:bottom w:val="nil"/>
              <w:right w:val="nil"/>
            </w:tcBorders>
            <w:shd w:val="clear" w:color="auto" w:fill="FFFFFF"/>
            <w:noWrap/>
            <w:vAlign w:val="bottom"/>
          </w:tcPr>
          <w:p w14:paraId="3754D7AC"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15,750</w:t>
            </w:r>
          </w:p>
        </w:tc>
      </w:tr>
      <w:tr w:rsidR="003F38ED" w:rsidRPr="003F38ED" w14:paraId="209DAD1D" w14:textId="77777777" w:rsidTr="003F38ED">
        <w:trPr>
          <w:trHeight w:val="20"/>
        </w:trPr>
        <w:tc>
          <w:tcPr>
            <w:tcW w:w="5397" w:type="dxa"/>
            <w:tcBorders>
              <w:left w:val="nil"/>
              <w:bottom w:val="nil"/>
              <w:right w:val="nil"/>
            </w:tcBorders>
            <w:shd w:val="clear" w:color="auto" w:fill="FFFFFF"/>
            <w:vAlign w:val="bottom"/>
          </w:tcPr>
          <w:p w14:paraId="2F9B4373"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Prepayments</w:t>
            </w:r>
          </w:p>
        </w:tc>
        <w:tc>
          <w:tcPr>
            <w:tcW w:w="715" w:type="dxa"/>
            <w:tcBorders>
              <w:left w:val="nil"/>
              <w:bottom w:val="nil"/>
              <w:right w:val="nil"/>
            </w:tcBorders>
            <w:shd w:val="clear" w:color="auto" w:fill="FFFFFF"/>
            <w:vAlign w:val="bottom"/>
          </w:tcPr>
          <w:p w14:paraId="727757C9"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left w:val="nil"/>
              <w:right w:val="nil"/>
            </w:tcBorders>
            <w:shd w:val="clear" w:color="auto" w:fill="FFFFFF"/>
            <w:noWrap/>
            <w:vAlign w:val="bottom"/>
          </w:tcPr>
          <w:p w14:paraId="676F9F05"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 xml:space="preserve"> 13 </w:t>
            </w:r>
          </w:p>
        </w:tc>
        <w:tc>
          <w:tcPr>
            <w:tcW w:w="1260" w:type="dxa"/>
            <w:tcBorders>
              <w:left w:val="nil"/>
              <w:right w:val="nil"/>
            </w:tcBorders>
            <w:noWrap/>
            <w:vAlign w:val="bottom"/>
          </w:tcPr>
          <w:p w14:paraId="40347D53"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r w:rsidRPr="003F38ED">
              <w:rPr>
                <w:rFonts w:ascii="Arial" w:eastAsia="Times New Roman" w:hAnsi="Arial" w:cs="Arial"/>
                <w:color w:val="000000"/>
                <w:sz w:val="18"/>
                <w:szCs w:val="18"/>
                <w:lang w:val="en-AU"/>
              </w:rPr>
              <w:t>-</w:t>
            </w:r>
          </w:p>
        </w:tc>
        <w:tc>
          <w:tcPr>
            <w:tcW w:w="1266" w:type="dxa"/>
            <w:tcBorders>
              <w:left w:val="nil"/>
              <w:right w:val="nil"/>
            </w:tcBorders>
            <w:shd w:val="clear" w:color="auto" w:fill="FFFFFF"/>
            <w:noWrap/>
            <w:vAlign w:val="bottom"/>
          </w:tcPr>
          <w:p w14:paraId="38B8B251"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15</w:t>
            </w:r>
          </w:p>
        </w:tc>
      </w:tr>
      <w:tr w:rsidR="003F38ED" w:rsidRPr="003F38ED" w14:paraId="09C629F0" w14:textId="77777777" w:rsidTr="003F38ED">
        <w:trPr>
          <w:trHeight w:val="20"/>
        </w:trPr>
        <w:tc>
          <w:tcPr>
            <w:tcW w:w="5397" w:type="dxa"/>
            <w:tcBorders>
              <w:left w:val="nil"/>
              <w:right w:val="nil"/>
            </w:tcBorders>
            <w:shd w:val="clear" w:color="auto" w:fill="FFFFFF"/>
            <w:vAlign w:val="bottom"/>
          </w:tcPr>
          <w:p w14:paraId="5C06E349"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Total Current Assets</w:t>
            </w:r>
          </w:p>
        </w:tc>
        <w:tc>
          <w:tcPr>
            <w:tcW w:w="715" w:type="dxa"/>
            <w:tcBorders>
              <w:left w:val="nil"/>
              <w:right w:val="nil"/>
            </w:tcBorders>
            <w:shd w:val="clear" w:color="auto" w:fill="FFFFFF"/>
            <w:vAlign w:val="bottom"/>
          </w:tcPr>
          <w:p w14:paraId="0F4A58BD"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single" w:sz="4" w:space="0" w:color="auto"/>
              <w:left w:val="nil"/>
              <w:bottom w:val="single" w:sz="4" w:space="0" w:color="auto"/>
              <w:right w:val="nil"/>
            </w:tcBorders>
            <w:shd w:val="clear" w:color="auto" w:fill="FFFFFF"/>
            <w:noWrap/>
            <w:vAlign w:val="bottom"/>
          </w:tcPr>
          <w:p w14:paraId="323B0FB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SimSun" w:hAnsi="Arial" w:cs="Arial"/>
                <w:color w:val="auto"/>
                <w:sz w:val="18"/>
                <w:szCs w:val="18"/>
                <w:lang w:val="en-AU" w:eastAsia="en-US"/>
              </w:rPr>
              <w:t xml:space="preserve"> </w:t>
            </w:r>
            <w:r w:rsidRPr="003F38ED">
              <w:rPr>
                <w:rFonts w:ascii="Arial" w:eastAsia="Calibri" w:hAnsi="Arial" w:cs="Arial"/>
                <w:b/>
                <w:bCs/>
                <w:color w:val="000000"/>
                <w:sz w:val="18"/>
                <w:szCs w:val="18"/>
                <w:lang w:val="en-AU" w:eastAsia="en-US"/>
              </w:rPr>
              <w:t>407,860</w:t>
            </w:r>
            <w:r w:rsidRPr="003F38ED">
              <w:rPr>
                <w:rFonts w:ascii="Arial" w:eastAsia="SimSun" w:hAnsi="Arial" w:cs="Arial"/>
                <w:color w:val="auto"/>
                <w:sz w:val="18"/>
                <w:szCs w:val="18"/>
                <w:lang w:val="en-AU" w:eastAsia="en-US"/>
              </w:rPr>
              <w:t xml:space="preserve"> </w:t>
            </w:r>
          </w:p>
        </w:tc>
        <w:tc>
          <w:tcPr>
            <w:tcW w:w="1260" w:type="dxa"/>
            <w:tcBorders>
              <w:top w:val="single" w:sz="4" w:space="0" w:color="auto"/>
              <w:left w:val="nil"/>
              <w:bottom w:val="single" w:sz="4" w:space="0" w:color="auto"/>
              <w:right w:val="nil"/>
            </w:tcBorders>
            <w:noWrap/>
            <w:vAlign w:val="bottom"/>
          </w:tcPr>
          <w:p w14:paraId="1ED7D7FF" w14:textId="77777777" w:rsidR="003F38ED" w:rsidRPr="003F38ED" w:rsidRDefault="003F38ED" w:rsidP="003F38ED">
            <w:pPr>
              <w:spacing w:after="0" w:line="240" w:lineRule="auto"/>
              <w:jc w:val="right"/>
              <w:rPr>
                <w:rFonts w:ascii="Arial" w:eastAsia="Calibri" w:hAnsi="Arial" w:cs="Arial"/>
                <w:b/>
                <w:color w:val="000000"/>
                <w:sz w:val="18"/>
                <w:szCs w:val="18"/>
                <w:lang w:val="en-AU" w:eastAsia="en-US"/>
              </w:rPr>
            </w:pPr>
            <w:r w:rsidRPr="003F38ED">
              <w:rPr>
                <w:rFonts w:ascii="Arial" w:eastAsia="Calibri" w:hAnsi="Arial" w:cs="Arial"/>
                <w:b/>
                <w:color w:val="000000"/>
                <w:sz w:val="18"/>
                <w:szCs w:val="18"/>
                <w:lang w:val="en-AU" w:eastAsia="en-US"/>
              </w:rPr>
              <w:t>409,672</w:t>
            </w:r>
          </w:p>
        </w:tc>
        <w:tc>
          <w:tcPr>
            <w:tcW w:w="1266" w:type="dxa"/>
            <w:tcBorders>
              <w:top w:val="single" w:sz="4" w:space="0" w:color="auto"/>
              <w:left w:val="nil"/>
              <w:bottom w:val="single" w:sz="4" w:space="0" w:color="auto"/>
              <w:right w:val="nil"/>
            </w:tcBorders>
            <w:shd w:val="clear" w:color="auto" w:fill="FFFFFF"/>
            <w:noWrap/>
            <w:vAlign w:val="bottom"/>
          </w:tcPr>
          <w:p w14:paraId="598621A9"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372,779</w:t>
            </w:r>
          </w:p>
        </w:tc>
      </w:tr>
      <w:tr w:rsidR="003F38ED" w:rsidRPr="003F38ED" w14:paraId="7756E77C" w14:textId="77777777" w:rsidTr="003F38ED">
        <w:trPr>
          <w:trHeight w:val="20"/>
        </w:trPr>
        <w:tc>
          <w:tcPr>
            <w:tcW w:w="5397" w:type="dxa"/>
            <w:shd w:val="clear" w:color="auto" w:fill="FFFFFF"/>
            <w:vAlign w:val="bottom"/>
          </w:tcPr>
          <w:p w14:paraId="124391FD"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715" w:type="dxa"/>
            <w:shd w:val="clear" w:color="auto" w:fill="FFFFFF"/>
            <w:vAlign w:val="bottom"/>
          </w:tcPr>
          <w:p w14:paraId="45445A6C"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3" w:type="dxa"/>
            <w:tcBorders>
              <w:top w:val="single" w:sz="4" w:space="0" w:color="auto"/>
            </w:tcBorders>
            <w:shd w:val="clear" w:color="auto" w:fill="FFFFFF"/>
            <w:noWrap/>
            <w:vAlign w:val="bottom"/>
          </w:tcPr>
          <w:p w14:paraId="6A4DADF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260" w:type="dxa"/>
            <w:tcBorders>
              <w:top w:val="single" w:sz="4" w:space="0" w:color="auto"/>
            </w:tcBorders>
            <w:noWrap/>
            <w:vAlign w:val="bottom"/>
          </w:tcPr>
          <w:p w14:paraId="41179035" w14:textId="77777777" w:rsidR="003F38ED" w:rsidRPr="003F38ED" w:rsidRDefault="003F38ED" w:rsidP="003F38ED">
            <w:pPr>
              <w:spacing w:after="0" w:line="240" w:lineRule="auto"/>
              <w:jc w:val="right"/>
              <w:rPr>
                <w:rFonts w:ascii="Arial" w:eastAsia="Times New Roman" w:hAnsi="Arial" w:cs="Arial"/>
                <w:b/>
                <w:color w:val="000000"/>
                <w:sz w:val="18"/>
                <w:szCs w:val="18"/>
                <w:lang w:val="en-AU"/>
              </w:rPr>
            </w:pPr>
          </w:p>
        </w:tc>
        <w:tc>
          <w:tcPr>
            <w:tcW w:w="1266" w:type="dxa"/>
            <w:tcBorders>
              <w:top w:val="single" w:sz="4" w:space="0" w:color="auto"/>
            </w:tcBorders>
            <w:shd w:val="clear" w:color="auto" w:fill="FFFFFF"/>
            <w:noWrap/>
            <w:vAlign w:val="bottom"/>
          </w:tcPr>
          <w:p w14:paraId="400412E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4CF62DC1" w14:textId="77777777" w:rsidTr="003F38ED">
        <w:trPr>
          <w:trHeight w:val="20"/>
        </w:trPr>
        <w:tc>
          <w:tcPr>
            <w:tcW w:w="5397" w:type="dxa"/>
            <w:tcBorders>
              <w:left w:val="nil"/>
              <w:bottom w:val="nil"/>
              <w:right w:val="nil"/>
            </w:tcBorders>
            <w:shd w:val="clear" w:color="auto" w:fill="FFFFFF"/>
            <w:vAlign w:val="bottom"/>
          </w:tcPr>
          <w:p w14:paraId="5BFB74A2"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Non-Current Assets</w:t>
            </w:r>
          </w:p>
        </w:tc>
        <w:tc>
          <w:tcPr>
            <w:tcW w:w="715" w:type="dxa"/>
            <w:tcBorders>
              <w:left w:val="nil"/>
              <w:bottom w:val="nil"/>
              <w:right w:val="nil"/>
            </w:tcBorders>
            <w:shd w:val="clear" w:color="auto" w:fill="FFFFFF"/>
            <w:vAlign w:val="bottom"/>
          </w:tcPr>
          <w:p w14:paraId="58B65CF7"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left w:val="nil"/>
              <w:bottom w:val="nil"/>
              <w:right w:val="nil"/>
            </w:tcBorders>
            <w:shd w:val="clear" w:color="auto" w:fill="FFFFFF"/>
            <w:vAlign w:val="bottom"/>
          </w:tcPr>
          <w:p w14:paraId="67196212"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60" w:type="dxa"/>
            <w:tcBorders>
              <w:left w:val="nil"/>
              <w:bottom w:val="nil"/>
              <w:right w:val="nil"/>
            </w:tcBorders>
            <w:vAlign w:val="bottom"/>
          </w:tcPr>
          <w:p w14:paraId="53D42D6C"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p>
        </w:tc>
        <w:tc>
          <w:tcPr>
            <w:tcW w:w="1266" w:type="dxa"/>
            <w:tcBorders>
              <w:left w:val="nil"/>
              <w:bottom w:val="nil"/>
              <w:right w:val="nil"/>
            </w:tcBorders>
            <w:shd w:val="clear" w:color="auto" w:fill="FFFFFF"/>
            <w:vAlign w:val="bottom"/>
          </w:tcPr>
          <w:p w14:paraId="0DDF5CC2"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2FAE206D" w14:textId="77777777" w:rsidTr="003F38ED">
        <w:trPr>
          <w:trHeight w:val="20"/>
        </w:trPr>
        <w:tc>
          <w:tcPr>
            <w:tcW w:w="5397" w:type="dxa"/>
            <w:tcBorders>
              <w:top w:val="nil"/>
              <w:left w:val="nil"/>
              <w:bottom w:val="nil"/>
              <w:right w:val="nil"/>
            </w:tcBorders>
            <w:shd w:val="clear" w:color="auto" w:fill="FFFFFF"/>
            <w:vAlign w:val="bottom"/>
          </w:tcPr>
          <w:p w14:paraId="1B46368F"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color w:val="auto"/>
                <w:sz w:val="18"/>
                <w:szCs w:val="18"/>
                <w:lang w:val="en-AU"/>
              </w:rPr>
              <w:t>Intangible Assets</w:t>
            </w:r>
          </w:p>
        </w:tc>
        <w:tc>
          <w:tcPr>
            <w:tcW w:w="715" w:type="dxa"/>
            <w:tcBorders>
              <w:top w:val="nil"/>
              <w:left w:val="nil"/>
              <w:bottom w:val="nil"/>
              <w:right w:val="nil"/>
            </w:tcBorders>
            <w:shd w:val="clear" w:color="auto" w:fill="FFFFFF"/>
            <w:vAlign w:val="bottom"/>
          </w:tcPr>
          <w:p w14:paraId="6FA7BF92"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nil"/>
              <w:left w:val="nil"/>
              <w:bottom w:val="nil"/>
              <w:right w:val="nil"/>
            </w:tcBorders>
            <w:shd w:val="clear" w:color="auto" w:fill="FFFFFF"/>
            <w:vAlign w:val="bottom"/>
          </w:tcPr>
          <w:p w14:paraId="116D4A04"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28 </w:t>
            </w:r>
          </w:p>
        </w:tc>
        <w:tc>
          <w:tcPr>
            <w:tcW w:w="1260" w:type="dxa"/>
            <w:tcBorders>
              <w:top w:val="nil"/>
              <w:left w:val="nil"/>
              <w:bottom w:val="nil"/>
              <w:right w:val="nil"/>
            </w:tcBorders>
            <w:vAlign w:val="bottom"/>
          </w:tcPr>
          <w:p w14:paraId="28BD263D"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38</w:t>
            </w:r>
          </w:p>
        </w:tc>
        <w:tc>
          <w:tcPr>
            <w:tcW w:w="1266" w:type="dxa"/>
            <w:tcBorders>
              <w:top w:val="nil"/>
              <w:left w:val="nil"/>
              <w:bottom w:val="nil"/>
              <w:right w:val="nil"/>
            </w:tcBorders>
            <w:shd w:val="clear" w:color="auto" w:fill="FFFFFF"/>
            <w:vAlign w:val="bottom"/>
          </w:tcPr>
          <w:p w14:paraId="7B70C122"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41</w:t>
            </w:r>
          </w:p>
        </w:tc>
      </w:tr>
      <w:tr w:rsidR="003F38ED" w:rsidRPr="003F38ED" w14:paraId="0DAFFA35" w14:textId="77777777" w:rsidTr="003F38ED">
        <w:trPr>
          <w:trHeight w:val="20"/>
        </w:trPr>
        <w:tc>
          <w:tcPr>
            <w:tcW w:w="5397" w:type="dxa"/>
            <w:tcBorders>
              <w:top w:val="nil"/>
              <w:left w:val="nil"/>
              <w:right w:val="nil"/>
            </w:tcBorders>
            <w:shd w:val="clear" w:color="auto" w:fill="FFFFFF"/>
            <w:vAlign w:val="bottom"/>
          </w:tcPr>
          <w:p w14:paraId="461EBECD"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Property, Plant and Equipment</w:t>
            </w:r>
          </w:p>
        </w:tc>
        <w:tc>
          <w:tcPr>
            <w:tcW w:w="715" w:type="dxa"/>
            <w:tcBorders>
              <w:top w:val="nil"/>
              <w:left w:val="nil"/>
              <w:right w:val="nil"/>
            </w:tcBorders>
            <w:shd w:val="clear" w:color="auto" w:fill="FFFFFF"/>
            <w:vAlign w:val="bottom"/>
          </w:tcPr>
          <w:p w14:paraId="248AAA12"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13</w:t>
            </w:r>
          </w:p>
        </w:tc>
        <w:tc>
          <w:tcPr>
            <w:tcW w:w="1273" w:type="dxa"/>
            <w:tcBorders>
              <w:top w:val="nil"/>
              <w:left w:val="nil"/>
              <w:bottom w:val="single" w:sz="4" w:space="0" w:color="auto"/>
              <w:right w:val="nil"/>
            </w:tcBorders>
            <w:shd w:val="clear" w:color="auto" w:fill="FFFFFF"/>
            <w:noWrap/>
            <w:vAlign w:val="bottom"/>
          </w:tcPr>
          <w:p w14:paraId="76AB4815"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1,496 </w:t>
            </w:r>
          </w:p>
        </w:tc>
        <w:tc>
          <w:tcPr>
            <w:tcW w:w="1260" w:type="dxa"/>
            <w:tcBorders>
              <w:top w:val="nil"/>
              <w:left w:val="nil"/>
              <w:bottom w:val="single" w:sz="4" w:space="0" w:color="auto"/>
              <w:right w:val="nil"/>
            </w:tcBorders>
            <w:noWrap/>
            <w:vAlign w:val="bottom"/>
          </w:tcPr>
          <w:p w14:paraId="23F93BC7"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1,372</w:t>
            </w:r>
          </w:p>
        </w:tc>
        <w:tc>
          <w:tcPr>
            <w:tcW w:w="1266" w:type="dxa"/>
            <w:tcBorders>
              <w:top w:val="nil"/>
              <w:left w:val="nil"/>
              <w:bottom w:val="single" w:sz="4" w:space="0" w:color="auto"/>
              <w:right w:val="nil"/>
            </w:tcBorders>
            <w:shd w:val="clear" w:color="auto" w:fill="FFFFFF"/>
            <w:noWrap/>
            <w:vAlign w:val="bottom"/>
          </w:tcPr>
          <w:p w14:paraId="2B76F55F"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1,697</w:t>
            </w:r>
          </w:p>
        </w:tc>
      </w:tr>
      <w:tr w:rsidR="003F38ED" w:rsidRPr="003F38ED" w14:paraId="683873F3" w14:textId="77777777" w:rsidTr="003F38ED">
        <w:trPr>
          <w:trHeight w:val="20"/>
        </w:trPr>
        <w:tc>
          <w:tcPr>
            <w:tcW w:w="5397" w:type="dxa"/>
            <w:tcBorders>
              <w:left w:val="nil"/>
              <w:right w:val="nil"/>
            </w:tcBorders>
            <w:shd w:val="clear" w:color="auto" w:fill="FFFFFF"/>
            <w:vAlign w:val="bottom"/>
          </w:tcPr>
          <w:p w14:paraId="331E7BAD"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Total Non-Current Assets</w:t>
            </w:r>
          </w:p>
        </w:tc>
        <w:tc>
          <w:tcPr>
            <w:tcW w:w="715" w:type="dxa"/>
            <w:tcBorders>
              <w:left w:val="nil"/>
              <w:right w:val="nil"/>
            </w:tcBorders>
            <w:shd w:val="clear" w:color="auto" w:fill="FFFFFF"/>
            <w:vAlign w:val="bottom"/>
          </w:tcPr>
          <w:p w14:paraId="337B6D12"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single" w:sz="4" w:space="0" w:color="auto"/>
              <w:left w:val="nil"/>
              <w:bottom w:val="single" w:sz="4" w:space="0" w:color="auto"/>
              <w:right w:val="nil"/>
            </w:tcBorders>
            <w:shd w:val="clear" w:color="auto" w:fill="FFFFFF"/>
            <w:noWrap/>
            <w:vAlign w:val="bottom"/>
          </w:tcPr>
          <w:p w14:paraId="2114217C" w14:textId="77777777" w:rsidR="003F38ED" w:rsidRPr="003F38ED" w:rsidRDefault="003F38ED" w:rsidP="003F38ED">
            <w:pPr>
              <w:spacing w:after="0" w:line="240" w:lineRule="auto"/>
              <w:jc w:val="right"/>
              <w:rPr>
                <w:rFonts w:ascii="Arial" w:eastAsia="Times New Roman" w:hAnsi="Arial" w:cs="Arial"/>
                <w:b/>
                <w:bCs/>
                <w:color w:val="auto"/>
                <w:sz w:val="18"/>
                <w:szCs w:val="18"/>
                <w:lang w:val="en-AU"/>
              </w:rPr>
            </w:pPr>
            <w:r w:rsidRPr="003F38ED">
              <w:rPr>
                <w:rFonts w:ascii="Arial" w:eastAsia="SimSun" w:hAnsi="Arial" w:cs="Arial"/>
                <w:b/>
                <w:bCs/>
                <w:color w:val="auto"/>
                <w:sz w:val="18"/>
                <w:szCs w:val="18"/>
                <w:lang w:val="en-AU" w:eastAsia="en-US"/>
              </w:rPr>
              <w:t xml:space="preserve"> 1,524 </w:t>
            </w:r>
          </w:p>
        </w:tc>
        <w:tc>
          <w:tcPr>
            <w:tcW w:w="1260" w:type="dxa"/>
            <w:tcBorders>
              <w:top w:val="single" w:sz="4" w:space="0" w:color="auto"/>
              <w:left w:val="nil"/>
              <w:bottom w:val="single" w:sz="4" w:space="0" w:color="auto"/>
              <w:right w:val="nil"/>
            </w:tcBorders>
            <w:shd w:val="clear" w:color="auto" w:fill="FFFFFF"/>
            <w:noWrap/>
            <w:vAlign w:val="bottom"/>
          </w:tcPr>
          <w:p w14:paraId="1C5552A3" w14:textId="77777777" w:rsidR="003F38ED" w:rsidRPr="003F38ED" w:rsidRDefault="003F38ED" w:rsidP="003F38ED">
            <w:pPr>
              <w:spacing w:after="0" w:line="240" w:lineRule="auto"/>
              <w:jc w:val="right"/>
              <w:rPr>
                <w:rFonts w:ascii="Arial" w:eastAsia="SimSun" w:hAnsi="Arial" w:cs="Arial"/>
                <w:color w:val="000000"/>
                <w:sz w:val="18"/>
                <w:szCs w:val="18"/>
                <w:lang w:val="en-AU" w:eastAsia="en-US"/>
              </w:rPr>
            </w:pPr>
            <w:r w:rsidRPr="003F38ED">
              <w:rPr>
                <w:rFonts w:ascii="Arial" w:eastAsia="Calibri" w:hAnsi="Arial" w:cs="Arial"/>
                <w:b/>
                <w:color w:val="000000"/>
                <w:sz w:val="18"/>
                <w:szCs w:val="18"/>
                <w:lang w:val="en-AU" w:eastAsia="en-US"/>
              </w:rPr>
              <w:t>1,410</w:t>
            </w:r>
          </w:p>
        </w:tc>
        <w:tc>
          <w:tcPr>
            <w:tcW w:w="1266" w:type="dxa"/>
            <w:tcBorders>
              <w:top w:val="single" w:sz="4" w:space="0" w:color="auto"/>
              <w:left w:val="nil"/>
              <w:bottom w:val="single" w:sz="4" w:space="0" w:color="auto"/>
              <w:right w:val="nil"/>
            </w:tcBorders>
            <w:shd w:val="clear" w:color="auto" w:fill="FFFFFF"/>
            <w:noWrap/>
            <w:vAlign w:val="bottom"/>
          </w:tcPr>
          <w:p w14:paraId="105000B9"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1,738</w:t>
            </w:r>
          </w:p>
        </w:tc>
      </w:tr>
      <w:tr w:rsidR="003F38ED" w:rsidRPr="003F38ED" w14:paraId="3F6BA451" w14:textId="77777777" w:rsidTr="003F38ED">
        <w:trPr>
          <w:trHeight w:val="20"/>
        </w:trPr>
        <w:tc>
          <w:tcPr>
            <w:tcW w:w="5397" w:type="dxa"/>
            <w:tcBorders>
              <w:top w:val="nil"/>
              <w:left w:val="nil"/>
              <w:right w:val="nil"/>
            </w:tcBorders>
            <w:shd w:val="clear" w:color="auto" w:fill="FFFFFF"/>
            <w:vAlign w:val="bottom"/>
          </w:tcPr>
          <w:p w14:paraId="58C51AB3"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715" w:type="dxa"/>
            <w:tcBorders>
              <w:top w:val="nil"/>
              <w:left w:val="nil"/>
              <w:right w:val="nil"/>
            </w:tcBorders>
            <w:shd w:val="clear" w:color="auto" w:fill="FFFFFF"/>
            <w:vAlign w:val="bottom"/>
          </w:tcPr>
          <w:p w14:paraId="1C9E34AC"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3" w:type="dxa"/>
            <w:tcBorders>
              <w:top w:val="single" w:sz="4" w:space="0" w:color="auto"/>
              <w:left w:val="nil"/>
              <w:bottom w:val="single" w:sz="4" w:space="0" w:color="auto"/>
              <w:right w:val="nil"/>
            </w:tcBorders>
            <w:shd w:val="clear" w:color="auto" w:fill="FFFFFF"/>
            <w:noWrap/>
            <w:vAlign w:val="bottom"/>
          </w:tcPr>
          <w:p w14:paraId="7C5776A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260" w:type="dxa"/>
            <w:tcBorders>
              <w:top w:val="single" w:sz="4" w:space="0" w:color="auto"/>
              <w:left w:val="nil"/>
              <w:bottom w:val="single" w:sz="4" w:space="0" w:color="auto"/>
              <w:right w:val="nil"/>
            </w:tcBorders>
            <w:shd w:val="clear" w:color="auto" w:fill="FFFFFF"/>
            <w:noWrap/>
            <w:vAlign w:val="bottom"/>
          </w:tcPr>
          <w:p w14:paraId="42710D5D" w14:textId="77777777" w:rsidR="003F38ED" w:rsidRPr="003F38ED" w:rsidRDefault="003F38ED" w:rsidP="003F38ED">
            <w:pPr>
              <w:spacing w:after="0" w:line="240" w:lineRule="auto"/>
              <w:jc w:val="right"/>
              <w:rPr>
                <w:rFonts w:ascii="Arial" w:eastAsia="Times New Roman" w:hAnsi="Arial" w:cs="Arial"/>
                <w:b/>
                <w:color w:val="000000"/>
                <w:sz w:val="18"/>
                <w:szCs w:val="18"/>
                <w:lang w:val="en-AU"/>
              </w:rPr>
            </w:pPr>
          </w:p>
        </w:tc>
        <w:tc>
          <w:tcPr>
            <w:tcW w:w="1266" w:type="dxa"/>
            <w:tcBorders>
              <w:top w:val="single" w:sz="4" w:space="0" w:color="auto"/>
              <w:left w:val="nil"/>
              <w:bottom w:val="single" w:sz="4" w:space="0" w:color="auto"/>
              <w:right w:val="nil"/>
            </w:tcBorders>
            <w:shd w:val="clear" w:color="auto" w:fill="FFFFFF"/>
            <w:noWrap/>
            <w:vAlign w:val="bottom"/>
          </w:tcPr>
          <w:p w14:paraId="061A70F2"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45F8DAAE" w14:textId="77777777" w:rsidTr="003F38ED">
        <w:trPr>
          <w:trHeight w:val="20"/>
        </w:trPr>
        <w:tc>
          <w:tcPr>
            <w:tcW w:w="5397" w:type="dxa"/>
            <w:tcBorders>
              <w:left w:val="nil"/>
              <w:right w:val="nil"/>
            </w:tcBorders>
            <w:shd w:val="clear" w:color="auto" w:fill="FFFFFF"/>
            <w:vAlign w:val="bottom"/>
          </w:tcPr>
          <w:p w14:paraId="1F8B9E4E"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Total Assets</w:t>
            </w:r>
          </w:p>
        </w:tc>
        <w:tc>
          <w:tcPr>
            <w:tcW w:w="715" w:type="dxa"/>
            <w:tcBorders>
              <w:left w:val="nil"/>
              <w:right w:val="nil"/>
            </w:tcBorders>
            <w:shd w:val="clear" w:color="auto" w:fill="FFFFFF"/>
            <w:vAlign w:val="bottom"/>
          </w:tcPr>
          <w:p w14:paraId="4A44D8DF"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single" w:sz="4" w:space="0" w:color="auto"/>
              <w:left w:val="nil"/>
              <w:bottom w:val="single" w:sz="4" w:space="0" w:color="auto"/>
              <w:right w:val="nil"/>
            </w:tcBorders>
            <w:shd w:val="clear" w:color="auto" w:fill="FFFFFF"/>
            <w:vAlign w:val="bottom"/>
          </w:tcPr>
          <w:p w14:paraId="4E40C83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bCs/>
                <w:color w:val="auto"/>
                <w:sz w:val="18"/>
                <w:szCs w:val="18"/>
                <w:lang w:val="en-AU"/>
              </w:rPr>
              <w:t>409,384</w:t>
            </w:r>
          </w:p>
        </w:tc>
        <w:tc>
          <w:tcPr>
            <w:tcW w:w="1260" w:type="dxa"/>
            <w:tcBorders>
              <w:top w:val="single" w:sz="4" w:space="0" w:color="auto"/>
              <w:left w:val="nil"/>
              <w:bottom w:val="single" w:sz="4" w:space="0" w:color="auto"/>
              <w:right w:val="nil"/>
            </w:tcBorders>
            <w:shd w:val="clear" w:color="auto" w:fill="FFFFFF"/>
            <w:vAlign w:val="bottom"/>
          </w:tcPr>
          <w:p w14:paraId="264EB536" w14:textId="77777777" w:rsidR="003F38ED" w:rsidRPr="003F38ED" w:rsidRDefault="003F38ED" w:rsidP="003F38ED">
            <w:pPr>
              <w:spacing w:after="0" w:line="240" w:lineRule="auto"/>
              <w:jc w:val="right"/>
              <w:rPr>
                <w:rFonts w:ascii="Arial" w:eastAsia="SimSun" w:hAnsi="Arial" w:cs="Arial"/>
                <w:color w:val="000000"/>
                <w:sz w:val="18"/>
                <w:szCs w:val="18"/>
                <w:lang w:val="en-AU" w:eastAsia="en-US"/>
              </w:rPr>
            </w:pPr>
            <w:r w:rsidRPr="003F38ED">
              <w:rPr>
                <w:rFonts w:ascii="Arial" w:eastAsia="Calibri" w:hAnsi="Arial" w:cs="Arial"/>
                <w:b/>
                <w:color w:val="000000"/>
                <w:sz w:val="18"/>
                <w:szCs w:val="18"/>
                <w:lang w:val="en-AU" w:eastAsia="en-US"/>
              </w:rPr>
              <w:t>411,082</w:t>
            </w:r>
          </w:p>
        </w:tc>
        <w:tc>
          <w:tcPr>
            <w:tcW w:w="1266" w:type="dxa"/>
            <w:tcBorders>
              <w:top w:val="single" w:sz="4" w:space="0" w:color="auto"/>
              <w:left w:val="nil"/>
              <w:bottom w:val="single" w:sz="4" w:space="0" w:color="auto"/>
              <w:right w:val="nil"/>
            </w:tcBorders>
            <w:shd w:val="clear" w:color="auto" w:fill="FFFFFF"/>
            <w:vAlign w:val="bottom"/>
          </w:tcPr>
          <w:p w14:paraId="348AA56B"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374,517</w:t>
            </w:r>
          </w:p>
        </w:tc>
      </w:tr>
      <w:tr w:rsidR="003F38ED" w:rsidRPr="003F38ED" w14:paraId="6FD403C9" w14:textId="77777777" w:rsidTr="003F38ED">
        <w:trPr>
          <w:trHeight w:val="20"/>
        </w:trPr>
        <w:tc>
          <w:tcPr>
            <w:tcW w:w="5397" w:type="dxa"/>
            <w:tcBorders>
              <w:top w:val="nil"/>
              <w:left w:val="nil"/>
              <w:bottom w:val="nil"/>
              <w:right w:val="nil"/>
            </w:tcBorders>
            <w:shd w:val="clear" w:color="auto" w:fill="FFFFFF"/>
            <w:vAlign w:val="bottom"/>
          </w:tcPr>
          <w:p w14:paraId="76EA12C2"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715" w:type="dxa"/>
            <w:tcBorders>
              <w:top w:val="nil"/>
              <w:left w:val="nil"/>
              <w:bottom w:val="nil"/>
              <w:right w:val="nil"/>
            </w:tcBorders>
            <w:shd w:val="clear" w:color="auto" w:fill="FFFFFF"/>
            <w:vAlign w:val="bottom"/>
          </w:tcPr>
          <w:p w14:paraId="0CDE9C9B"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3" w:type="dxa"/>
            <w:tcBorders>
              <w:top w:val="nil"/>
              <w:left w:val="nil"/>
              <w:bottom w:val="nil"/>
              <w:right w:val="nil"/>
            </w:tcBorders>
            <w:shd w:val="clear" w:color="auto" w:fill="FFFFFF"/>
            <w:noWrap/>
            <w:vAlign w:val="bottom"/>
          </w:tcPr>
          <w:p w14:paraId="532AB129"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260" w:type="dxa"/>
            <w:tcBorders>
              <w:top w:val="nil"/>
              <w:left w:val="nil"/>
              <w:bottom w:val="nil"/>
              <w:right w:val="nil"/>
            </w:tcBorders>
            <w:shd w:val="clear" w:color="auto" w:fill="FFFFFF"/>
            <w:noWrap/>
            <w:vAlign w:val="bottom"/>
          </w:tcPr>
          <w:p w14:paraId="27DB5D58" w14:textId="77777777" w:rsidR="003F38ED" w:rsidRPr="003F38ED" w:rsidRDefault="003F38ED" w:rsidP="003F38ED">
            <w:pPr>
              <w:spacing w:after="0" w:line="240" w:lineRule="auto"/>
              <w:jc w:val="right"/>
              <w:rPr>
                <w:rFonts w:ascii="Arial" w:eastAsia="Times New Roman" w:hAnsi="Arial" w:cs="Arial"/>
                <w:b/>
                <w:color w:val="000000"/>
                <w:sz w:val="18"/>
                <w:szCs w:val="18"/>
                <w:lang w:val="en-AU"/>
              </w:rPr>
            </w:pPr>
          </w:p>
        </w:tc>
        <w:tc>
          <w:tcPr>
            <w:tcW w:w="1266" w:type="dxa"/>
            <w:tcBorders>
              <w:top w:val="nil"/>
              <w:left w:val="nil"/>
              <w:bottom w:val="nil"/>
              <w:right w:val="nil"/>
            </w:tcBorders>
            <w:shd w:val="clear" w:color="auto" w:fill="FFFFFF"/>
            <w:noWrap/>
            <w:vAlign w:val="bottom"/>
          </w:tcPr>
          <w:p w14:paraId="2598BE94"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5FAF832B" w14:textId="77777777" w:rsidTr="003F38ED">
        <w:trPr>
          <w:trHeight w:val="20"/>
        </w:trPr>
        <w:tc>
          <w:tcPr>
            <w:tcW w:w="5397" w:type="dxa"/>
            <w:tcBorders>
              <w:top w:val="nil"/>
              <w:left w:val="nil"/>
              <w:bottom w:val="nil"/>
              <w:right w:val="nil"/>
            </w:tcBorders>
            <w:shd w:val="clear" w:color="auto" w:fill="FFFFFF"/>
            <w:vAlign w:val="bottom"/>
          </w:tcPr>
          <w:p w14:paraId="33A235EC"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Current Liabilities</w:t>
            </w:r>
          </w:p>
        </w:tc>
        <w:tc>
          <w:tcPr>
            <w:tcW w:w="715" w:type="dxa"/>
            <w:tcBorders>
              <w:top w:val="nil"/>
              <w:left w:val="nil"/>
              <w:bottom w:val="nil"/>
              <w:right w:val="nil"/>
            </w:tcBorders>
            <w:shd w:val="clear" w:color="auto" w:fill="FFFFFF"/>
            <w:vAlign w:val="bottom"/>
          </w:tcPr>
          <w:p w14:paraId="70FB7AF8"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nil"/>
              <w:left w:val="nil"/>
              <w:bottom w:val="nil"/>
              <w:right w:val="nil"/>
            </w:tcBorders>
            <w:shd w:val="clear" w:color="auto" w:fill="FFFFFF"/>
            <w:vAlign w:val="bottom"/>
          </w:tcPr>
          <w:p w14:paraId="7AA96CEF"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60" w:type="dxa"/>
            <w:tcBorders>
              <w:top w:val="nil"/>
              <w:left w:val="nil"/>
              <w:bottom w:val="nil"/>
              <w:right w:val="nil"/>
            </w:tcBorders>
            <w:shd w:val="clear" w:color="auto" w:fill="FFFFFF"/>
            <w:vAlign w:val="bottom"/>
          </w:tcPr>
          <w:p w14:paraId="50C4FBF1"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p>
        </w:tc>
        <w:tc>
          <w:tcPr>
            <w:tcW w:w="1266" w:type="dxa"/>
            <w:tcBorders>
              <w:top w:val="nil"/>
              <w:left w:val="nil"/>
              <w:bottom w:val="nil"/>
              <w:right w:val="nil"/>
            </w:tcBorders>
            <w:shd w:val="clear" w:color="auto" w:fill="FFFFFF"/>
            <w:vAlign w:val="bottom"/>
          </w:tcPr>
          <w:p w14:paraId="300234C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75B7E0D8" w14:textId="77777777" w:rsidTr="003F38ED">
        <w:trPr>
          <w:trHeight w:val="20"/>
        </w:trPr>
        <w:tc>
          <w:tcPr>
            <w:tcW w:w="5397" w:type="dxa"/>
            <w:tcBorders>
              <w:top w:val="nil"/>
              <w:left w:val="nil"/>
              <w:bottom w:val="nil"/>
              <w:right w:val="nil"/>
            </w:tcBorders>
            <w:shd w:val="clear" w:color="auto" w:fill="FFFFFF"/>
            <w:vAlign w:val="bottom"/>
          </w:tcPr>
          <w:p w14:paraId="6B47F065"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color w:val="auto"/>
                <w:sz w:val="18"/>
                <w:szCs w:val="18"/>
                <w:lang w:val="en-AU"/>
              </w:rPr>
              <w:t>Payables</w:t>
            </w:r>
          </w:p>
        </w:tc>
        <w:tc>
          <w:tcPr>
            <w:tcW w:w="715" w:type="dxa"/>
            <w:tcBorders>
              <w:top w:val="nil"/>
              <w:left w:val="nil"/>
              <w:bottom w:val="nil"/>
              <w:right w:val="nil"/>
            </w:tcBorders>
            <w:shd w:val="clear" w:color="auto" w:fill="FFFFFF"/>
            <w:vAlign w:val="bottom"/>
          </w:tcPr>
          <w:p w14:paraId="41DE427C"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14</w:t>
            </w:r>
          </w:p>
        </w:tc>
        <w:tc>
          <w:tcPr>
            <w:tcW w:w="1273" w:type="dxa"/>
            <w:tcBorders>
              <w:top w:val="nil"/>
              <w:left w:val="nil"/>
              <w:bottom w:val="nil"/>
              <w:right w:val="nil"/>
            </w:tcBorders>
            <w:shd w:val="clear" w:color="auto" w:fill="FFFFFF"/>
            <w:vAlign w:val="bottom"/>
          </w:tcPr>
          <w:p w14:paraId="06A96930"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3,460 </w:t>
            </w:r>
          </w:p>
        </w:tc>
        <w:tc>
          <w:tcPr>
            <w:tcW w:w="1260" w:type="dxa"/>
            <w:tcBorders>
              <w:top w:val="nil"/>
              <w:left w:val="nil"/>
              <w:bottom w:val="nil"/>
              <w:right w:val="nil"/>
            </w:tcBorders>
            <w:shd w:val="clear" w:color="auto" w:fill="FFFFFF"/>
            <w:vAlign w:val="bottom"/>
          </w:tcPr>
          <w:p w14:paraId="2C351D9F"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2,122</w:t>
            </w:r>
          </w:p>
        </w:tc>
        <w:tc>
          <w:tcPr>
            <w:tcW w:w="1266" w:type="dxa"/>
            <w:tcBorders>
              <w:top w:val="nil"/>
              <w:left w:val="nil"/>
              <w:bottom w:val="nil"/>
              <w:right w:val="nil"/>
            </w:tcBorders>
            <w:shd w:val="clear" w:color="auto" w:fill="FFFFFF"/>
            <w:vAlign w:val="bottom"/>
          </w:tcPr>
          <w:p w14:paraId="0CBE25AC"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2,529</w:t>
            </w:r>
          </w:p>
        </w:tc>
      </w:tr>
      <w:tr w:rsidR="003F38ED" w:rsidRPr="003F38ED" w14:paraId="545643F4" w14:textId="77777777" w:rsidTr="003F38ED">
        <w:trPr>
          <w:trHeight w:val="20"/>
        </w:trPr>
        <w:tc>
          <w:tcPr>
            <w:tcW w:w="5397" w:type="dxa"/>
            <w:tcBorders>
              <w:top w:val="nil"/>
              <w:left w:val="nil"/>
              <w:bottom w:val="nil"/>
              <w:right w:val="nil"/>
            </w:tcBorders>
            <w:shd w:val="clear" w:color="auto" w:fill="FFFFFF"/>
            <w:vAlign w:val="bottom"/>
          </w:tcPr>
          <w:p w14:paraId="2A39A280"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Lease Liabilities</w:t>
            </w:r>
          </w:p>
        </w:tc>
        <w:tc>
          <w:tcPr>
            <w:tcW w:w="715" w:type="dxa"/>
            <w:tcBorders>
              <w:top w:val="nil"/>
              <w:left w:val="nil"/>
              <w:bottom w:val="nil"/>
              <w:right w:val="nil"/>
            </w:tcBorders>
            <w:shd w:val="clear" w:color="auto" w:fill="FFFFFF"/>
            <w:vAlign w:val="bottom"/>
          </w:tcPr>
          <w:p w14:paraId="001BCEDD"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nil"/>
              <w:left w:val="nil"/>
              <w:bottom w:val="nil"/>
              <w:right w:val="nil"/>
            </w:tcBorders>
            <w:shd w:val="clear" w:color="auto" w:fill="FFFFFF"/>
            <w:noWrap/>
            <w:vAlign w:val="bottom"/>
          </w:tcPr>
          <w:p w14:paraId="45DB96E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150 </w:t>
            </w:r>
          </w:p>
        </w:tc>
        <w:tc>
          <w:tcPr>
            <w:tcW w:w="1260" w:type="dxa"/>
            <w:tcBorders>
              <w:top w:val="nil"/>
              <w:left w:val="nil"/>
              <w:bottom w:val="nil"/>
              <w:right w:val="nil"/>
            </w:tcBorders>
            <w:shd w:val="clear" w:color="auto" w:fill="FFFFFF"/>
            <w:noWrap/>
            <w:vAlign w:val="bottom"/>
          </w:tcPr>
          <w:p w14:paraId="1438F29D"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147</w:t>
            </w:r>
          </w:p>
        </w:tc>
        <w:tc>
          <w:tcPr>
            <w:tcW w:w="1266" w:type="dxa"/>
            <w:tcBorders>
              <w:top w:val="nil"/>
              <w:left w:val="nil"/>
              <w:bottom w:val="nil"/>
              <w:right w:val="nil"/>
            </w:tcBorders>
            <w:shd w:val="clear" w:color="auto" w:fill="FFFFFF"/>
            <w:noWrap/>
            <w:vAlign w:val="bottom"/>
          </w:tcPr>
          <w:p w14:paraId="67C038F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146</w:t>
            </w:r>
          </w:p>
        </w:tc>
      </w:tr>
      <w:tr w:rsidR="003F38ED" w:rsidRPr="003F38ED" w14:paraId="702F0128" w14:textId="77777777" w:rsidTr="003F38ED">
        <w:trPr>
          <w:trHeight w:val="20"/>
        </w:trPr>
        <w:tc>
          <w:tcPr>
            <w:tcW w:w="5397" w:type="dxa"/>
            <w:tcBorders>
              <w:top w:val="nil"/>
              <w:left w:val="nil"/>
              <w:bottom w:val="nil"/>
              <w:right w:val="nil"/>
            </w:tcBorders>
            <w:shd w:val="clear" w:color="auto" w:fill="FFFFFF"/>
            <w:vAlign w:val="bottom"/>
          </w:tcPr>
          <w:p w14:paraId="0C79DAE2"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Provision for Long Service Leave Benefits</w:t>
            </w:r>
          </w:p>
        </w:tc>
        <w:tc>
          <w:tcPr>
            <w:tcW w:w="715" w:type="dxa"/>
            <w:tcBorders>
              <w:top w:val="nil"/>
              <w:left w:val="nil"/>
              <w:bottom w:val="nil"/>
              <w:right w:val="nil"/>
            </w:tcBorders>
            <w:shd w:val="clear" w:color="auto" w:fill="FFFFFF"/>
            <w:vAlign w:val="bottom"/>
          </w:tcPr>
          <w:p w14:paraId="39CED184"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15</w:t>
            </w:r>
          </w:p>
        </w:tc>
        <w:tc>
          <w:tcPr>
            <w:tcW w:w="1273" w:type="dxa"/>
            <w:tcBorders>
              <w:top w:val="nil"/>
              <w:left w:val="nil"/>
              <w:bottom w:val="nil"/>
              <w:right w:val="nil"/>
            </w:tcBorders>
            <w:shd w:val="clear" w:color="auto" w:fill="FFFFFF"/>
            <w:noWrap/>
            <w:vAlign w:val="bottom"/>
          </w:tcPr>
          <w:p w14:paraId="4E487E62"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SimSun" w:hAnsi="Arial" w:cs="Arial"/>
                <w:b/>
                <w:bCs/>
                <w:color w:val="auto"/>
                <w:sz w:val="18"/>
                <w:szCs w:val="18"/>
                <w:lang w:val="en-AU" w:eastAsia="en-US"/>
              </w:rPr>
              <w:t xml:space="preserve">        </w:t>
            </w:r>
          </w:p>
        </w:tc>
        <w:tc>
          <w:tcPr>
            <w:tcW w:w="1260" w:type="dxa"/>
            <w:tcBorders>
              <w:top w:val="nil"/>
              <w:left w:val="nil"/>
              <w:bottom w:val="nil"/>
              <w:right w:val="nil"/>
            </w:tcBorders>
            <w:shd w:val="clear" w:color="auto" w:fill="FFFFFF"/>
            <w:noWrap/>
            <w:vAlign w:val="bottom"/>
          </w:tcPr>
          <w:p w14:paraId="4E254FBD"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p>
        </w:tc>
        <w:tc>
          <w:tcPr>
            <w:tcW w:w="1266" w:type="dxa"/>
            <w:tcBorders>
              <w:top w:val="nil"/>
              <w:left w:val="nil"/>
              <w:bottom w:val="nil"/>
              <w:right w:val="nil"/>
            </w:tcBorders>
            <w:shd w:val="clear" w:color="auto" w:fill="FFFFFF"/>
            <w:noWrap/>
            <w:vAlign w:val="bottom"/>
          </w:tcPr>
          <w:p w14:paraId="0870F336"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3D48898E" w14:textId="77777777" w:rsidTr="003F38ED">
        <w:trPr>
          <w:trHeight w:val="20"/>
        </w:trPr>
        <w:tc>
          <w:tcPr>
            <w:tcW w:w="5397" w:type="dxa"/>
            <w:tcBorders>
              <w:top w:val="nil"/>
              <w:left w:val="nil"/>
              <w:bottom w:val="nil"/>
              <w:right w:val="nil"/>
            </w:tcBorders>
            <w:shd w:val="clear" w:color="auto" w:fill="FFFFFF"/>
            <w:vAlign w:val="bottom"/>
          </w:tcPr>
          <w:p w14:paraId="564C519E" w14:textId="77777777" w:rsidR="003F38ED" w:rsidRPr="003F38ED" w:rsidRDefault="003F38ED" w:rsidP="003F38ED">
            <w:pPr>
              <w:numPr>
                <w:ilvl w:val="0"/>
                <w:numId w:val="74"/>
              </w:num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Expected to be Settled Within 12 months</w:t>
            </w:r>
          </w:p>
        </w:tc>
        <w:tc>
          <w:tcPr>
            <w:tcW w:w="715" w:type="dxa"/>
            <w:tcBorders>
              <w:top w:val="nil"/>
              <w:left w:val="nil"/>
              <w:bottom w:val="nil"/>
              <w:right w:val="nil"/>
            </w:tcBorders>
            <w:shd w:val="clear" w:color="auto" w:fill="FFFFFF"/>
            <w:vAlign w:val="bottom"/>
          </w:tcPr>
          <w:p w14:paraId="48E3FE6D"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nil"/>
              <w:left w:val="nil"/>
              <w:bottom w:val="nil"/>
              <w:right w:val="nil"/>
            </w:tcBorders>
            <w:shd w:val="clear" w:color="auto" w:fill="FFFFFF"/>
            <w:noWrap/>
            <w:vAlign w:val="bottom"/>
          </w:tcPr>
          <w:p w14:paraId="6DA4883E"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29,409 </w:t>
            </w:r>
          </w:p>
        </w:tc>
        <w:tc>
          <w:tcPr>
            <w:tcW w:w="1260" w:type="dxa"/>
            <w:tcBorders>
              <w:top w:val="nil"/>
              <w:left w:val="nil"/>
              <w:bottom w:val="nil"/>
              <w:right w:val="nil"/>
            </w:tcBorders>
            <w:shd w:val="clear" w:color="auto" w:fill="FFFFFF"/>
            <w:noWrap/>
            <w:vAlign w:val="bottom"/>
          </w:tcPr>
          <w:p w14:paraId="5C0B9AE6"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r w:rsidRPr="003F38ED">
              <w:rPr>
                <w:rFonts w:ascii="Arial" w:eastAsia="Times New Roman" w:hAnsi="Arial" w:cs="Arial"/>
                <w:color w:val="000000"/>
                <w:sz w:val="18"/>
                <w:szCs w:val="18"/>
                <w:lang w:val="en-AU"/>
              </w:rPr>
              <w:t>28,860</w:t>
            </w:r>
          </w:p>
        </w:tc>
        <w:tc>
          <w:tcPr>
            <w:tcW w:w="1266" w:type="dxa"/>
            <w:tcBorders>
              <w:top w:val="nil"/>
              <w:left w:val="nil"/>
              <w:bottom w:val="nil"/>
              <w:right w:val="nil"/>
            </w:tcBorders>
            <w:shd w:val="clear" w:color="auto" w:fill="FFFFFF"/>
            <w:noWrap/>
            <w:vAlign w:val="bottom"/>
          </w:tcPr>
          <w:p w14:paraId="44424471"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24,992</w:t>
            </w:r>
          </w:p>
        </w:tc>
      </w:tr>
      <w:tr w:rsidR="003F38ED" w:rsidRPr="003F38ED" w14:paraId="6087549D" w14:textId="77777777" w:rsidTr="003F38ED">
        <w:trPr>
          <w:trHeight w:val="20"/>
        </w:trPr>
        <w:tc>
          <w:tcPr>
            <w:tcW w:w="5397" w:type="dxa"/>
            <w:tcBorders>
              <w:top w:val="nil"/>
              <w:left w:val="nil"/>
              <w:bottom w:val="nil"/>
              <w:right w:val="nil"/>
            </w:tcBorders>
            <w:shd w:val="clear" w:color="auto" w:fill="FFFFFF"/>
            <w:vAlign w:val="bottom"/>
          </w:tcPr>
          <w:p w14:paraId="22D1D2A5" w14:textId="77777777" w:rsidR="003F38ED" w:rsidRPr="003F38ED" w:rsidRDefault="003F38ED" w:rsidP="003F38ED">
            <w:pPr>
              <w:numPr>
                <w:ilvl w:val="0"/>
                <w:numId w:val="74"/>
              </w:num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Expected to be Settled After 12 months</w:t>
            </w:r>
          </w:p>
        </w:tc>
        <w:tc>
          <w:tcPr>
            <w:tcW w:w="715" w:type="dxa"/>
            <w:tcBorders>
              <w:top w:val="nil"/>
              <w:left w:val="nil"/>
              <w:bottom w:val="nil"/>
              <w:right w:val="nil"/>
            </w:tcBorders>
            <w:shd w:val="clear" w:color="auto" w:fill="FFFFFF"/>
            <w:vAlign w:val="bottom"/>
          </w:tcPr>
          <w:p w14:paraId="668AD769"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nil"/>
              <w:left w:val="nil"/>
              <w:bottom w:val="nil"/>
              <w:right w:val="nil"/>
            </w:tcBorders>
            <w:shd w:val="clear" w:color="auto" w:fill="FFFFFF"/>
            <w:noWrap/>
            <w:vAlign w:val="bottom"/>
          </w:tcPr>
          <w:p w14:paraId="7776BE51"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228,753 </w:t>
            </w:r>
          </w:p>
        </w:tc>
        <w:tc>
          <w:tcPr>
            <w:tcW w:w="1260" w:type="dxa"/>
            <w:tcBorders>
              <w:top w:val="nil"/>
              <w:left w:val="nil"/>
              <w:bottom w:val="nil"/>
              <w:right w:val="nil"/>
            </w:tcBorders>
            <w:shd w:val="clear" w:color="auto" w:fill="FFFFFF"/>
            <w:noWrap/>
            <w:vAlign w:val="bottom"/>
          </w:tcPr>
          <w:p w14:paraId="21702E33"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r w:rsidRPr="003F38ED">
              <w:rPr>
                <w:rFonts w:ascii="Arial" w:eastAsia="Times New Roman" w:hAnsi="Arial" w:cs="Arial"/>
                <w:color w:val="000000"/>
                <w:sz w:val="18"/>
                <w:szCs w:val="18"/>
                <w:lang w:val="en-AU"/>
              </w:rPr>
              <w:t>255,402</w:t>
            </w:r>
          </w:p>
        </w:tc>
        <w:tc>
          <w:tcPr>
            <w:tcW w:w="1266" w:type="dxa"/>
            <w:tcBorders>
              <w:top w:val="nil"/>
              <w:left w:val="nil"/>
              <w:bottom w:val="nil"/>
              <w:right w:val="nil"/>
            </w:tcBorders>
            <w:shd w:val="clear" w:color="auto" w:fill="FFFFFF"/>
            <w:noWrap/>
            <w:vAlign w:val="bottom"/>
          </w:tcPr>
          <w:p w14:paraId="67A92F45"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211,451</w:t>
            </w:r>
          </w:p>
        </w:tc>
      </w:tr>
      <w:tr w:rsidR="003F38ED" w:rsidRPr="003F38ED" w14:paraId="5ED08C58" w14:textId="77777777" w:rsidTr="003F38ED">
        <w:trPr>
          <w:trHeight w:val="20"/>
        </w:trPr>
        <w:tc>
          <w:tcPr>
            <w:tcW w:w="5397" w:type="dxa"/>
            <w:tcBorders>
              <w:top w:val="nil"/>
              <w:left w:val="nil"/>
              <w:right w:val="nil"/>
            </w:tcBorders>
            <w:shd w:val="clear" w:color="auto" w:fill="FFFFFF"/>
            <w:vAlign w:val="bottom"/>
          </w:tcPr>
          <w:p w14:paraId="42C5F01D"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Employee Benefits</w:t>
            </w:r>
          </w:p>
        </w:tc>
        <w:tc>
          <w:tcPr>
            <w:tcW w:w="715" w:type="dxa"/>
            <w:tcBorders>
              <w:top w:val="nil"/>
              <w:left w:val="nil"/>
              <w:right w:val="nil"/>
            </w:tcBorders>
            <w:shd w:val="clear" w:color="auto" w:fill="FFFFFF"/>
            <w:vAlign w:val="bottom"/>
          </w:tcPr>
          <w:p w14:paraId="3E9963A6"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16</w:t>
            </w:r>
          </w:p>
        </w:tc>
        <w:tc>
          <w:tcPr>
            <w:tcW w:w="1273" w:type="dxa"/>
            <w:tcBorders>
              <w:top w:val="nil"/>
              <w:left w:val="nil"/>
              <w:bottom w:val="single" w:sz="4" w:space="0" w:color="auto"/>
              <w:right w:val="nil"/>
            </w:tcBorders>
            <w:shd w:val="clear" w:color="auto" w:fill="FFFFFF"/>
            <w:noWrap/>
            <w:vAlign w:val="bottom"/>
          </w:tcPr>
          <w:p w14:paraId="1D90AC5A"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1,315 </w:t>
            </w:r>
          </w:p>
        </w:tc>
        <w:tc>
          <w:tcPr>
            <w:tcW w:w="1260" w:type="dxa"/>
            <w:tcBorders>
              <w:top w:val="nil"/>
              <w:left w:val="nil"/>
              <w:bottom w:val="single" w:sz="4" w:space="0" w:color="auto"/>
              <w:right w:val="nil"/>
            </w:tcBorders>
            <w:shd w:val="clear" w:color="auto" w:fill="FFFFFF"/>
            <w:noWrap/>
            <w:vAlign w:val="bottom"/>
          </w:tcPr>
          <w:p w14:paraId="5230B264"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1,339</w:t>
            </w:r>
          </w:p>
        </w:tc>
        <w:tc>
          <w:tcPr>
            <w:tcW w:w="1266" w:type="dxa"/>
            <w:tcBorders>
              <w:top w:val="nil"/>
              <w:left w:val="nil"/>
              <w:bottom w:val="single" w:sz="4" w:space="0" w:color="auto"/>
              <w:right w:val="nil"/>
            </w:tcBorders>
            <w:shd w:val="clear" w:color="auto" w:fill="FFFFFF"/>
            <w:noWrap/>
            <w:vAlign w:val="bottom"/>
          </w:tcPr>
          <w:p w14:paraId="31387AEC"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1,212</w:t>
            </w:r>
          </w:p>
        </w:tc>
      </w:tr>
      <w:tr w:rsidR="003F38ED" w:rsidRPr="003F38ED" w14:paraId="648DBB98" w14:textId="77777777" w:rsidTr="003F38ED">
        <w:trPr>
          <w:trHeight w:val="20"/>
        </w:trPr>
        <w:tc>
          <w:tcPr>
            <w:tcW w:w="5397" w:type="dxa"/>
            <w:tcBorders>
              <w:left w:val="nil"/>
              <w:right w:val="nil"/>
            </w:tcBorders>
            <w:shd w:val="clear" w:color="auto" w:fill="FFFFFF"/>
            <w:vAlign w:val="bottom"/>
          </w:tcPr>
          <w:p w14:paraId="01A4F94B"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Total Current Liabilities</w:t>
            </w:r>
          </w:p>
        </w:tc>
        <w:tc>
          <w:tcPr>
            <w:tcW w:w="715" w:type="dxa"/>
            <w:tcBorders>
              <w:left w:val="nil"/>
              <w:right w:val="nil"/>
            </w:tcBorders>
            <w:shd w:val="clear" w:color="auto" w:fill="FFFFFF"/>
            <w:vAlign w:val="bottom"/>
          </w:tcPr>
          <w:p w14:paraId="30FC663F"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single" w:sz="4" w:space="0" w:color="auto"/>
              <w:left w:val="nil"/>
              <w:bottom w:val="single" w:sz="4" w:space="0" w:color="auto"/>
              <w:right w:val="nil"/>
            </w:tcBorders>
            <w:shd w:val="clear" w:color="auto" w:fill="FFFFFF"/>
            <w:noWrap/>
            <w:vAlign w:val="bottom"/>
          </w:tcPr>
          <w:p w14:paraId="5DEB5AF9"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bCs/>
                <w:color w:val="auto"/>
                <w:sz w:val="18"/>
                <w:szCs w:val="18"/>
                <w:lang w:val="en-AU"/>
              </w:rPr>
              <w:t>263,087</w:t>
            </w:r>
          </w:p>
        </w:tc>
        <w:tc>
          <w:tcPr>
            <w:tcW w:w="1260" w:type="dxa"/>
            <w:tcBorders>
              <w:top w:val="single" w:sz="4" w:space="0" w:color="auto"/>
              <w:left w:val="nil"/>
              <w:bottom w:val="single" w:sz="4" w:space="0" w:color="auto"/>
              <w:right w:val="nil"/>
            </w:tcBorders>
            <w:shd w:val="clear" w:color="auto" w:fill="FFFFFF"/>
            <w:noWrap/>
            <w:vAlign w:val="bottom"/>
          </w:tcPr>
          <w:p w14:paraId="290DF0DE" w14:textId="77777777" w:rsidR="003F38ED" w:rsidRPr="003F38ED" w:rsidRDefault="003F38ED" w:rsidP="003F38ED">
            <w:pPr>
              <w:spacing w:after="0" w:line="240" w:lineRule="auto"/>
              <w:jc w:val="right"/>
              <w:rPr>
                <w:rFonts w:ascii="Arial" w:eastAsia="Calibri" w:hAnsi="Arial" w:cs="Arial"/>
                <w:b/>
                <w:color w:val="000000"/>
                <w:sz w:val="18"/>
                <w:szCs w:val="18"/>
                <w:lang w:val="en-AU" w:eastAsia="en-US"/>
              </w:rPr>
            </w:pPr>
            <w:r w:rsidRPr="003F38ED">
              <w:rPr>
                <w:rFonts w:ascii="Arial" w:eastAsia="Calibri" w:hAnsi="Arial" w:cs="Arial"/>
                <w:b/>
                <w:color w:val="000000"/>
                <w:sz w:val="18"/>
                <w:szCs w:val="18"/>
                <w:lang w:val="en-AU" w:eastAsia="en-US"/>
              </w:rPr>
              <w:t>287,871</w:t>
            </w:r>
          </w:p>
        </w:tc>
        <w:tc>
          <w:tcPr>
            <w:tcW w:w="1266" w:type="dxa"/>
            <w:tcBorders>
              <w:top w:val="single" w:sz="4" w:space="0" w:color="auto"/>
              <w:left w:val="nil"/>
              <w:bottom w:val="single" w:sz="4" w:space="0" w:color="auto"/>
              <w:right w:val="nil"/>
            </w:tcBorders>
            <w:shd w:val="clear" w:color="auto" w:fill="FFFFFF"/>
            <w:noWrap/>
            <w:vAlign w:val="bottom"/>
          </w:tcPr>
          <w:p w14:paraId="16DE2DB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240,330</w:t>
            </w:r>
          </w:p>
        </w:tc>
      </w:tr>
      <w:tr w:rsidR="003F38ED" w:rsidRPr="003F38ED" w14:paraId="76230143" w14:textId="77777777" w:rsidTr="003F38ED">
        <w:trPr>
          <w:trHeight w:val="20"/>
        </w:trPr>
        <w:tc>
          <w:tcPr>
            <w:tcW w:w="5397" w:type="dxa"/>
            <w:tcBorders>
              <w:left w:val="nil"/>
              <w:bottom w:val="nil"/>
              <w:right w:val="nil"/>
            </w:tcBorders>
            <w:shd w:val="clear" w:color="auto" w:fill="FFFFFF"/>
            <w:vAlign w:val="bottom"/>
          </w:tcPr>
          <w:p w14:paraId="2C62B3CD"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715" w:type="dxa"/>
            <w:tcBorders>
              <w:left w:val="nil"/>
              <w:bottom w:val="nil"/>
              <w:right w:val="nil"/>
            </w:tcBorders>
            <w:shd w:val="clear" w:color="auto" w:fill="FFFFFF"/>
            <w:vAlign w:val="bottom"/>
          </w:tcPr>
          <w:p w14:paraId="6198836E"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3" w:type="dxa"/>
            <w:tcBorders>
              <w:top w:val="single" w:sz="4" w:space="0" w:color="auto"/>
              <w:left w:val="nil"/>
              <w:bottom w:val="nil"/>
              <w:right w:val="nil"/>
            </w:tcBorders>
            <w:shd w:val="clear" w:color="auto" w:fill="FFFFFF"/>
            <w:noWrap/>
            <w:vAlign w:val="bottom"/>
          </w:tcPr>
          <w:p w14:paraId="32F70980"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260" w:type="dxa"/>
            <w:tcBorders>
              <w:top w:val="single" w:sz="4" w:space="0" w:color="auto"/>
              <w:left w:val="nil"/>
              <w:bottom w:val="nil"/>
              <w:right w:val="nil"/>
            </w:tcBorders>
            <w:shd w:val="clear" w:color="auto" w:fill="FFFFFF"/>
            <w:noWrap/>
            <w:vAlign w:val="bottom"/>
          </w:tcPr>
          <w:p w14:paraId="4A34349D" w14:textId="77777777" w:rsidR="003F38ED" w:rsidRPr="003F38ED" w:rsidRDefault="003F38ED" w:rsidP="003F38ED">
            <w:pPr>
              <w:spacing w:after="0" w:line="240" w:lineRule="auto"/>
              <w:jc w:val="right"/>
              <w:rPr>
                <w:rFonts w:ascii="Arial" w:eastAsia="Times New Roman" w:hAnsi="Arial" w:cs="Arial"/>
                <w:b/>
                <w:color w:val="000000"/>
                <w:sz w:val="18"/>
                <w:szCs w:val="18"/>
                <w:lang w:val="en-AU"/>
              </w:rPr>
            </w:pPr>
          </w:p>
        </w:tc>
        <w:tc>
          <w:tcPr>
            <w:tcW w:w="1266" w:type="dxa"/>
            <w:tcBorders>
              <w:top w:val="single" w:sz="4" w:space="0" w:color="auto"/>
              <w:left w:val="nil"/>
              <w:bottom w:val="nil"/>
              <w:right w:val="nil"/>
            </w:tcBorders>
            <w:shd w:val="clear" w:color="auto" w:fill="FFFFFF"/>
            <w:noWrap/>
            <w:vAlign w:val="bottom"/>
          </w:tcPr>
          <w:p w14:paraId="4FD33EF4"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4BF14598" w14:textId="77777777" w:rsidTr="003F38ED">
        <w:trPr>
          <w:trHeight w:val="20"/>
        </w:trPr>
        <w:tc>
          <w:tcPr>
            <w:tcW w:w="5397" w:type="dxa"/>
            <w:tcBorders>
              <w:top w:val="nil"/>
              <w:left w:val="nil"/>
              <w:bottom w:val="nil"/>
              <w:right w:val="nil"/>
            </w:tcBorders>
            <w:shd w:val="clear" w:color="auto" w:fill="FFFFFF"/>
            <w:vAlign w:val="bottom"/>
          </w:tcPr>
          <w:p w14:paraId="37F45363"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Non-Current Liabilities</w:t>
            </w:r>
          </w:p>
        </w:tc>
        <w:tc>
          <w:tcPr>
            <w:tcW w:w="715" w:type="dxa"/>
            <w:tcBorders>
              <w:top w:val="nil"/>
              <w:left w:val="nil"/>
              <w:bottom w:val="nil"/>
              <w:right w:val="nil"/>
            </w:tcBorders>
            <w:shd w:val="clear" w:color="auto" w:fill="FFFFFF"/>
            <w:vAlign w:val="bottom"/>
          </w:tcPr>
          <w:p w14:paraId="332FD41C"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nil"/>
              <w:left w:val="nil"/>
              <w:bottom w:val="nil"/>
              <w:right w:val="nil"/>
            </w:tcBorders>
            <w:shd w:val="clear" w:color="auto" w:fill="FFFFFF"/>
            <w:vAlign w:val="bottom"/>
          </w:tcPr>
          <w:p w14:paraId="4CE8F32A"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60" w:type="dxa"/>
            <w:tcBorders>
              <w:top w:val="nil"/>
              <w:left w:val="nil"/>
              <w:right w:val="nil"/>
            </w:tcBorders>
            <w:shd w:val="clear" w:color="auto" w:fill="FFFFFF"/>
            <w:vAlign w:val="bottom"/>
          </w:tcPr>
          <w:p w14:paraId="1FC5668E"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p>
        </w:tc>
        <w:tc>
          <w:tcPr>
            <w:tcW w:w="1266" w:type="dxa"/>
            <w:tcBorders>
              <w:top w:val="nil"/>
              <w:left w:val="nil"/>
              <w:bottom w:val="nil"/>
              <w:right w:val="nil"/>
            </w:tcBorders>
            <w:shd w:val="clear" w:color="auto" w:fill="FFFFFF"/>
            <w:vAlign w:val="bottom"/>
          </w:tcPr>
          <w:p w14:paraId="72FC1652"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1416AA73" w14:textId="77777777" w:rsidTr="003F38ED">
        <w:trPr>
          <w:trHeight w:val="20"/>
        </w:trPr>
        <w:tc>
          <w:tcPr>
            <w:tcW w:w="5397" w:type="dxa"/>
            <w:tcBorders>
              <w:top w:val="nil"/>
              <w:left w:val="nil"/>
              <w:bottom w:val="nil"/>
              <w:right w:val="nil"/>
            </w:tcBorders>
            <w:shd w:val="clear" w:color="auto" w:fill="FFFFFF"/>
            <w:vAlign w:val="bottom"/>
          </w:tcPr>
          <w:p w14:paraId="0207B12A"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color w:val="auto"/>
                <w:sz w:val="18"/>
                <w:szCs w:val="18"/>
                <w:lang w:val="en-AU"/>
              </w:rPr>
              <w:t>Lease Liabilities</w:t>
            </w:r>
          </w:p>
        </w:tc>
        <w:tc>
          <w:tcPr>
            <w:tcW w:w="715" w:type="dxa"/>
            <w:tcBorders>
              <w:top w:val="nil"/>
              <w:left w:val="nil"/>
              <w:bottom w:val="nil"/>
              <w:right w:val="nil"/>
            </w:tcBorders>
            <w:shd w:val="clear" w:color="auto" w:fill="FFFFFF"/>
            <w:vAlign w:val="bottom"/>
          </w:tcPr>
          <w:p w14:paraId="7C243CAB"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nil"/>
              <w:left w:val="nil"/>
              <w:bottom w:val="nil"/>
              <w:right w:val="nil"/>
            </w:tcBorders>
            <w:shd w:val="clear" w:color="auto" w:fill="FFFFFF"/>
            <w:vAlign w:val="bottom"/>
          </w:tcPr>
          <w:p w14:paraId="153876F8" w14:textId="77777777" w:rsidR="003F38ED" w:rsidRPr="003F38ED" w:rsidRDefault="003F38ED" w:rsidP="003F38ED">
            <w:pPr>
              <w:spacing w:after="0" w:line="240" w:lineRule="auto"/>
              <w:contextualSpacing/>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1,197 </w:t>
            </w:r>
          </w:p>
        </w:tc>
        <w:tc>
          <w:tcPr>
            <w:tcW w:w="1260" w:type="dxa"/>
            <w:tcBorders>
              <w:top w:val="nil"/>
              <w:left w:val="nil"/>
              <w:bottom w:val="nil"/>
              <w:right w:val="nil"/>
            </w:tcBorders>
            <w:noWrap/>
            <w:vAlign w:val="bottom"/>
          </w:tcPr>
          <w:p w14:paraId="3238C277"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1,207</w:t>
            </w:r>
          </w:p>
        </w:tc>
        <w:tc>
          <w:tcPr>
            <w:tcW w:w="1266" w:type="dxa"/>
            <w:tcBorders>
              <w:top w:val="nil"/>
              <w:left w:val="nil"/>
              <w:bottom w:val="nil"/>
              <w:right w:val="nil"/>
            </w:tcBorders>
            <w:shd w:val="clear" w:color="auto" w:fill="FFFFFF"/>
            <w:vAlign w:val="bottom"/>
          </w:tcPr>
          <w:p w14:paraId="468915D0"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1,353</w:t>
            </w:r>
          </w:p>
        </w:tc>
      </w:tr>
      <w:tr w:rsidR="003F38ED" w:rsidRPr="003F38ED" w14:paraId="072080A6" w14:textId="77777777" w:rsidTr="003F38ED">
        <w:trPr>
          <w:trHeight w:val="20"/>
        </w:trPr>
        <w:tc>
          <w:tcPr>
            <w:tcW w:w="5397" w:type="dxa"/>
            <w:tcBorders>
              <w:top w:val="nil"/>
              <w:left w:val="nil"/>
              <w:bottom w:val="nil"/>
              <w:right w:val="nil"/>
            </w:tcBorders>
            <w:shd w:val="clear" w:color="auto" w:fill="FFFFFF"/>
            <w:vAlign w:val="bottom"/>
          </w:tcPr>
          <w:p w14:paraId="4495C81B"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Provision for Long Service Leave Benefits</w:t>
            </w:r>
          </w:p>
        </w:tc>
        <w:tc>
          <w:tcPr>
            <w:tcW w:w="715" w:type="dxa"/>
            <w:tcBorders>
              <w:top w:val="nil"/>
              <w:left w:val="nil"/>
              <w:bottom w:val="nil"/>
              <w:right w:val="nil"/>
            </w:tcBorders>
            <w:shd w:val="clear" w:color="auto" w:fill="FFFFFF"/>
            <w:vAlign w:val="bottom"/>
          </w:tcPr>
          <w:p w14:paraId="412A94D7"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15</w:t>
            </w:r>
          </w:p>
        </w:tc>
        <w:tc>
          <w:tcPr>
            <w:tcW w:w="1273" w:type="dxa"/>
            <w:tcBorders>
              <w:top w:val="nil"/>
              <w:left w:val="nil"/>
              <w:bottom w:val="nil"/>
              <w:right w:val="nil"/>
            </w:tcBorders>
            <w:shd w:val="clear" w:color="auto" w:fill="FFFFFF"/>
            <w:noWrap/>
            <w:vAlign w:val="bottom"/>
          </w:tcPr>
          <w:p w14:paraId="199CDE90" w14:textId="77777777" w:rsidR="003F38ED" w:rsidRPr="003F38ED" w:rsidRDefault="003F38ED" w:rsidP="003F38ED">
            <w:pPr>
              <w:spacing w:after="0" w:line="240" w:lineRule="auto"/>
              <w:contextualSpacing/>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47,180 </w:t>
            </w:r>
          </w:p>
        </w:tc>
        <w:tc>
          <w:tcPr>
            <w:tcW w:w="1260" w:type="dxa"/>
            <w:tcBorders>
              <w:top w:val="nil"/>
              <w:left w:val="nil"/>
              <w:bottom w:val="nil"/>
              <w:right w:val="nil"/>
            </w:tcBorders>
            <w:noWrap/>
            <w:vAlign w:val="bottom"/>
          </w:tcPr>
          <w:p w14:paraId="321307B7"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58,110</w:t>
            </w:r>
          </w:p>
        </w:tc>
        <w:tc>
          <w:tcPr>
            <w:tcW w:w="1266" w:type="dxa"/>
            <w:tcBorders>
              <w:top w:val="nil"/>
              <w:left w:val="nil"/>
              <w:bottom w:val="nil"/>
              <w:right w:val="nil"/>
            </w:tcBorders>
            <w:shd w:val="clear" w:color="auto" w:fill="FFFFFF"/>
            <w:noWrap/>
            <w:vAlign w:val="bottom"/>
          </w:tcPr>
          <w:p w14:paraId="1F1BC34F"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40,414</w:t>
            </w:r>
          </w:p>
        </w:tc>
      </w:tr>
      <w:tr w:rsidR="003F38ED" w:rsidRPr="003F38ED" w14:paraId="735D5682" w14:textId="77777777" w:rsidTr="003F38ED">
        <w:trPr>
          <w:trHeight w:val="20"/>
        </w:trPr>
        <w:tc>
          <w:tcPr>
            <w:tcW w:w="5397" w:type="dxa"/>
            <w:tcBorders>
              <w:top w:val="nil"/>
              <w:left w:val="nil"/>
              <w:right w:val="nil"/>
            </w:tcBorders>
            <w:shd w:val="clear" w:color="auto" w:fill="FFFFFF"/>
            <w:vAlign w:val="bottom"/>
          </w:tcPr>
          <w:p w14:paraId="04F416B5"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Employee Benefits</w:t>
            </w:r>
          </w:p>
        </w:tc>
        <w:tc>
          <w:tcPr>
            <w:tcW w:w="715" w:type="dxa"/>
            <w:tcBorders>
              <w:top w:val="nil"/>
              <w:left w:val="nil"/>
              <w:right w:val="nil"/>
            </w:tcBorders>
            <w:shd w:val="clear" w:color="auto" w:fill="FFFFFF"/>
            <w:vAlign w:val="bottom"/>
          </w:tcPr>
          <w:p w14:paraId="2317CC49"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16</w:t>
            </w:r>
          </w:p>
        </w:tc>
        <w:tc>
          <w:tcPr>
            <w:tcW w:w="1273" w:type="dxa"/>
            <w:tcBorders>
              <w:top w:val="nil"/>
              <w:left w:val="nil"/>
              <w:bottom w:val="single" w:sz="4" w:space="0" w:color="auto"/>
              <w:right w:val="nil"/>
            </w:tcBorders>
            <w:shd w:val="clear" w:color="auto" w:fill="FFFFFF"/>
            <w:noWrap/>
            <w:vAlign w:val="bottom"/>
          </w:tcPr>
          <w:p w14:paraId="6304DEA4" w14:textId="77777777" w:rsidR="003F38ED" w:rsidRPr="003F38ED" w:rsidRDefault="003F38ED" w:rsidP="003F38ED">
            <w:pPr>
              <w:spacing w:after="0" w:line="240" w:lineRule="auto"/>
              <w:contextualSpacing/>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141 </w:t>
            </w:r>
          </w:p>
        </w:tc>
        <w:tc>
          <w:tcPr>
            <w:tcW w:w="1260" w:type="dxa"/>
            <w:tcBorders>
              <w:top w:val="nil"/>
              <w:left w:val="nil"/>
              <w:bottom w:val="single" w:sz="4" w:space="0" w:color="auto"/>
              <w:right w:val="nil"/>
            </w:tcBorders>
            <w:noWrap/>
            <w:vAlign w:val="bottom"/>
          </w:tcPr>
          <w:p w14:paraId="4CDE166A"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94</w:t>
            </w:r>
          </w:p>
        </w:tc>
        <w:tc>
          <w:tcPr>
            <w:tcW w:w="1266" w:type="dxa"/>
            <w:tcBorders>
              <w:top w:val="nil"/>
              <w:left w:val="nil"/>
              <w:bottom w:val="single" w:sz="4" w:space="0" w:color="auto"/>
              <w:right w:val="nil"/>
            </w:tcBorders>
            <w:shd w:val="clear" w:color="auto" w:fill="FFFFFF"/>
            <w:noWrap/>
            <w:vAlign w:val="bottom"/>
          </w:tcPr>
          <w:p w14:paraId="7F0EBC5E"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106</w:t>
            </w:r>
          </w:p>
        </w:tc>
      </w:tr>
      <w:tr w:rsidR="003F38ED" w:rsidRPr="003F38ED" w14:paraId="78D544E7" w14:textId="77777777" w:rsidTr="003F38ED">
        <w:trPr>
          <w:trHeight w:val="20"/>
        </w:trPr>
        <w:tc>
          <w:tcPr>
            <w:tcW w:w="5397" w:type="dxa"/>
            <w:tcBorders>
              <w:top w:val="nil"/>
              <w:left w:val="nil"/>
              <w:right w:val="nil"/>
            </w:tcBorders>
            <w:shd w:val="clear" w:color="auto" w:fill="FFFFFF"/>
            <w:vAlign w:val="bottom"/>
          </w:tcPr>
          <w:p w14:paraId="5ECCBCE0"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Total Non-Current Liabilities</w:t>
            </w:r>
          </w:p>
        </w:tc>
        <w:tc>
          <w:tcPr>
            <w:tcW w:w="715" w:type="dxa"/>
            <w:tcBorders>
              <w:top w:val="nil"/>
              <w:left w:val="nil"/>
              <w:right w:val="nil"/>
            </w:tcBorders>
            <w:shd w:val="clear" w:color="auto" w:fill="FFFFFF"/>
            <w:vAlign w:val="bottom"/>
          </w:tcPr>
          <w:p w14:paraId="6F76BCC2"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single" w:sz="4" w:space="0" w:color="auto"/>
              <w:left w:val="nil"/>
              <w:bottom w:val="single" w:sz="4" w:space="0" w:color="auto"/>
              <w:right w:val="nil"/>
            </w:tcBorders>
            <w:shd w:val="clear" w:color="auto" w:fill="FFFFFF"/>
            <w:noWrap/>
            <w:vAlign w:val="bottom"/>
          </w:tcPr>
          <w:p w14:paraId="39344115" w14:textId="77777777" w:rsidR="003F38ED" w:rsidRPr="003F38ED" w:rsidRDefault="003F38ED" w:rsidP="003F38ED">
            <w:pPr>
              <w:spacing w:after="0" w:line="240" w:lineRule="auto"/>
              <w:contextualSpacing/>
              <w:jc w:val="right"/>
              <w:rPr>
                <w:rFonts w:ascii="Arial" w:eastAsia="Times New Roman" w:hAnsi="Arial" w:cs="Arial"/>
                <w:b/>
                <w:color w:val="auto"/>
                <w:sz w:val="18"/>
                <w:szCs w:val="18"/>
                <w:lang w:val="en-AU"/>
              </w:rPr>
            </w:pPr>
            <w:r w:rsidRPr="003F38ED">
              <w:rPr>
                <w:rFonts w:ascii="Arial" w:eastAsia="SimSun" w:hAnsi="Arial" w:cs="Arial"/>
                <w:b/>
                <w:bCs/>
                <w:color w:val="auto"/>
                <w:sz w:val="18"/>
                <w:szCs w:val="18"/>
                <w:lang w:val="en-AU" w:eastAsia="en-US"/>
              </w:rPr>
              <w:t xml:space="preserve">           48,518 </w:t>
            </w:r>
          </w:p>
        </w:tc>
        <w:tc>
          <w:tcPr>
            <w:tcW w:w="1260" w:type="dxa"/>
            <w:tcBorders>
              <w:top w:val="single" w:sz="4" w:space="0" w:color="auto"/>
              <w:left w:val="nil"/>
              <w:bottom w:val="single" w:sz="4" w:space="0" w:color="auto"/>
              <w:right w:val="nil"/>
            </w:tcBorders>
            <w:shd w:val="clear" w:color="auto" w:fill="FFFFFF"/>
            <w:noWrap/>
            <w:vAlign w:val="bottom"/>
          </w:tcPr>
          <w:p w14:paraId="24B19DF8" w14:textId="77777777" w:rsidR="003F38ED" w:rsidRPr="003F38ED" w:rsidRDefault="003F38ED" w:rsidP="003F38ED">
            <w:pPr>
              <w:spacing w:after="0" w:line="240" w:lineRule="auto"/>
              <w:jc w:val="right"/>
              <w:rPr>
                <w:rFonts w:ascii="Arial" w:eastAsia="SimSun" w:hAnsi="Arial" w:cs="Arial"/>
                <w:color w:val="000000"/>
                <w:sz w:val="18"/>
                <w:szCs w:val="18"/>
                <w:lang w:val="en-AU" w:eastAsia="en-US"/>
              </w:rPr>
            </w:pPr>
            <w:r w:rsidRPr="003F38ED">
              <w:rPr>
                <w:rFonts w:ascii="Arial" w:eastAsia="Calibri" w:hAnsi="Arial" w:cs="Arial"/>
                <w:b/>
                <w:color w:val="000000"/>
                <w:sz w:val="18"/>
                <w:szCs w:val="18"/>
                <w:lang w:val="en-AU" w:eastAsia="en-US"/>
              </w:rPr>
              <w:t>59,411</w:t>
            </w:r>
          </w:p>
        </w:tc>
        <w:tc>
          <w:tcPr>
            <w:tcW w:w="1266" w:type="dxa"/>
            <w:tcBorders>
              <w:top w:val="single" w:sz="4" w:space="0" w:color="auto"/>
              <w:left w:val="nil"/>
              <w:bottom w:val="single" w:sz="4" w:space="0" w:color="auto"/>
              <w:right w:val="nil"/>
            </w:tcBorders>
            <w:shd w:val="clear" w:color="auto" w:fill="FFFFFF"/>
            <w:noWrap/>
            <w:vAlign w:val="bottom"/>
          </w:tcPr>
          <w:p w14:paraId="4D05F6AE"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41,873</w:t>
            </w:r>
          </w:p>
        </w:tc>
      </w:tr>
      <w:tr w:rsidR="003F38ED" w:rsidRPr="003F38ED" w14:paraId="32BD5FDA" w14:textId="77777777" w:rsidTr="003F38ED">
        <w:trPr>
          <w:trHeight w:val="20"/>
        </w:trPr>
        <w:tc>
          <w:tcPr>
            <w:tcW w:w="5397" w:type="dxa"/>
            <w:tcBorders>
              <w:top w:val="nil"/>
              <w:left w:val="nil"/>
              <w:right w:val="nil"/>
            </w:tcBorders>
            <w:shd w:val="clear" w:color="auto" w:fill="FFFFFF"/>
            <w:vAlign w:val="bottom"/>
          </w:tcPr>
          <w:p w14:paraId="28C14E00"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715" w:type="dxa"/>
            <w:tcBorders>
              <w:top w:val="nil"/>
              <w:left w:val="nil"/>
              <w:right w:val="nil"/>
            </w:tcBorders>
            <w:shd w:val="clear" w:color="auto" w:fill="FFFFFF"/>
            <w:vAlign w:val="bottom"/>
          </w:tcPr>
          <w:p w14:paraId="1ADA280D"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3" w:type="dxa"/>
            <w:tcBorders>
              <w:top w:val="single" w:sz="4" w:space="0" w:color="auto"/>
              <w:left w:val="nil"/>
              <w:bottom w:val="single" w:sz="4" w:space="0" w:color="auto"/>
              <w:right w:val="nil"/>
            </w:tcBorders>
            <w:shd w:val="clear" w:color="auto" w:fill="FFFFFF"/>
            <w:noWrap/>
            <w:vAlign w:val="bottom"/>
          </w:tcPr>
          <w:p w14:paraId="3E3F2A3A" w14:textId="77777777" w:rsidR="003F38ED" w:rsidRPr="003F38ED" w:rsidRDefault="003F38ED" w:rsidP="003F38ED">
            <w:pPr>
              <w:spacing w:after="0" w:line="240" w:lineRule="auto"/>
              <w:ind w:right="-68"/>
              <w:rPr>
                <w:rFonts w:ascii="Arial" w:eastAsia="Times New Roman" w:hAnsi="Arial" w:cs="Arial"/>
                <w:b/>
                <w:color w:val="auto"/>
                <w:sz w:val="18"/>
                <w:szCs w:val="18"/>
                <w:lang w:val="en-AU"/>
              </w:rPr>
            </w:pPr>
          </w:p>
        </w:tc>
        <w:tc>
          <w:tcPr>
            <w:tcW w:w="1260" w:type="dxa"/>
            <w:tcBorders>
              <w:top w:val="single" w:sz="4" w:space="0" w:color="auto"/>
              <w:left w:val="nil"/>
              <w:bottom w:val="single" w:sz="4" w:space="0" w:color="auto"/>
              <w:right w:val="nil"/>
            </w:tcBorders>
            <w:shd w:val="clear" w:color="auto" w:fill="FFFFFF"/>
            <w:noWrap/>
            <w:vAlign w:val="bottom"/>
          </w:tcPr>
          <w:p w14:paraId="1843D30E" w14:textId="77777777" w:rsidR="003F38ED" w:rsidRPr="003F38ED" w:rsidRDefault="003F38ED" w:rsidP="003F38ED">
            <w:pPr>
              <w:spacing w:after="0" w:line="240" w:lineRule="auto"/>
              <w:jc w:val="right"/>
              <w:rPr>
                <w:rFonts w:ascii="Arial" w:eastAsia="Times New Roman" w:hAnsi="Arial" w:cs="Arial"/>
                <w:b/>
                <w:color w:val="000000"/>
                <w:sz w:val="18"/>
                <w:szCs w:val="18"/>
                <w:lang w:val="en-AU"/>
              </w:rPr>
            </w:pPr>
          </w:p>
        </w:tc>
        <w:tc>
          <w:tcPr>
            <w:tcW w:w="1266" w:type="dxa"/>
            <w:tcBorders>
              <w:top w:val="single" w:sz="4" w:space="0" w:color="auto"/>
              <w:left w:val="nil"/>
              <w:bottom w:val="single" w:sz="4" w:space="0" w:color="auto"/>
              <w:right w:val="nil"/>
            </w:tcBorders>
            <w:shd w:val="clear" w:color="auto" w:fill="FFFFFF"/>
            <w:noWrap/>
            <w:vAlign w:val="bottom"/>
          </w:tcPr>
          <w:p w14:paraId="7D048DB5" w14:textId="77777777" w:rsidR="003F38ED" w:rsidRPr="003F38ED" w:rsidRDefault="003F38ED" w:rsidP="003F38ED">
            <w:pPr>
              <w:spacing w:after="0" w:line="240" w:lineRule="auto"/>
              <w:ind w:right="-68"/>
              <w:jc w:val="right"/>
              <w:rPr>
                <w:rFonts w:ascii="Arial" w:eastAsia="Times New Roman" w:hAnsi="Arial" w:cs="Arial"/>
                <w:b/>
                <w:color w:val="auto"/>
                <w:sz w:val="18"/>
                <w:szCs w:val="18"/>
                <w:lang w:val="en-AU"/>
              </w:rPr>
            </w:pPr>
          </w:p>
        </w:tc>
      </w:tr>
      <w:tr w:rsidR="003F38ED" w:rsidRPr="003F38ED" w14:paraId="6FBC1949" w14:textId="77777777" w:rsidTr="003F38ED">
        <w:trPr>
          <w:trHeight w:val="20"/>
        </w:trPr>
        <w:tc>
          <w:tcPr>
            <w:tcW w:w="5397" w:type="dxa"/>
            <w:tcBorders>
              <w:left w:val="nil"/>
              <w:right w:val="nil"/>
            </w:tcBorders>
            <w:shd w:val="clear" w:color="auto" w:fill="FFFFFF"/>
            <w:vAlign w:val="bottom"/>
          </w:tcPr>
          <w:p w14:paraId="2612F4DB"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Total Liabilities</w:t>
            </w:r>
          </w:p>
        </w:tc>
        <w:tc>
          <w:tcPr>
            <w:tcW w:w="715" w:type="dxa"/>
            <w:tcBorders>
              <w:left w:val="nil"/>
              <w:right w:val="nil"/>
            </w:tcBorders>
            <w:shd w:val="clear" w:color="auto" w:fill="FFFFFF"/>
            <w:vAlign w:val="bottom"/>
          </w:tcPr>
          <w:p w14:paraId="4048340D"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single" w:sz="4" w:space="0" w:color="auto"/>
              <w:left w:val="nil"/>
              <w:bottom w:val="single" w:sz="4" w:space="0" w:color="auto"/>
              <w:right w:val="nil"/>
            </w:tcBorders>
            <w:shd w:val="clear" w:color="auto" w:fill="FFFFFF"/>
            <w:vAlign w:val="bottom"/>
          </w:tcPr>
          <w:p w14:paraId="2D019CE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bCs/>
                <w:color w:val="auto"/>
                <w:sz w:val="18"/>
                <w:szCs w:val="18"/>
                <w:lang w:val="en-AU"/>
              </w:rPr>
              <w:t>311,605</w:t>
            </w:r>
          </w:p>
        </w:tc>
        <w:tc>
          <w:tcPr>
            <w:tcW w:w="1260" w:type="dxa"/>
            <w:tcBorders>
              <w:top w:val="single" w:sz="4" w:space="0" w:color="auto"/>
              <w:left w:val="nil"/>
              <w:bottom w:val="single" w:sz="4" w:space="0" w:color="auto"/>
              <w:right w:val="nil"/>
            </w:tcBorders>
            <w:shd w:val="clear" w:color="auto" w:fill="FFFFFF"/>
            <w:vAlign w:val="bottom"/>
          </w:tcPr>
          <w:p w14:paraId="31EE37DE" w14:textId="77777777" w:rsidR="003F38ED" w:rsidRPr="003F38ED" w:rsidRDefault="003F38ED" w:rsidP="003F38ED">
            <w:pPr>
              <w:spacing w:after="0" w:line="240" w:lineRule="auto"/>
              <w:jc w:val="right"/>
              <w:rPr>
                <w:rFonts w:ascii="Arial" w:eastAsia="Calibri" w:hAnsi="Arial" w:cs="Arial"/>
                <w:b/>
                <w:color w:val="000000"/>
                <w:sz w:val="18"/>
                <w:szCs w:val="18"/>
                <w:lang w:val="en-AU" w:eastAsia="en-US"/>
              </w:rPr>
            </w:pPr>
            <w:r w:rsidRPr="003F38ED">
              <w:rPr>
                <w:rFonts w:ascii="Arial" w:eastAsia="Calibri" w:hAnsi="Arial" w:cs="Arial"/>
                <w:b/>
                <w:color w:val="000000"/>
                <w:sz w:val="18"/>
                <w:szCs w:val="18"/>
                <w:lang w:val="en-AU" w:eastAsia="en-US"/>
              </w:rPr>
              <w:t>347,282</w:t>
            </w:r>
          </w:p>
        </w:tc>
        <w:tc>
          <w:tcPr>
            <w:tcW w:w="1266" w:type="dxa"/>
            <w:tcBorders>
              <w:top w:val="single" w:sz="4" w:space="0" w:color="auto"/>
              <w:left w:val="nil"/>
              <w:bottom w:val="single" w:sz="4" w:space="0" w:color="auto"/>
              <w:right w:val="nil"/>
            </w:tcBorders>
            <w:shd w:val="clear" w:color="auto" w:fill="FFFFFF"/>
            <w:vAlign w:val="bottom"/>
          </w:tcPr>
          <w:p w14:paraId="1AE21E96"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282,203</w:t>
            </w:r>
          </w:p>
        </w:tc>
      </w:tr>
      <w:tr w:rsidR="003F38ED" w:rsidRPr="003F38ED" w14:paraId="0EA77DAC" w14:textId="77777777" w:rsidTr="003F38ED">
        <w:trPr>
          <w:trHeight w:val="20"/>
        </w:trPr>
        <w:tc>
          <w:tcPr>
            <w:tcW w:w="5397" w:type="dxa"/>
            <w:tcBorders>
              <w:top w:val="nil"/>
              <w:left w:val="nil"/>
              <w:bottom w:val="nil"/>
              <w:right w:val="nil"/>
            </w:tcBorders>
            <w:shd w:val="clear" w:color="auto" w:fill="FFFFFF"/>
            <w:vAlign w:val="bottom"/>
          </w:tcPr>
          <w:p w14:paraId="1E22F996"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715" w:type="dxa"/>
            <w:tcBorders>
              <w:top w:val="nil"/>
              <w:left w:val="nil"/>
              <w:bottom w:val="nil"/>
              <w:right w:val="nil"/>
            </w:tcBorders>
            <w:shd w:val="clear" w:color="auto" w:fill="FFFFFF"/>
            <w:vAlign w:val="bottom"/>
          </w:tcPr>
          <w:p w14:paraId="3ECDB0E8"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3" w:type="dxa"/>
            <w:tcBorders>
              <w:top w:val="nil"/>
              <w:left w:val="nil"/>
              <w:bottom w:val="nil"/>
              <w:right w:val="nil"/>
            </w:tcBorders>
            <w:shd w:val="clear" w:color="auto" w:fill="FFFFFF"/>
            <w:noWrap/>
            <w:vAlign w:val="bottom"/>
          </w:tcPr>
          <w:p w14:paraId="74087DB5" w14:textId="77777777" w:rsidR="003F38ED" w:rsidRPr="003F38ED" w:rsidRDefault="003F38ED" w:rsidP="003F38ED">
            <w:pPr>
              <w:spacing w:after="0" w:line="240" w:lineRule="auto"/>
              <w:ind w:right="-68"/>
              <w:jc w:val="right"/>
              <w:rPr>
                <w:rFonts w:ascii="Arial" w:eastAsia="Times New Roman" w:hAnsi="Arial" w:cs="Arial"/>
                <w:b/>
                <w:color w:val="auto"/>
                <w:sz w:val="18"/>
                <w:szCs w:val="18"/>
                <w:lang w:val="en-AU"/>
              </w:rPr>
            </w:pPr>
          </w:p>
        </w:tc>
        <w:tc>
          <w:tcPr>
            <w:tcW w:w="1260" w:type="dxa"/>
            <w:tcBorders>
              <w:top w:val="nil"/>
              <w:left w:val="nil"/>
              <w:bottom w:val="nil"/>
              <w:right w:val="nil"/>
            </w:tcBorders>
            <w:shd w:val="clear" w:color="auto" w:fill="FFFFFF"/>
            <w:noWrap/>
            <w:vAlign w:val="bottom"/>
          </w:tcPr>
          <w:p w14:paraId="04CB8943" w14:textId="77777777" w:rsidR="003F38ED" w:rsidRPr="003F38ED" w:rsidRDefault="003F38ED" w:rsidP="003F38ED">
            <w:pPr>
              <w:spacing w:after="0" w:line="240" w:lineRule="auto"/>
              <w:jc w:val="right"/>
              <w:rPr>
                <w:rFonts w:ascii="Arial" w:eastAsia="Times New Roman" w:hAnsi="Arial" w:cs="Arial"/>
                <w:b/>
                <w:color w:val="000000"/>
                <w:sz w:val="18"/>
                <w:szCs w:val="18"/>
                <w:lang w:val="en-AU"/>
              </w:rPr>
            </w:pPr>
          </w:p>
        </w:tc>
        <w:tc>
          <w:tcPr>
            <w:tcW w:w="1266" w:type="dxa"/>
            <w:tcBorders>
              <w:top w:val="nil"/>
              <w:left w:val="nil"/>
              <w:bottom w:val="nil"/>
              <w:right w:val="nil"/>
            </w:tcBorders>
            <w:shd w:val="clear" w:color="auto" w:fill="FFFFFF"/>
            <w:noWrap/>
            <w:vAlign w:val="bottom"/>
          </w:tcPr>
          <w:p w14:paraId="0F5D703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224AE29F" w14:textId="77777777" w:rsidTr="003F38ED">
        <w:trPr>
          <w:trHeight w:val="20"/>
        </w:trPr>
        <w:tc>
          <w:tcPr>
            <w:tcW w:w="5397" w:type="dxa"/>
            <w:tcBorders>
              <w:left w:val="nil"/>
              <w:right w:val="nil"/>
            </w:tcBorders>
            <w:shd w:val="clear" w:color="auto" w:fill="FFFFFF"/>
            <w:vAlign w:val="bottom"/>
          </w:tcPr>
          <w:p w14:paraId="4A8CFB16"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Net Assets</w:t>
            </w:r>
          </w:p>
        </w:tc>
        <w:tc>
          <w:tcPr>
            <w:tcW w:w="715" w:type="dxa"/>
            <w:tcBorders>
              <w:left w:val="nil"/>
              <w:right w:val="nil"/>
            </w:tcBorders>
            <w:shd w:val="clear" w:color="auto" w:fill="FFFFFF"/>
            <w:vAlign w:val="bottom"/>
          </w:tcPr>
          <w:p w14:paraId="1D895F66"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single" w:sz="4" w:space="0" w:color="auto"/>
              <w:left w:val="nil"/>
              <w:bottom w:val="double" w:sz="6" w:space="0" w:color="auto"/>
              <w:right w:val="nil"/>
            </w:tcBorders>
            <w:shd w:val="clear" w:color="auto" w:fill="FFFFFF"/>
            <w:vAlign w:val="bottom"/>
          </w:tcPr>
          <w:p w14:paraId="3A1D8ED1"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bCs/>
                <w:color w:val="auto"/>
                <w:sz w:val="18"/>
                <w:szCs w:val="18"/>
                <w:lang w:val="en-AU"/>
              </w:rPr>
              <w:t>97,779</w:t>
            </w:r>
          </w:p>
        </w:tc>
        <w:tc>
          <w:tcPr>
            <w:tcW w:w="1260" w:type="dxa"/>
            <w:tcBorders>
              <w:top w:val="single" w:sz="4" w:space="0" w:color="auto"/>
              <w:left w:val="nil"/>
              <w:bottom w:val="double" w:sz="6" w:space="0" w:color="auto"/>
              <w:right w:val="nil"/>
            </w:tcBorders>
            <w:shd w:val="clear" w:color="auto" w:fill="FFFFFF"/>
            <w:vAlign w:val="bottom"/>
          </w:tcPr>
          <w:p w14:paraId="1AFCBBB3"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b/>
                <w:color w:val="000000"/>
                <w:sz w:val="18"/>
                <w:szCs w:val="18"/>
                <w:lang w:val="en-AU" w:eastAsia="en-US"/>
              </w:rPr>
              <w:t>63,801</w:t>
            </w:r>
          </w:p>
        </w:tc>
        <w:tc>
          <w:tcPr>
            <w:tcW w:w="1266" w:type="dxa"/>
            <w:tcBorders>
              <w:top w:val="single" w:sz="4" w:space="0" w:color="auto"/>
              <w:left w:val="nil"/>
              <w:bottom w:val="double" w:sz="6" w:space="0" w:color="auto"/>
              <w:right w:val="nil"/>
            </w:tcBorders>
            <w:shd w:val="clear" w:color="auto" w:fill="FFFFFF"/>
            <w:vAlign w:val="bottom"/>
          </w:tcPr>
          <w:p w14:paraId="6CB97859"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92,314</w:t>
            </w:r>
          </w:p>
        </w:tc>
      </w:tr>
      <w:tr w:rsidR="003F38ED" w:rsidRPr="003F38ED" w14:paraId="0E3D4B12" w14:textId="77777777" w:rsidTr="003F38ED">
        <w:trPr>
          <w:trHeight w:val="20"/>
        </w:trPr>
        <w:tc>
          <w:tcPr>
            <w:tcW w:w="5397" w:type="dxa"/>
            <w:tcBorders>
              <w:left w:val="nil"/>
              <w:bottom w:val="nil"/>
              <w:right w:val="nil"/>
            </w:tcBorders>
            <w:shd w:val="clear" w:color="auto" w:fill="FFFFFF"/>
            <w:vAlign w:val="bottom"/>
          </w:tcPr>
          <w:p w14:paraId="2DE4C401"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Equity</w:t>
            </w:r>
          </w:p>
        </w:tc>
        <w:tc>
          <w:tcPr>
            <w:tcW w:w="715" w:type="dxa"/>
            <w:tcBorders>
              <w:left w:val="nil"/>
              <w:bottom w:val="nil"/>
              <w:right w:val="nil"/>
            </w:tcBorders>
            <w:shd w:val="clear" w:color="auto" w:fill="FFFFFF"/>
            <w:vAlign w:val="bottom"/>
          </w:tcPr>
          <w:p w14:paraId="3C4036D3"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3" w:type="dxa"/>
            <w:tcBorders>
              <w:top w:val="double" w:sz="6" w:space="0" w:color="003366"/>
              <w:left w:val="nil"/>
              <w:bottom w:val="nil"/>
              <w:right w:val="nil"/>
            </w:tcBorders>
            <w:shd w:val="clear" w:color="auto" w:fill="FFFFFF"/>
            <w:noWrap/>
            <w:vAlign w:val="bottom"/>
          </w:tcPr>
          <w:p w14:paraId="06841C0A"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60" w:type="dxa"/>
            <w:tcBorders>
              <w:top w:val="nil"/>
              <w:left w:val="nil"/>
              <w:bottom w:val="nil"/>
              <w:right w:val="nil"/>
            </w:tcBorders>
            <w:shd w:val="clear" w:color="auto" w:fill="FFFFFF"/>
            <w:noWrap/>
            <w:vAlign w:val="bottom"/>
          </w:tcPr>
          <w:p w14:paraId="153467E1" w14:textId="77777777" w:rsidR="003F38ED" w:rsidRPr="003F38ED" w:rsidRDefault="003F38ED" w:rsidP="003F38ED">
            <w:pPr>
              <w:spacing w:after="0" w:line="240" w:lineRule="auto"/>
              <w:jc w:val="right"/>
              <w:rPr>
                <w:rFonts w:ascii="Arial" w:eastAsia="Times New Roman" w:hAnsi="Arial" w:cs="Arial"/>
                <w:b/>
                <w:color w:val="000000"/>
                <w:sz w:val="18"/>
                <w:szCs w:val="18"/>
                <w:lang w:val="en-AU"/>
              </w:rPr>
            </w:pPr>
          </w:p>
        </w:tc>
        <w:tc>
          <w:tcPr>
            <w:tcW w:w="1266" w:type="dxa"/>
            <w:tcBorders>
              <w:top w:val="double" w:sz="6" w:space="0" w:color="003366"/>
              <w:left w:val="nil"/>
              <w:bottom w:val="nil"/>
              <w:right w:val="nil"/>
            </w:tcBorders>
            <w:shd w:val="clear" w:color="auto" w:fill="FFFFFF"/>
            <w:noWrap/>
            <w:vAlign w:val="bottom"/>
          </w:tcPr>
          <w:p w14:paraId="1681D7B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0B6B3B62" w14:textId="77777777" w:rsidTr="003F38ED">
        <w:trPr>
          <w:trHeight w:val="20"/>
        </w:trPr>
        <w:tc>
          <w:tcPr>
            <w:tcW w:w="5397" w:type="dxa"/>
            <w:tcBorders>
              <w:top w:val="nil"/>
              <w:left w:val="nil"/>
              <w:bottom w:val="nil"/>
              <w:right w:val="nil"/>
            </w:tcBorders>
            <w:shd w:val="clear" w:color="auto" w:fill="FFFFFF"/>
            <w:vAlign w:val="bottom"/>
          </w:tcPr>
          <w:p w14:paraId="60759EDE"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color w:val="auto"/>
                <w:sz w:val="18"/>
                <w:szCs w:val="18"/>
                <w:lang w:val="en-AU"/>
              </w:rPr>
              <w:t>Accumulated Funds</w:t>
            </w:r>
          </w:p>
        </w:tc>
        <w:tc>
          <w:tcPr>
            <w:tcW w:w="715" w:type="dxa"/>
            <w:tcBorders>
              <w:top w:val="nil"/>
              <w:left w:val="nil"/>
              <w:bottom w:val="nil"/>
              <w:right w:val="nil"/>
            </w:tcBorders>
            <w:shd w:val="clear" w:color="auto" w:fill="FFFFFF"/>
            <w:vAlign w:val="bottom"/>
          </w:tcPr>
          <w:p w14:paraId="1B5CA6BB"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nil"/>
              <w:left w:val="nil"/>
              <w:right w:val="nil"/>
            </w:tcBorders>
            <w:shd w:val="clear" w:color="auto" w:fill="FFFFFF"/>
            <w:vAlign w:val="bottom"/>
          </w:tcPr>
          <w:p w14:paraId="4C7525FB" w14:textId="77777777" w:rsidR="003F38ED" w:rsidRPr="003F38ED" w:rsidRDefault="003F38ED" w:rsidP="003F38ED">
            <w:pPr>
              <w:spacing w:after="0" w:line="240" w:lineRule="auto"/>
              <w:contextualSpacing/>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97,599 </w:t>
            </w:r>
          </w:p>
        </w:tc>
        <w:tc>
          <w:tcPr>
            <w:tcW w:w="1260" w:type="dxa"/>
            <w:tcBorders>
              <w:top w:val="nil"/>
              <w:left w:val="nil"/>
              <w:right w:val="nil"/>
            </w:tcBorders>
            <w:shd w:val="clear" w:color="auto" w:fill="FFFFFF"/>
            <w:vAlign w:val="bottom"/>
          </w:tcPr>
          <w:p w14:paraId="453EE40D"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63,801</w:t>
            </w:r>
          </w:p>
        </w:tc>
        <w:tc>
          <w:tcPr>
            <w:tcW w:w="1266" w:type="dxa"/>
            <w:tcBorders>
              <w:top w:val="nil"/>
              <w:left w:val="nil"/>
              <w:right w:val="nil"/>
            </w:tcBorders>
            <w:shd w:val="clear" w:color="auto" w:fill="FFFFFF"/>
            <w:vAlign w:val="bottom"/>
          </w:tcPr>
          <w:p w14:paraId="18BFA6B5"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92,134</w:t>
            </w:r>
          </w:p>
        </w:tc>
      </w:tr>
      <w:tr w:rsidR="003F38ED" w:rsidRPr="003F38ED" w14:paraId="673A2CE9" w14:textId="77777777" w:rsidTr="003F38ED">
        <w:trPr>
          <w:trHeight w:val="20"/>
        </w:trPr>
        <w:tc>
          <w:tcPr>
            <w:tcW w:w="5397" w:type="dxa"/>
            <w:tcBorders>
              <w:top w:val="nil"/>
              <w:left w:val="nil"/>
              <w:bottom w:val="nil"/>
              <w:right w:val="nil"/>
            </w:tcBorders>
            <w:shd w:val="clear" w:color="auto" w:fill="FFFFFF"/>
            <w:vAlign w:val="bottom"/>
          </w:tcPr>
          <w:p w14:paraId="2BD1D8F9"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Asset Revaluation Surplus</w:t>
            </w:r>
          </w:p>
        </w:tc>
        <w:tc>
          <w:tcPr>
            <w:tcW w:w="715" w:type="dxa"/>
            <w:tcBorders>
              <w:top w:val="nil"/>
              <w:left w:val="nil"/>
              <w:bottom w:val="nil"/>
              <w:right w:val="nil"/>
            </w:tcBorders>
            <w:shd w:val="clear" w:color="auto" w:fill="FFFFFF"/>
            <w:vAlign w:val="bottom"/>
          </w:tcPr>
          <w:p w14:paraId="2C7D8F0A"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nil"/>
              <w:left w:val="nil"/>
              <w:bottom w:val="single" w:sz="4" w:space="0" w:color="auto"/>
              <w:right w:val="nil"/>
            </w:tcBorders>
            <w:shd w:val="clear" w:color="auto" w:fill="FFFFFF"/>
            <w:noWrap/>
            <w:vAlign w:val="bottom"/>
          </w:tcPr>
          <w:p w14:paraId="67E55084" w14:textId="77777777" w:rsidR="003F38ED" w:rsidRPr="003F38ED" w:rsidRDefault="003F38ED" w:rsidP="003F38ED">
            <w:pPr>
              <w:spacing w:after="0" w:line="240" w:lineRule="auto"/>
              <w:contextualSpacing/>
              <w:jc w:val="right"/>
              <w:rPr>
                <w:rFonts w:ascii="Arial" w:eastAsia="Times New Roman" w:hAnsi="Arial" w:cs="Arial"/>
                <w:color w:val="auto"/>
                <w:sz w:val="18"/>
                <w:szCs w:val="18"/>
                <w:lang w:val="en-AU"/>
              </w:rPr>
            </w:pPr>
            <w:r w:rsidRPr="003F38ED">
              <w:rPr>
                <w:rFonts w:ascii="Arial" w:eastAsia="SimSun" w:hAnsi="Arial" w:cs="Arial"/>
                <w:color w:val="auto"/>
                <w:sz w:val="18"/>
                <w:szCs w:val="18"/>
                <w:lang w:val="en-AU" w:eastAsia="en-US"/>
              </w:rPr>
              <w:t xml:space="preserve"> 180 </w:t>
            </w:r>
          </w:p>
        </w:tc>
        <w:tc>
          <w:tcPr>
            <w:tcW w:w="1260" w:type="dxa"/>
            <w:tcBorders>
              <w:top w:val="nil"/>
              <w:left w:val="nil"/>
              <w:bottom w:val="single" w:sz="4" w:space="0" w:color="auto"/>
              <w:right w:val="nil"/>
            </w:tcBorders>
            <w:shd w:val="clear" w:color="auto" w:fill="FFFFFF"/>
            <w:noWrap/>
            <w:vAlign w:val="bottom"/>
          </w:tcPr>
          <w:p w14:paraId="634EC8A5"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r w:rsidRPr="003F38ED">
              <w:rPr>
                <w:rFonts w:ascii="Arial" w:eastAsia="Times New Roman" w:hAnsi="Arial" w:cs="Arial"/>
                <w:color w:val="000000"/>
                <w:sz w:val="18"/>
                <w:szCs w:val="18"/>
                <w:lang w:val="en-AU"/>
              </w:rPr>
              <w:t>-</w:t>
            </w:r>
          </w:p>
        </w:tc>
        <w:tc>
          <w:tcPr>
            <w:tcW w:w="1266" w:type="dxa"/>
            <w:tcBorders>
              <w:top w:val="nil"/>
              <w:left w:val="nil"/>
              <w:bottom w:val="single" w:sz="4" w:space="0" w:color="auto"/>
              <w:right w:val="nil"/>
            </w:tcBorders>
            <w:shd w:val="clear" w:color="auto" w:fill="FFFFFF"/>
            <w:noWrap/>
            <w:vAlign w:val="bottom"/>
          </w:tcPr>
          <w:p w14:paraId="607442F9"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180</w:t>
            </w:r>
          </w:p>
        </w:tc>
      </w:tr>
      <w:tr w:rsidR="003F38ED" w:rsidRPr="003F38ED" w14:paraId="33CCA56E" w14:textId="77777777" w:rsidTr="003F38ED">
        <w:trPr>
          <w:trHeight w:val="20"/>
        </w:trPr>
        <w:tc>
          <w:tcPr>
            <w:tcW w:w="5397" w:type="dxa"/>
            <w:tcBorders>
              <w:top w:val="nil"/>
              <w:left w:val="nil"/>
              <w:right w:val="nil"/>
            </w:tcBorders>
            <w:shd w:val="clear" w:color="auto" w:fill="FFFFFF"/>
            <w:vAlign w:val="bottom"/>
          </w:tcPr>
          <w:p w14:paraId="3DD9DA69"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Total Equity</w:t>
            </w:r>
          </w:p>
        </w:tc>
        <w:tc>
          <w:tcPr>
            <w:tcW w:w="715" w:type="dxa"/>
            <w:tcBorders>
              <w:top w:val="nil"/>
              <w:left w:val="nil"/>
              <w:right w:val="nil"/>
            </w:tcBorders>
            <w:shd w:val="clear" w:color="auto" w:fill="FFFFFF"/>
            <w:vAlign w:val="bottom"/>
          </w:tcPr>
          <w:p w14:paraId="699CB9F8"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3" w:type="dxa"/>
            <w:tcBorders>
              <w:top w:val="single" w:sz="4" w:space="0" w:color="auto"/>
              <w:left w:val="nil"/>
              <w:bottom w:val="double" w:sz="4" w:space="0" w:color="auto"/>
              <w:right w:val="nil"/>
            </w:tcBorders>
            <w:shd w:val="clear" w:color="auto" w:fill="FFFFFF"/>
            <w:noWrap/>
            <w:vAlign w:val="bottom"/>
          </w:tcPr>
          <w:p w14:paraId="3C975867" w14:textId="77777777" w:rsidR="003F38ED" w:rsidRPr="003F38ED" w:rsidRDefault="003F38ED" w:rsidP="003F38ED">
            <w:pPr>
              <w:spacing w:after="0" w:line="240" w:lineRule="auto"/>
              <w:contextualSpacing/>
              <w:jc w:val="right"/>
              <w:rPr>
                <w:rFonts w:ascii="Arial" w:eastAsia="Times New Roman" w:hAnsi="Arial" w:cs="Arial"/>
                <w:b/>
                <w:color w:val="auto"/>
                <w:sz w:val="18"/>
                <w:szCs w:val="18"/>
                <w:lang w:val="en-AU"/>
              </w:rPr>
            </w:pPr>
            <w:r w:rsidRPr="003F38ED">
              <w:rPr>
                <w:rFonts w:ascii="Arial" w:eastAsia="SimSun" w:hAnsi="Arial" w:cs="Arial"/>
                <w:b/>
                <w:bCs/>
                <w:color w:val="auto"/>
                <w:sz w:val="18"/>
                <w:szCs w:val="18"/>
                <w:lang w:val="en-AU" w:eastAsia="en-US"/>
              </w:rPr>
              <w:t xml:space="preserve">           97,779 </w:t>
            </w:r>
          </w:p>
        </w:tc>
        <w:tc>
          <w:tcPr>
            <w:tcW w:w="1260" w:type="dxa"/>
            <w:tcBorders>
              <w:top w:val="single" w:sz="4" w:space="0" w:color="auto"/>
              <w:left w:val="nil"/>
              <w:bottom w:val="double" w:sz="4" w:space="0" w:color="auto"/>
              <w:right w:val="nil"/>
            </w:tcBorders>
            <w:shd w:val="clear" w:color="auto" w:fill="FFFFFF"/>
            <w:noWrap/>
            <w:vAlign w:val="bottom"/>
          </w:tcPr>
          <w:p w14:paraId="1527442F" w14:textId="77777777" w:rsidR="003F38ED" w:rsidRPr="003F38ED" w:rsidRDefault="003F38ED" w:rsidP="003F38ED">
            <w:pPr>
              <w:spacing w:after="0" w:line="240" w:lineRule="auto"/>
              <w:jc w:val="right"/>
              <w:rPr>
                <w:rFonts w:ascii="Arial" w:eastAsia="Calibri" w:hAnsi="Arial" w:cs="Arial"/>
                <w:b/>
                <w:color w:val="000000"/>
                <w:sz w:val="18"/>
                <w:szCs w:val="18"/>
                <w:lang w:val="en-AU" w:eastAsia="en-US"/>
              </w:rPr>
            </w:pPr>
            <w:r w:rsidRPr="003F38ED">
              <w:rPr>
                <w:rFonts w:ascii="Arial" w:eastAsia="Calibri" w:hAnsi="Arial" w:cs="Arial"/>
                <w:b/>
                <w:color w:val="000000"/>
                <w:sz w:val="18"/>
                <w:szCs w:val="18"/>
                <w:lang w:val="en-AU" w:eastAsia="en-US"/>
              </w:rPr>
              <w:t>63,801</w:t>
            </w:r>
          </w:p>
        </w:tc>
        <w:tc>
          <w:tcPr>
            <w:tcW w:w="1266" w:type="dxa"/>
            <w:tcBorders>
              <w:top w:val="single" w:sz="4" w:space="0" w:color="auto"/>
              <w:left w:val="nil"/>
              <w:bottom w:val="double" w:sz="4" w:space="0" w:color="auto"/>
              <w:right w:val="nil"/>
            </w:tcBorders>
            <w:shd w:val="clear" w:color="auto" w:fill="FFFFFF"/>
            <w:noWrap/>
            <w:vAlign w:val="bottom"/>
          </w:tcPr>
          <w:p w14:paraId="1E6F6D9B"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92,314</w:t>
            </w:r>
          </w:p>
        </w:tc>
      </w:tr>
    </w:tbl>
    <w:p w14:paraId="4CF349CC" w14:textId="77777777" w:rsidR="003F38ED" w:rsidRPr="003F38ED" w:rsidRDefault="003F38ED" w:rsidP="003F38ED">
      <w:pPr>
        <w:adjustRightInd w:val="0"/>
        <w:snapToGrid w:val="0"/>
        <w:spacing w:before="240"/>
        <w:rPr>
          <w:rFonts w:ascii="Arial" w:eastAsia="Times New Roman" w:hAnsi="Arial" w:cs="Arial"/>
          <w:color w:val="auto"/>
          <w:lang w:val="en-AU"/>
        </w:rPr>
      </w:pPr>
      <w:r w:rsidRPr="003F38ED">
        <w:rPr>
          <w:rFonts w:ascii="Arial" w:eastAsia="Times New Roman" w:hAnsi="Arial" w:cs="Arial"/>
          <w:color w:val="auto"/>
          <w:lang w:val="en-AU"/>
        </w:rPr>
        <w:t>The above Balance Sheet is to be read in conjunction with the accompanying notes.</w:t>
      </w:r>
    </w:p>
    <w:p w14:paraId="2C62F2F9" w14:textId="77777777" w:rsidR="003F38ED" w:rsidRPr="003F38ED" w:rsidRDefault="003F38ED" w:rsidP="003F38ED">
      <w:pPr>
        <w:adjustRightInd w:val="0"/>
        <w:snapToGrid w:val="0"/>
        <w:spacing w:before="240"/>
        <w:rPr>
          <w:rFonts w:ascii="Arial" w:eastAsia="Times New Roman" w:hAnsi="Arial" w:cs="Arial"/>
          <w:color w:val="auto"/>
          <w:lang w:val="en-AU"/>
        </w:rPr>
      </w:pPr>
      <w:r w:rsidRPr="003F38ED">
        <w:rPr>
          <w:rFonts w:ascii="Arial" w:eastAsia="Times New Roman" w:hAnsi="Arial" w:cs="Arial"/>
          <w:color w:val="auto"/>
          <w:lang w:val="en-AU"/>
        </w:rPr>
        <w:t>The information contained in this statement may not add up due to rounding.</w:t>
      </w:r>
    </w:p>
    <w:p w14:paraId="6B100875" w14:textId="77777777" w:rsidR="003F38ED" w:rsidRPr="003F38ED" w:rsidRDefault="003F38ED" w:rsidP="003F38ED">
      <w:pPr>
        <w:adjustRightInd w:val="0"/>
        <w:snapToGrid w:val="0"/>
        <w:spacing w:before="240"/>
        <w:rPr>
          <w:rFonts w:ascii="Arial" w:eastAsia="Times New Roman" w:hAnsi="Arial" w:cs="Arial"/>
          <w:color w:val="auto"/>
          <w:lang w:val="en-AU"/>
        </w:rPr>
      </w:pPr>
    </w:p>
    <w:p w14:paraId="61214DB7" w14:textId="77777777" w:rsidR="003F38ED" w:rsidRPr="003F38ED" w:rsidRDefault="003F38ED" w:rsidP="003F38ED">
      <w:pPr>
        <w:tabs>
          <w:tab w:val="left" w:pos="3544"/>
        </w:tabs>
        <w:spacing w:before="240" w:after="0" w:line="240" w:lineRule="auto"/>
        <w:ind w:left="284"/>
        <w:jc w:val="both"/>
        <w:rPr>
          <w:rFonts w:ascii="Arial" w:eastAsia="Times New Roman" w:hAnsi="Arial" w:cs="Arial"/>
          <w:bCs/>
          <w:color w:val="auto"/>
          <w:sz w:val="16"/>
          <w:szCs w:val="16"/>
          <w:lang w:val="en-AU"/>
        </w:rPr>
      </w:pPr>
    </w:p>
    <w:p w14:paraId="55AF3DD2" w14:textId="77777777" w:rsidR="003F38ED" w:rsidRPr="003F38ED" w:rsidRDefault="003F38ED" w:rsidP="003F38ED">
      <w:pPr>
        <w:keepNext/>
        <w:spacing w:after="120" w:line="240" w:lineRule="auto"/>
        <w:jc w:val="center"/>
        <w:outlineLvl w:val="0"/>
        <w:rPr>
          <w:rFonts w:ascii="Arial" w:eastAsia="Times New Roman" w:hAnsi="Arial" w:cs="Arial"/>
          <w:b/>
          <w:bCs/>
          <w:color w:val="auto"/>
          <w:kern w:val="32"/>
          <w:sz w:val="24"/>
          <w:szCs w:val="24"/>
          <w:lang w:val="en-AU" w:eastAsia="en-US"/>
        </w:rPr>
      </w:pPr>
      <w:r w:rsidRPr="003F38ED">
        <w:rPr>
          <w:rFonts w:ascii="Arial" w:eastAsia="Times New Roman" w:hAnsi="Arial" w:cs="Arial"/>
          <w:b/>
          <w:color w:val="auto"/>
          <w:kern w:val="32"/>
          <w:sz w:val="16"/>
          <w:szCs w:val="16"/>
          <w:lang w:val="en-AU"/>
        </w:rPr>
        <w:br w:type="page"/>
      </w:r>
      <w:bookmarkStart w:id="86" w:name="_Toc240533510"/>
      <w:r w:rsidRPr="003F38ED">
        <w:rPr>
          <w:rFonts w:ascii="Arial" w:eastAsia="Times New Roman" w:hAnsi="Arial" w:cs="Arial"/>
          <w:b/>
          <w:bCs/>
          <w:color w:val="auto"/>
          <w:kern w:val="32"/>
          <w:sz w:val="24"/>
          <w:szCs w:val="24"/>
          <w:lang w:val="en-AU" w:eastAsia="en-US"/>
        </w:rPr>
        <w:lastRenderedPageBreak/>
        <w:t>Long Service Leave Authority</w:t>
      </w:r>
      <w:bookmarkEnd w:id="86"/>
    </w:p>
    <w:p w14:paraId="3EE3810C" w14:textId="77777777" w:rsidR="003F38ED" w:rsidRPr="003F38ED" w:rsidRDefault="003F38ED" w:rsidP="003F38ED">
      <w:pPr>
        <w:keepNext/>
        <w:spacing w:after="120" w:line="240" w:lineRule="auto"/>
        <w:jc w:val="center"/>
        <w:outlineLvl w:val="0"/>
        <w:rPr>
          <w:rFonts w:ascii="Arial" w:eastAsia="Times New Roman" w:hAnsi="Arial" w:cs="Arial"/>
          <w:b/>
          <w:bCs/>
          <w:color w:val="auto"/>
          <w:kern w:val="32"/>
          <w:sz w:val="24"/>
          <w:szCs w:val="24"/>
          <w:lang w:val="en-AU" w:eastAsia="en-US"/>
        </w:rPr>
      </w:pPr>
      <w:bookmarkStart w:id="87" w:name="_Toc240533511"/>
      <w:r w:rsidRPr="003F38ED">
        <w:rPr>
          <w:rFonts w:ascii="Arial" w:eastAsia="Times New Roman" w:hAnsi="Arial" w:cs="Arial"/>
          <w:b/>
          <w:bCs/>
          <w:color w:val="auto"/>
          <w:kern w:val="32"/>
          <w:sz w:val="24"/>
          <w:szCs w:val="24"/>
          <w:lang w:val="en-AU" w:eastAsia="en-US"/>
        </w:rPr>
        <w:t>Statement of Changes in Equity</w:t>
      </w:r>
      <w:bookmarkEnd w:id="87"/>
    </w:p>
    <w:p w14:paraId="38DA8872" w14:textId="77777777" w:rsidR="003F38ED" w:rsidRPr="003F38ED" w:rsidRDefault="003F38ED" w:rsidP="003F38ED">
      <w:pPr>
        <w:keepNext/>
        <w:spacing w:after="120" w:line="240" w:lineRule="auto"/>
        <w:jc w:val="center"/>
        <w:outlineLvl w:val="0"/>
        <w:rPr>
          <w:rFonts w:ascii="Arial" w:eastAsia="Times New Roman" w:hAnsi="Arial" w:cs="Arial"/>
          <w:b/>
          <w:bCs/>
          <w:color w:val="auto"/>
          <w:kern w:val="32"/>
          <w:sz w:val="24"/>
          <w:szCs w:val="24"/>
          <w:lang w:val="en-AU" w:eastAsia="en-US"/>
        </w:rPr>
      </w:pPr>
      <w:bookmarkStart w:id="88" w:name="_Toc240533512"/>
      <w:r w:rsidRPr="003F38ED">
        <w:rPr>
          <w:rFonts w:ascii="Arial" w:eastAsia="Times New Roman" w:hAnsi="Arial" w:cs="Arial"/>
          <w:b/>
          <w:bCs/>
          <w:color w:val="auto"/>
          <w:kern w:val="32"/>
          <w:sz w:val="24"/>
          <w:szCs w:val="24"/>
          <w:lang w:val="en-AU" w:eastAsia="en-US"/>
        </w:rPr>
        <w:t>For the Year Ended 30 June 2026</w:t>
      </w:r>
      <w:bookmarkEnd w:id="88"/>
    </w:p>
    <w:tbl>
      <w:tblPr>
        <w:tblW w:w="10053" w:type="dxa"/>
        <w:tblLayout w:type="fixed"/>
        <w:tblLook w:val="04A0" w:firstRow="1" w:lastRow="0" w:firstColumn="1" w:lastColumn="0" w:noHBand="0" w:noVBand="1"/>
      </w:tblPr>
      <w:tblGrid>
        <w:gridCol w:w="3706"/>
        <w:gridCol w:w="639"/>
        <w:gridCol w:w="1427"/>
        <w:gridCol w:w="1427"/>
        <w:gridCol w:w="1427"/>
        <w:gridCol w:w="1427"/>
      </w:tblGrid>
      <w:tr w:rsidR="003F38ED" w:rsidRPr="003F38ED" w14:paraId="614195DB" w14:textId="77777777" w:rsidTr="003F38ED">
        <w:trPr>
          <w:trHeight w:val="272"/>
        </w:trPr>
        <w:tc>
          <w:tcPr>
            <w:tcW w:w="3706" w:type="dxa"/>
            <w:shd w:val="clear" w:color="auto" w:fill="FFFFFF"/>
            <w:vAlign w:val="bottom"/>
          </w:tcPr>
          <w:p w14:paraId="32B14426" w14:textId="77777777" w:rsidR="003F38ED" w:rsidRPr="003F38ED" w:rsidRDefault="003F38ED" w:rsidP="003F38ED">
            <w:pPr>
              <w:spacing w:after="0" w:line="240" w:lineRule="auto"/>
              <w:rPr>
                <w:rFonts w:ascii="Arial" w:eastAsia="Times New Roman" w:hAnsi="Arial" w:cs="Arial"/>
                <w:b/>
                <w:color w:val="auto"/>
                <w:sz w:val="18"/>
                <w:szCs w:val="18"/>
                <w:lang w:val="en-AU"/>
              </w:rPr>
            </w:pPr>
            <w:bookmarkStart w:id="89" w:name="_Hlk41332603"/>
          </w:p>
          <w:p w14:paraId="55902B43"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639" w:type="dxa"/>
            <w:shd w:val="clear" w:color="auto" w:fill="FFFFFF"/>
            <w:vAlign w:val="bottom"/>
          </w:tcPr>
          <w:p w14:paraId="16D891CB"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427" w:type="dxa"/>
            <w:shd w:val="clear" w:color="auto" w:fill="FFFFFF"/>
            <w:vAlign w:val="bottom"/>
          </w:tcPr>
          <w:p w14:paraId="0D5DD42B"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Accumulated</w:t>
            </w:r>
          </w:p>
        </w:tc>
        <w:tc>
          <w:tcPr>
            <w:tcW w:w="1427" w:type="dxa"/>
            <w:shd w:val="clear" w:color="auto" w:fill="FFFFFF"/>
            <w:vAlign w:val="bottom"/>
          </w:tcPr>
          <w:p w14:paraId="63A12AAB"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Asset</w:t>
            </w:r>
          </w:p>
          <w:p w14:paraId="38EED30A"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Revaluation</w:t>
            </w:r>
          </w:p>
        </w:tc>
        <w:tc>
          <w:tcPr>
            <w:tcW w:w="1427" w:type="dxa"/>
            <w:shd w:val="clear" w:color="auto" w:fill="FFFFFF"/>
            <w:vAlign w:val="bottom"/>
          </w:tcPr>
          <w:p w14:paraId="3D22F63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Total</w:t>
            </w:r>
          </w:p>
        </w:tc>
        <w:tc>
          <w:tcPr>
            <w:tcW w:w="1427" w:type="dxa"/>
            <w:shd w:val="clear" w:color="auto" w:fill="FFFFFF"/>
            <w:noWrap/>
            <w:vAlign w:val="bottom"/>
          </w:tcPr>
          <w:p w14:paraId="014C255A"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 </w:t>
            </w:r>
          </w:p>
        </w:tc>
      </w:tr>
      <w:tr w:rsidR="003F38ED" w:rsidRPr="003F38ED" w14:paraId="24346134" w14:textId="77777777" w:rsidTr="003F38ED">
        <w:trPr>
          <w:trHeight w:val="272"/>
        </w:trPr>
        <w:tc>
          <w:tcPr>
            <w:tcW w:w="3706" w:type="dxa"/>
            <w:shd w:val="clear" w:color="auto" w:fill="FFFFFF"/>
            <w:vAlign w:val="bottom"/>
          </w:tcPr>
          <w:p w14:paraId="2C1EDA30"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639" w:type="dxa"/>
            <w:shd w:val="clear" w:color="auto" w:fill="FFFFFF"/>
            <w:vAlign w:val="bottom"/>
          </w:tcPr>
          <w:p w14:paraId="36A52A65"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427" w:type="dxa"/>
            <w:shd w:val="clear" w:color="auto" w:fill="FFFFFF"/>
            <w:vAlign w:val="bottom"/>
          </w:tcPr>
          <w:p w14:paraId="79583F0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Funds</w:t>
            </w:r>
          </w:p>
        </w:tc>
        <w:tc>
          <w:tcPr>
            <w:tcW w:w="1427" w:type="dxa"/>
            <w:shd w:val="clear" w:color="auto" w:fill="FFFFFF"/>
            <w:vAlign w:val="bottom"/>
          </w:tcPr>
          <w:p w14:paraId="4977D82C"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Surplus</w:t>
            </w:r>
          </w:p>
        </w:tc>
        <w:tc>
          <w:tcPr>
            <w:tcW w:w="1427" w:type="dxa"/>
            <w:shd w:val="clear" w:color="auto" w:fill="FFFFFF"/>
            <w:vAlign w:val="bottom"/>
          </w:tcPr>
          <w:p w14:paraId="15ACF2F8"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Equity</w:t>
            </w:r>
          </w:p>
        </w:tc>
        <w:tc>
          <w:tcPr>
            <w:tcW w:w="1427" w:type="dxa"/>
            <w:shd w:val="clear" w:color="auto" w:fill="FFFFFF"/>
            <w:vAlign w:val="bottom"/>
          </w:tcPr>
          <w:p w14:paraId="26F1C58C"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Original</w:t>
            </w:r>
          </w:p>
        </w:tc>
      </w:tr>
      <w:tr w:rsidR="003F38ED" w:rsidRPr="003F38ED" w14:paraId="58B8A4BE" w14:textId="77777777" w:rsidTr="003F38ED">
        <w:trPr>
          <w:trHeight w:val="272"/>
        </w:trPr>
        <w:tc>
          <w:tcPr>
            <w:tcW w:w="3706" w:type="dxa"/>
            <w:shd w:val="clear" w:color="auto" w:fill="FFFFFF"/>
            <w:vAlign w:val="bottom"/>
          </w:tcPr>
          <w:p w14:paraId="0881DD76"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639" w:type="dxa"/>
            <w:shd w:val="clear" w:color="auto" w:fill="FFFFFF"/>
            <w:vAlign w:val="bottom"/>
          </w:tcPr>
          <w:p w14:paraId="7919BBF9" w14:textId="77777777" w:rsidR="003F38ED" w:rsidRPr="003F38ED" w:rsidRDefault="003F38ED" w:rsidP="003F38ED">
            <w:pPr>
              <w:spacing w:after="0" w:line="240" w:lineRule="auto"/>
              <w:ind w:left="-14" w:firstLine="14"/>
              <w:jc w:val="center"/>
              <w:rPr>
                <w:rFonts w:ascii="Arial" w:eastAsia="Times New Roman" w:hAnsi="Arial" w:cs="Arial"/>
                <w:b/>
                <w:color w:val="auto"/>
                <w:sz w:val="18"/>
                <w:szCs w:val="18"/>
                <w:lang w:val="en-AU"/>
              </w:rPr>
            </w:pPr>
          </w:p>
        </w:tc>
        <w:tc>
          <w:tcPr>
            <w:tcW w:w="1427" w:type="dxa"/>
            <w:shd w:val="clear" w:color="auto" w:fill="FFFFFF"/>
            <w:vAlign w:val="bottom"/>
          </w:tcPr>
          <w:p w14:paraId="6B4D43EE"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Actual</w:t>
            </w:r>
          </w:p>
        </w:tc>
        <w:tc>
          <w:tcPr>
            <w:tcW w:w="1427" w:type="dxa"/>
            <w:shd w:val="clear" w:color="auto" w:fill="FFFFFF"/>
            <w:vAlign w:val="bottom"/>
          </w:tcPr>
          <w:p w14:paraId="0E33E0B3"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Actual</w:t>
            </w:r>
          </w:p>
        </w:tc>
        <w:tc>
          <w:tcPr>
            <w:tcW w:w="1427" w:type="dxa"/>
            <w:shd w:val="clear" w:color="auto" w:fill="FFFFFF"/>
            <w:vAlign w:val="bottom"/>
          </w:tcPr>
          <w:p w14:paraId="773FE168"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Actual</w:t>
            </w:r>
          </w:p>
        </w:tc>
        <w:tc>
          <w:tcPr>
            <w:tcW w:w="1427" w:type="dxa"/>
            <w:shd w:val="clear" w:color="auto" w:fill="FFFFFF"/>
            <w:vAlign w:val="bottom"/>
          </w:tcPr>
          <w:p w14:paraId="68B73D54"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Budget</w:t>
            </w:r>
          </w:p>
        </w:tc>
      </w:tr>
      <w:tr w:rsidR="003F38ED" w:rsidRPr="003F38ED" w14:paraId="6A36832E" w14:textId="77777777" w:rsidTr="003F38ED">
        <w:trPr>
          <w:trHeight w:val="272"/>
        </w:trPr>
        <w:tc>
          <w:tcPr>
            <w:tcW w:w="3706" w:type="dxa"/>
            <w:tcBorders>
              <w:left w:val="nil"/>
              <w:bottom w:val="nil"/>
              <w:right w:val="nil"/>
            </w:tcBorders>
            <w:shd w:val="clear" w:color="auto" w:fill="FFFFFF"/>
            <w:vAlign w:val="bottom"/>
          </w:tcPr>
          <w:p w14:paraId="3E94F613"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639" w:type="dxa"/>
            <w:tcBorders>
              <w:left w:val="nil"/>
              <w:bottom w:val="nil"/>
              <w:right w:val="nil"/>
            </w:tcBorders>
            <w:shd w:val="clear" w:color="auto" w:fill="FFFFFF"/>
            <w:vAlign w:val="bottom"/>
          </w:tcPr>
          <w:p w14:paraId="73B103B3"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427" w:type="dxa"/>
            <w:tcBorders>
              <w:left w:val="nil"/>
              <w:bottom w:val="nil"/>
              <w:right w:val="nil"/>
            </w:tcBorders>
            <w:shd w:val="clear" w:color="auto" w:fill="FFFFFF"/>
            <w:vAlign w:val="bottom"/>
          </w:tcPr>
          <w:p w14:paraId="68E7F132"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2026</w:t>
            </w:r>
          </w:p>
        </w:tc>
        <w:tc>
          <w:tcPr>
            <w:tcW w:w="1427" w:type="dxa"/>
            <w:tcBorders>
              <w:left w:val="nil"/>
              <w:bottom w:val="nil"/>
              <w:right w:val="nil"/>
            </w:tcBorders>
            <w:shd w:val="clear" w:color="auto" w:fill="FFFFFF"/>
            <w:vAlign w:val="bottom"/>
          </w:tcPr>
          <w:p w14:paraId="251CFF1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2026</w:t>
            </w:r>
          </w:p>
        </w:tc>
        <w:tc>
          <w:tcPr>
            <w:tcW w:w="1427" w:type="dxa"/>
            <w:tcBorders>
              <w:left w:val="nil"/>
              <w:bottom w:val="nil"/>
              <w:right w:val="nil"/>
            </w:tcBorders>
            <w:shd w:val="clear" w:color="auto" w:fill="FFFFFF"/>
            <w:vAlign w:val="bottom"/>
          </w:tcPr>
          <w:p w14:paraId="64727C07"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2026</w:t>
            </w:r>
          </w:p>
        </w:tc>
        <w:tc>
          <w:tcPr>
            <w:tcW w:w="1427" w:type="dxa"/>
            <w:tcBorders>
              <w:left w:val="nil"/>
              <w:bottom w:val="nil"/>
              <w:right w:val="nil"/>
            </w:tcBorders>
            <w:shd w:val="clear" w:color="auto" w:fill="FFFFFF"/>
            <w:vAlign w:val="bottom"/>
          </w:tcPr>
          <w:p w14:paraId="170D099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2026</w:t>
            </w:r>
          </w:p>
        </w:tc>
      </w:tr>
      <w:tr w:rsidR="003F38ED" w:rsidRPr="003F38ED" w14:paraId="7C424061" w14:textId="77777777" w:rsidTr="003F38ED">
        <w:trPr>
          <w:trHeight w:val="272"/>
        </w:trPr>
        <w:tc>
          <w:tcPr>
            <w:tcW w:w="3706" w:type="dxa"/>
            <w:tcBorders>
              <w:top w:val="nil"/>
              <w:left w:val="nil"/>
              <w:right w:val="nil"/>
            </w:tcBorders>
            <w:shd w:val="clear" w:color="auto" w:fill="FFFFFF"/>
            <w:vAlign w:val="bottom"/>
          </w:tcPr>
          <w:p w14:paraId="48536FED"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639" w:type="dxa"/>
            <w:tcBorders>
              <w:top w:val="nil"/>
              <w:left w:val="nil"/>
              <w:right w:val="nil"/>
            </w:tcBorders>
            <w:shd w:val="clear" w:color="auto" w:fill="FFFFFF"/>
            <w:vAlign w:val="bottom"/>
          </w:tcPr>
          <w:p w14:paraId="43F9A65F"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427" w:type="dxa"/>
            <w:tcBorders>
              <w:top w:val="nil"/>
              <w:left w:val="nil"/>
              <w:bottom w:val="single" w:sz="4" w:space="0" w:color="auto"/>
              <w:right w:val="nil"/>
            </w:tcBorders>
            <w:shd w:val="clear" w:color="auto" w:fill="FFFFFF"/>
            <w:vAlign w:val="bottom"/>
          </w:tcPr>
          <w:p w14:paraId="5B706B18"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c>
          <w:tcPr>
            <w:tcW w:w="1427" w:type="dxa"/>
            <w:tcBorders>
              <w:top w:val="nil"/>
              <w:left w:val="nil"/>
              <w:bottom w:val="single" w:sz="4" w:space="0" w:color="auto"/>
              <w:right w:val="nil"/>
            </w:tcBorders>
            <w:shd w:val="clear" w:color="auto" w:fill="FFFFFF"/>
            <w:vAlign w:val="bottom"/>
          </w:tcPr>
          <w:p w14:paraId="02C956BB"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c>
          <w:tcPr>
            <w:tcW w:w="1427" w:type="dxa"/>
            <w:tcBorders>
              <w:top w:val="nil"/>
              <w:left w:val="nil"/>
              <w:bottom w:val="single" w:sz="4" w:space="0" w:color="auto"/>
              <w:right w:val="nil"/>
            </w:tcBorders>
            <w:shd w:val="clear" w:color="auto" w:fill="FFFFFF"/>
            <w:vAlign w:val="bottom"/>
          </w:tcPr>
          <w:p w14:paraId="011103B4"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c>
          <w:tcPr>
            <w:tcW w:w="1427" w:type="dxa"/>
            <w:tcBorders>
              <w:top w:val="nil"/>
              <w:left w:val="nil"/>
              <w:bottom w:val="single" w:sz="4" w:space="0" w:color="auto"/>
              <w:right w:val="nil"/>
            </w:tcBorders>
            <w:shd w:val="clear" w:color="auto" w:fill="FFFFFF"/>
            <w:vAlign w:val="bottom"/>
          </w:tcPr>
          <w:p w14:paraId="04C7B39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r>
      <w:tr w:rsidR="003F38ED" w:rsidRPr="003F38ED" w14:paraId="7B012F52" w14:textId="77777777" w:rsidTr="003F38ED">
        <w:trPr>
          <w:trHeight w:val="272"/>
        </w:trPr>
        <w:tc>
          <w:tcPr>
            <w:tcW w:w="3706" w:type="dxa"/>
            <w:shd w:val="clear" w:color="auto" w:fill="FFFFFF"/>
            <w:vAlign w:val="bottom"/>
          </w:tcPr>
          <w:p w14:paraId="14ACB8B7" w14:textId="77777777" w:rsidR="003F38ED" w:rsidRPr="003F38ED" w:rsidRDefault="003F38ED" w:rsidP="003F38ED">
            <w:pPr>
              <w:spacing w:after="0" w:line="240" w:lineRule="auto"/>
              <w:rPr>
                <w:rFonts w:ascii="Arial" w:eastAsia="Times New Roman" w:hAnsi="Arial" w:cs="Arial"/>
                <w:color w:val="auto"/>
                <w:sz w:val="18"/>
                <w:szCs w:val="18"/>
                <w:lang w:val="en-AU"/>
              </w:rPr>
            </w:pPr>
          </w:p>
        </w:tc>
        <w:tc>
          <w:tcPr>
            <w:tcW w:w="639" w:type="dxa"/>
            <w:shd w:val="clear" w:color="auto" w:fill="FFFFFF"/>
            <w:vAlign w:val="bottom"/>
          </w:tcPr>
          <w:p w14:paraId="41370AB0"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427" w:type="dxa"/>
            <w:shd w:val="clear" w:color="auto" w:fill="FFFFFF"/>
            <w:vAlign w:val="bottom"/>
          </w:tcPr>
          <w:p w14:paraId="77A1E35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w:t>
            </w:r>
          </w:p>
        </w:tc>
        <w:tc>
          <w:tcPr>
            <w:tcW w:w="1427" w:type="dxa"/>
            <w:shd w:val="clear" w:color="auto" w:fill="FFFFFF"/>
            <w:vAlign w:val="bottom"/>
          </w:tcPr>
          <w:p w14:paraId="189B85E8"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427" w:type="dxa"/>
            <w:shd w:val="clear" w:color="auto" w:fill="FFFFFF"/>
            <w:noWrap/>
            <w:vAlign w:val="bottom"/>
          </w:tcPr>
          <w:p w14:paraId="216CCE2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w:t>
            </w:r>
          </w:p>
        </w:tc>
        <w:tc>
          <w:tcPr>
            <w:tcW w:w="1427" w:type="dxa"/>
            <w:shd w:val="clear" w:color="auto" w:fill="FFFFFF"/>
            <w:vAlign w:val="bottom"/>
          </w:tcPr>
          <w:p w14:paraId="662D82D6"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w:t>
            </w:r>
          </w:p>
        </w:tc>
      </w:tr>
      <w:tr w:rsidR="003F38ED" w:rsidRPr="003F38ED" w14:paraId="17B7E501" w14:textId="77777777" w:rsidTr="003F38ED">
        <w:trPr>
          <w:trHeight w:val="272"/>
        </w:trPr>
        <w:tc>
          <w:tcPr>
            <w:tcW w:w="3706" w:type="dxa"/>
            <w:shd w:val="clear" w:color="auto" w:fill="FFFFFF"/>
            <w:vAlign w:val="bottom"/>
          </w:tcPr>
          <w:p w14:paraId="778145FC"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Balance at 1 July 2025</w:t>
            </w:r>
          </w:p>
        </w:tc>
        <w:tc>
          <w:tcPr>
            <w:tcW w:w="639" w:type="dxa"/>
            <w:shd w:val="clear" w:color="auto" w:fill="FFFFFF"/>
            <w:vAlign w:val="bottom"/>
          </w:tcPr>
          <w:p w14:paraId="3566D5A6"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427" w:type="dxa"/>
            <w:tcBorders>
              <w:bottom w:val="single" w:sz="4" w:space="0" w:color="auto"/>
            </w:tcBorders>
            <w:shd w:val="clear" w:color="auto" w:fill="FFFFFF"/>
            <w:noWrap/>
            <w:vAlign w:val="bottom"/>
          </w:tcPr>
          <w:p w14:paraId="451F19F2"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92,134</w:t>
            </w:r>
          </w:p>
        </w:tc>
        <w:tc>
          <w:tcPr>
            <w:tcW w:w="1427" w:type="dxa"/>
            <w:tcBorders>
              <w:bottom w:val="single" w:sz="4" w:space="0" w:color="auto"/>
            </w:tcBorders>
            <w:shd w:val="clear" w:color="auto" w:fill="FFFFFF"/>
            <w:vAlign w:val="bottom"/>
          </w:tcPr>
          <w:p w14:paraId="55332E2E"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180</w:t>
            </w:r>
          </w:p>
        </w:tc>
        <w:tc>
          <w:tcPr>
            <w:tcW w:w="1427" w:type="dxa"/>
            <w:tcBorders>
              <w:bottom w:val="single" w:sz="4" w:space="0" w:color="auto"/>
            </w:tcBorders>
            <w:shd w:val="clear" w:color="auto" w:fill="FFFFFF"/>
            <w:noWrap/>
            <w:vAlign w:val="bottom"/>
          </w:tcPr>
          <w:p w14:paraId="277F8FA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92,314</w:t>
            </w:r>
          </w:p>
        </w:tc>
        <w:tc>
          <w:tcPr>
            <w:tcW w:w="1427" w:type="dxa"/>
            <w:tcBorders>
              <w:bottom w:val="single" w:sz="4" w:space="0" w:color="auto"/>
            </w:tcBorders>
            <w:shd w:val="clear" w:color="auto" w:fill="FFFFFF"/>
            <w:noWrap/>
            <w:vAlign w:val="bottom"/>
          </w:tcPr>
          <w:p w14:paraId="63B7A814"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b/>
                <w:color w:val="000000"/>
                <w:sz w:val="18"/>
                <w:szCs w:val="18"/>
                <w:lang w:val="en-AU" w:eastAsia="en-US"/>
              </w:rPr>
              <w:t>70,712</w:t>
            </w:r>
          </w:p>
        </w:tc>
      </w:tr>
      <w:tr w:rsidR="003F38ED" w:rsidRPr="003F38ED" w14:paraId="187283AA" w14:textId="77777777" w:rsidTr="003F38ED">
        <w:trPr>
          <w:trHeight w:val="272"/>
        </w:trPr>
        <w:tc>
          <w:tcPr>
            <w:tcW w:w="3706" w:type="dxa"/>
            <w:tcBorders>
              <w:top w:val="nil"/>
              <w:left w:val="nil"/>
              <w:bottom w:val="nil"/>
              <w:right w:val="nil"/>
            </w:tcBorders>
            <w:shd w:val="clear" w:color="auto" w:fill="FFFFFF"/>
            <w:vAlign w:val="bottom"/>
          </w:tcPr>
          <w:p w14:paraId="04D913C2"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639" w:type="dxa"/>
            <w:tcBorders>
              <w:top w:val="nil"/>
              <w:left w:val="nil"/>
              <w:right w:val="nil"/>
            </w:tcBorders>
            <w:shd w:val="clear" w:color="auto" w:fill="FFFFFF"/>
            <w:vAlign w:val="bottom"/>
          </w:tcPr>
          <w:p w14:paraId="16D7BC64"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427" w:type="dxa"/>
            <w:tcBorders>
              <w:top w:val="single" w:sz="4" w:space="0" w:color="auto"/>
              <w:left w:val="nil"/>
              <w:right w:val="nil"/>
            </w:tcBorders>
            <w:shd w:val="clear" w:color="auto" w:fill="FFFFFF"/>
            <w:noWrap/>
            <w:vAlign w:val="bottom"/>
          </w:tcPr>
          <w:p w14:paraId="6D6303AB"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427" w:type="dxa"/>
            <w:tcBorders>
              <w:top w:val="single" w:sz="4" w:space="0" w:color="auto"/>
              <w:left w:val="nil"/>
              <w:right w:val="nil"/>
            </w:tcBorders>
            <w:shd w:val="clear" w:color="auto" w:fill="FFFFFF"/>
            <w:vAlign w:val="bottom"/>
          </w:tcPr>
          <w:p w14:paraId="0A90B1E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427" w:type="dxa"/>
            <w:tcBorders>
              <w:top w:val="single" w:sz="4" w:space="0" w:color="auto"/>
              <w:left w:val="nil"/>
              <w:right w:val="nil"/>
            </w:tcBorders>
            <w:shd w:val="clear" w:color="auto" w:fill="FFFFFF"/>
            <w:noWrap/>
            <w:vAlign w:val="bottom"/>
          </w:tcPr>
          <w:p w14:paraId="6C06C63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427" w:type="dxa"/>
            <w:tcBorders>
              <w:top w:val="single" w:sz="4" w:space="0" w:color="auto"/>
              <w:left w:val="nil"/>
              <w:right w:val="nil"/>
            </w:tcBorders>
            <w:shd w:val="clear" w:color="auto" w:fill="FFFFFF"/>
            <w:noWrap/>
            <w:vAlign w:val="bottom"/>
          </w:tcPr>
          <w:p w14:paraId="5AEEDBC9" w14:textId="77777777" w:rsidR="003F38ED" w:rsidRPr="003F38ED" w:rsidRDefault="003F38ED" w:rsidP="003F38ED">
            <w:pPr>
              <w:spacing w:after="0" w:line="240" w:lineRule="auto"/>
              <w:jc w:val="right"/>
              <w:rPr>
                <w:rFonts w:ascii="Arial" w:eastAsia="Times New Roman" w:hAnsi="Arial" w:cs="Arial"/>
                <w:b/>
                <w:color w:val="000000"/>
                <w:sz w:val="18"/>
                <w:szCs w:val="18"/>
                <w:highlight w:val="green"/>
                <w:lang w:val="en-AU"/>
              </w:rPr>
            </w:pPr>
          </w:p>
        </w:tc>
      </w:tr>
      <w:tr w:rsidR="003F38ED" w:rsidRPr="003F38ED" w14:paraId="4443D403" w14:textId="77777777" w:rsidTr="003F38ED">
        <w:trPr>
          <w:trHeight w:val="272"/>
        </w:trPr>
        <w:tc>
          <w:tcPr>
            <w:tcW w:w="3706" w:type="dxa"/>
            <w:tcBorders>
              <w:top w:val="nil"/>
              <w:left w:val="nil"/>
              <w:bottom w:val="nil"/>
              <w:right w:val="nil"/>
            </w:tcBorders>
            <w:shd w:val="clear" w:color="auto" w:fill="FFFFFF"/>
            <w:vAlign w:val="bottom"/>
          </w:tcPr>
          <w:p w14:paraId="7C31DBD5"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Comprehensive Income</w:t>
            </w:r>
          </w:p>
          <w:p w14:paraId="1FCB7ABC"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Operating Result</w:t>
            </w:r>
          </w:p>
        </w:tc>
        <w:tc>
          <w:tcPr>
            <w:tcW w:w="639" w:type="dxa"/>
            <w:tcBorders>
              <w:top w:val="nil"/>
              <w:left w:val="nil"/>
              <w:bottom w:val="nil"/>
              <w:right w:val="nil"/>
            </w:tcBorders>
            <w:shd w:val="clear" w:color="auto" w:fill="FFFFFF"/>
            <w:vAlign w:val="bottom"/>
          </w:tcPr>
          <w:p w14:paraId="5C30379E"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427" w:type="dxa"/>
            <w:tcBorders>
              <w:top w:val="nil"/>
              <w:left w:val="nil"/>
              <w:right w:val="nil"/>
            </w:tcBorders>
            <w:shd w:val="clear" w:color="auto" w:fill="FFFFFF"/>
            <w:vAlign w:val="bottom"/>
          </w:tcPr>
          <w:p w14:paraId="40D28084" w14:textId="77777777" w:rsidR="003F38ED" w:rsidRPr="003F38ED" w:rsidRDefault="003F38ED" w:rsidP="003F38ED">
            <w:pPr>
              <w:spacing w:after="0" w:line="240" w:lineRule="auto"/>
              <w:jc w:val="right"/>
              <w:rPr>
                <w:rFonts w:ascii="Arial" w:eastAsia="SimSun" w:hAnsi="Arial" w:cs="Arial"/>
                <w:color w:val="auto"/>
                <w:sz w:val="18"/>
                <w:szCs w:val="18"/>
                <w:lang w:val="en-AU"/>
              </w:rPr>
            </w:pPr>
            <w:r w:rsidRPr="003F38ED">
              <w:rPr>
                <w:rFonts w:ascii="Arial" w:eastAsia="SimSun" w:hAnsi="Arial" w:cs="Arial"/>
                <w:color w:val="auto"/>
                <w:sz w:val="18"/>
                <w:szCs w:val="18"/>
                <w:lang w:val="en-AU" w:eastAsia="en-US"/>
              </w:rPr>
              <w:t xml:space="preserve">              5,465 </w:t>
            </w:r>
          </w:p>
        </w:tc>
        <w:tc>
          <w:tcPr>
            <w:tcW w:w="1427" w:type="dxa"/>
            <w:tcBorders>
              <w:top w:val="nil"/>
              <w:left w:val="nil"/>
              <w:right w:val="nil"/>
            </w:tcBorders>
            <w:shd w:val="clear" w:color="auto" w:fill="FFFFFF"/>
            <w:vAlign w:val="bottom"/>
          </w:tcPr>
          <w:p w14:paraId="669912CE"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w:t>
            </w:r>
          </w:p>
        </w:tc>
        <w:tc>
          <w:tcPr>
            <w:tcW w:w="1427" w:type="dxa"/>
            <w:tcBorders>
              <w:top w:val="nil"/>
              <w:left w:val="nil"/>
              <w:right w:val="nil"/>
            </w:tcBorders>
            <w:shd w:val="clear" w:color="auto" w:fill="FFFFFF"/>
            <w:noWrap/>
            <w:vAlign w:val="bottom"/>
          </w:tcPr>
          <w:p w14:paraId="19735449"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5,465</w:t>
            </w:r>
          </w:p>
        </w:tc>
        <w:tc>
          <w:tcPr>
            <w:tcW w:w="1427" w:type="dxa"/>
            <w:tcBorders>
              <w:top w:val="nil"/>
              <w:left w:val="nil"/>
              <w:right w:val="nil"/>
            </w:tcBorders>
            <w:shd w:val="clear" w:color="auto" w:fill="FFFFFF"/>
            <w:vAlign w:val="bottom"/>
          </w:tcPr>
          <w:p w14:paraId="78753A20" w14:textId="77777777" w:rsidR="003F38ED" w:rsidRPr="003F38ED" w:rsidRDefault="003F38ED" w:rsidP="003F38ED">
            <w:pPr>
              <w:spacing w:after="0" w:line="240" w:lineRule="auto"/>
              <w:jc w:val="right"/>
              <w:rPr>
                <w:rFonts w:ascii="Arial" w:eastAsia="SimSun" w:hAnsi="Arial" w:cs="Arial"/>
                <w:color w:val="000000"/>
                <w:sz w:val="18"/>
                <w:szCs w:val="18"/>
                <w:lang w:val="en-AU"/>
              </w:rPr>
            </w:pPr>
            <w:r w:rsidRPr="003F38ED">
              <w:rPr>
                <w:rFonts w:ascii="Arial" w:eastAsia="SimSun" w:hAnsi="Arial" w:cs="Arial"/>
                <w:color w:val="000000"/>
                <w:sz w:val="18"/>
                <w:szCs w:val="18"/>
                <w:lang w:val="en-AU"/>
              </w:rPr>
              <w:t>(6,912)</w:t>
            </w:r>
          </w:p>
        </w:tc>
      </w:tr>
      <w:tr w:rsidR="003F38ED" w:rsidRPr="003F38ED" w14:paraId="6731FD9B" w14:textId="77777777" w:rsidTr="003F38ED">
        <w:trPr>
          <w:trHeight w:val="272"/>
        </w:trPr>
        <w:tc>
          <w:tcPr>
            <w:tcW w:w="3706" w:type="dxa"/>
            <w:tcBorders>
              <w:left w:val="nil"/>
              <w:right w:val="nil"/>
            </w:tcBorders>
            <w:shd w:val="clear" w:color="auto" w:fill="FFFFFF"/>
            <w:vAlign w:val="bottom"/>
          </w:tcPr>
          <w:p w14:paraId="792950A0"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Total Comprehensive Result</w:t>
            </w:r>
          </w:p>
        </w:tc>
        <w:tc>
          <w:tcPr>
            <w:tcW w:w="639" w:type="dxa"/>
            <w:tcBorders>
              <w:left w:val="nil"/>
              <w:right w:val="nil"/>
            </w:tcBorders>
            <w:shd w:val="clear" w:color="auto" w:fill="FFFFFF"/>
            <w:vAlign w:val="bottom"/>
          </w:tcPr>
          <w:p w14:paraId="41070CA6"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427" w:type="dxa"/>
            <w:tcBorders>
              <w:top w:val="single" w:sz="6" w:space="0" w:color="auto"/>
              <w:left w:val="nil"/>
              <w:bottom w:val="single" w:sz="4" w:space="0" w:color="auto"/>
              <w:right w:val="nil"/>
            </w:tcBorders>
            <w:shd w:val="clear" w:color="auto" w:fill="FFFFFF"/>
            <w:vAlign w:val="bottom"/>
          </w:tcPr>
          <w:p w14:paraId="467D2654" w14:textId="77777777" w:rsidR="003F38ED" w:rsidRPr="003F38ED" w:rsidRDefault="003F38ED" w:rsidP="003F38ED">
            <w:pPr>
              <w:spacing w:after="0" w:line="240" w:lineRule="auto"/>
              <w:jc w:val="right"/>
              <w:rPr>
                <w:rFonts w:ascii="Arial" w:eastAsia="SimSun" w:hAnsi="Arial" w:cs="Arial"/>
                <w:b/>
                <w:color w:val="auto"/>
                <w:sz w:val="18"/>
                <w:szCs w:val="18"/>
                <w:lang w:val="en-AU"/>
              </w:rPr>
            </w:pPr>
            <w:r w:rsidRPr="003F38ED">
              <w:rPr>
                <w:rFonts w:ascii="Arial" w:eastAsia="SimSun" w:hAnsi="Arial" w:cs="Arial"/>
                <w:b/>
                <w:bCs/>
                <w:color w:val="auto"/>
                <w:sz w:val="18"/>
                <w:szCs w:val="18"/>
                <w:lang w:val="en-AU" w:eastAsia="en-US"/>
              </w:rPr>
              <w:t xml:space="preserve">              5,465 </w:t>
            </w:r>
          </w:p>
        </w:tc>
        <w:tc>
          <w:tcPr>
            <w:tcW w:w="1427" w:type="dxa"/>
            <w:tcBorders>
              <w:top w:val="single" w:sz="6" w:space="0" w:color="auto"/>
              <w:left w:val="nil"/>
              <w:bottom w:val="single" w:sz="4" w:space="0" w:color="auto"/>
              <w:right w:val="nil"/>
            </w:tcBorders>
            <w:shd w:val="clear" w:color="auto" w:fill="FFFFFF"/>
            <w:vAlign w:val="bottom"/>
          </w:tcPr>
          <w:p w14:paraId="4A343F2E"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w:t>
            </w:r>
          </w:p>
        </w:tc>
        <w:tc>
          <w:tcPr>
            <w:tcW w:w="1427" w:type="dxa"/>
            <w:tcBorders>
              <w:top w:val="single" w:sz="6" w:space="0" w:color="auto"/>
              <w:left w:val="nil"/>
              <w:bottom w:val="single" w:sz="4" w:space="0" w:color="auto"/>
              <w:right w:val="nil"/>
            </w:tcBorders>
            <w:shd w:val="clear" w:color="auto" w:fill="FFFFFF"/>
            <w:vAlign w:val="bottom"/>
          </w:tcPr>
          <w:p w14:paraId="5168994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5,465</w:t>
            </w:r>
          </w:p>
        </w:tc>
        <w:tc>
          <w:tcPr>
            <w:tcW w:w="1427" w:type="dxa"/>
            <w:tcBorders>
              <w:top w:val="single" w:sz="6" w:space="0" w:color="auto"/>
              <w:left w:val="nil"/>
              <w:bottom w:val="single" w:sz="4" w:space="0" w:color="auto"/>
              <w:right w:val="nil"/>
            </w:tcBorders>
            <w:shd w:val="clear" w:color="auto" w:fill="FFFFFF"/>
            <w:vAlign w:val="bottom"/>
          </w:tcPr>
          <w:p w14:paraId="34CE3E1F"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SimSun" w:hAnsi="Arial" w:cs="Arial"/>
                <w:b/>
                <w:color w:val="000000"/>
                <w:sz w:val="18"/>
                <w:szCs w:val="18"/>
                <w:lang w:val="en-AU" w:eastAsia="en-US"/>
              </w:rPr>
              <w:t>(</w:t>
            </w:r>
            <w:r w:rsidRPr="003F38ED">
              <w:rPr>
                <w:rFonts w:ascii="Arial" w:eastAsia="Calibri" w:hAnsi="Arial" w:cs="Arial"/>
                <w:b/>
                <w:color w:val="000000"/>
                <w:sz w:val="18"/>
                <w:szCs w:val="18"/>
                <w:lang w:val="en-AU" w:eastAsia="en-US"/>
              </w:rPr>
              <w:t>6,912)</w:t>
            </w:r>
          </w:p>
        </w:tc>
      </w:tr>
      <w:tr w:rsidR="003F38ED" w:rsidRPr="003F38ED" w14:paraId="257E124E" w14:textId="77777777" w:rsidTr="003F38ED">
        <w:trPr>
          <w:trHeight w:val="283"/>
        </w:trPr>
        <w:tc>
          <w:tcPr>
            <w:tcW w:w="3706" w:type="dxa"/>
            <w:tcBorders>
              <w:top w:val="nil"/>
              <w:left w:val="nil"/>
              <w:right w:val="nil"/>
            </w:tcBorders>
            <w:shd w:val="clear" w:color="auto" w:fill="FFFFFF"/>
            <w:vAlign w:val="bottom"/>
          </w:tcPr>
          <w:p w14:paraId="03DB150E" w14:textId="77777777" w:rsidR="003F38ED" w:rsidRPr="003F38ED" w:rsidRDefault="003F38ED" w:rsidP="003F38ED">
            <w:pPr>
              <w:spacing w:after="0" w:line="276"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Balance at 30 June 2026</w:t>
            </w:r>
          </w:p>
        </w:tc>
        <w:tc>
          <w:tcPr>
            <w:tcW w:w="639" w:type="dxa"/>
            <w:tcBorders>
              <w:top w:val="nil"/>
              <w:left w:val="nil"/>
              <w:right w:val="nil"/>
            </w:tcBorders>
            <w:shd w:val="clear" w:color="auto" w:fill="FFFFFF"/>
            <w:vAlign w:val="bottom"/>
          </w:tcPr>
          <w:p w14:paraId="06C3633A" w14:textId="77777777" w:rsidR="003F38ED" w:rsidRPr="003F38ED" w:rsidRDefault="003F38ED" w:rsidP="003F38ED">
            <w:pPr>
              <w:spacing w:after="0" w:line="276" w:lineRule="auto"/>
              <w:jc w:val="center"/>
              <w:rPr>
                <w:rFonts w:ascii="Arial" w:eastAsia="Times New Roman" w:hAnsi="Arial" w:cs="Arial"/>
                <w:b/>
                <w:color w:val="auto"/>
                <w:sz w:val="18"/>
                <w:szCs w:val="18"/>
                <w:lang w:val="en-AU"/>
              </w:rPr>
            </w:pPr>
          </w:p>
        </w:tc>
        <w:tc>
          <w:tcPr>
            <w:tcW w:w="1427" w:type="dxa"/>
            <w:tcBorders>
              <w:top w:val="single" w:sz="4" w:space="0" w:color="auto"/>
              <w:left w:val="nil"/>
              <w:bottom w:val="double" w:sz="4" w:space="0" w:color="auto"/>
              <w:right w:val="nil"/>
            </w:tcBorders>
            <w:shd w:val="clear" w:color="auto" w:fill="FFFFFF"/>
            <w:vAlign w:val="bottom"/>
          </w:tcPr>
          <w:p w14:paraId="10C250D6" w14:textId="77777777" w:rsidR="003F38ED" w:rsidRPr="003F38ED" w:rsidRDefault="003F38ED" w:rsidP="003F38ED">
            <w:pPr>
              <w:spacing w:after="0" w:line="276" w:lineRule="auto"/>
              <w:jc w:val="right"/>
              <w:rPr>
                <w:rFonts w:ascii="Arial" w:eastAsia="Times New Roman" w:hAnsi="Arial" w:cs="Arial"/>
                <w:b/>
                <w:color w:val="auto"/>
                <w:sz w:val="18"/>
                <w:szCs w:val="18"/>
                <w:lang w:val="en-AU"/>
              </w:rPr>
            </w:pPr>
            <w:r w:rsidRPr="003F38ED">
              <w:rPr>
                <w:rFonts w:ascii="Arial" w:eastAsia="Times New Roman" w:hAnsi="Arial" w:cs="Arial"/>
                <w:b/>
                <w:bCs/>
                <w:color w:val="auto"/>
                <w:sz w:val="18"/>
                <w:szCs w:val="18"/>
                <w:lang w:val="en-AU"/>
              </w:rPr>
              <w:t xml:space="preserve">            97,599 </w:t>
            </w:r>
          </w:p>
        </w:tc>
        <w:tc>
          <w:tcPr>
            <w:tcW w:w="1427" w:type="dxa"/>
            <w:tcBorders>
              <w:top w:val="single" w:sz="4" w:space="0" w:color="auto"/>
              <w:left w:val="nil"/>
              <w:bottom w:val="double" w:sz="4" w:space="0" w:color="auto"/>
              <w:right w:val="nil"/>
            </w:tcBorders>
            <w:shd w:val="clear" w:color="auto" w:fill="FFFFFF"/>
            <w:vAlign w:val="bottom"/>
          </w:tcPr>
          <w:p w14:paraId="09A3CE07" w14:textId="77777777" w:rsidR="003F38ED" w:rsidRPr="003F38ED" w:rsidRDefault="003F38ED" w:rsidP="003F38ED">
            <w:pPr>
              <w:spacing w:after="0" w:line="276"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180</w:t>
            </w:r>
          </w:p>
        </w:tc>
        <w:tc>
          <w:tcPr>
            <w:tcW w:w="1427" w:type="dxa"/>
            <w:tcBorders>
              <w:top w:val="single" w:sz="4" w:space="0" w:color="auto"/>
              <w:left w:val="nil"/>
              <w:bottom w:val="double" w:sz="4" w:space="0" w:color="auto"/>
              <w:right w:val="nil"/>
            </w:tcBorders>
            <w:shd w:val="clear" w:color="auto" w:fill="FFFFFF"/>
            <w:noWrap/>
            <w:vAlign w:val="bottom"/>
          </w:tcPr>
          <w:p w14:paraId="6C23A36E" w14:textId="77777777" w:rsidR="003F38ED" w:rsidRPr="003F38ED" w:rsidRDefault="003F38ED" w:rsidP="003F38ED">
            <w:pPr>
              <w:spacing w:after="0" w:line="276"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97,779</w:t>
            </w:r>
          </w:p>
        </w:tc>
        <w:tc>
          <w:tcPr>
            <w:tcW w:w="1427" w:type="dxa"/>
            <w:tcBorders>
              <w:top w:val="single" w:sz="4" w:space="0" w:color="auto"/>
              <w:left w:val="nil"/>
              <w:bottom w:val="double" w:sz="4" w:space="0" w:color="auto"/>
              <w:right w:val="nil"/>
            </w:tcBorders>
            <w:shd w:val="clear" w:color="auto" w:fill="FFFFFF"/>
            <w:noWrap/>
            <w:vAlign w:val="bottom"/>
          </w:tcPr>
          <w:p w14:paraId="2E419857"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b/>
                <w:color w:val="000000"/>
                <w:sz w:val="18"/>
                <w:szCs w:val="18"/>
                <w:lang w:val="en-AU" w:eastAsia="en-US"/>
              </w:rPr>
              <w:t>63,801</w:t>
            </w:r>
          </w:p>
        </w:tc>
      </w:tr>
      <w:bookmarkEnd w:id="89"/>
    </w:tbl>
    <w:p w14:paraId="709105DC" w14:textId="77777777" w:rsidR="003F38ED" w:rsidRPr="003F38ED" w:rsidRDefault="003F38ED" w:rsidP="003F38ED">
      <w:pPr>
        <w:spacing w:after="0" w:line="240" w:lineRule="auto"/>
        <w:jc w:val="center"/>
        <w:rPr>
          <w:rFonts w:ascii="Arial" w:eastAsia="Times New Roman" w:hAnsi="Arial" w:cs="Arial"/>
          <w:b/>
          <w:bCs/>
          <w:color w:val="auto"/>
          <w:sz w:val="18"/>
          <w:szCs w:val="18"/>
          <w:lang w:val="en-AU"/>
        </w:rPr>
      </w:pPr>
    </w:p>
    <w:p w14:paraId="069ACCB9" w14:textId="77777777" w:rsidR="003F38ED" w:rsidRPr="003F38ED" w:rsidRDefault="003F38ED" w:rsidP="003F38ED">
      <w:pPr>
        <w:spacing w:after="0" w:line="240" w:lineRule="auto"/>
        <w:jc w:val="center"/>
        <w:rPr>
          <w:rFonts w:ascii="Arial" w:eastAsia="Times New Roman" w:hAnsi="Arial" w:cs="Arial"/>
          <w:b/>
          <w:bCs/>
          <w:color w:val="auto"/>
          <w:sz w:val="18"/>
          <w:szCs w:val="18"/>
          <w:lang w:val="en-AU"/>
        </w:rPr>
      </w:pPr>
    </w:p>
    <w:p w14:paraId="7BAC9C29" w14:textId="77777777" w:rsidR="003F38ED" w:rsidRPr="003F38ED" w:rsidRDefault="003F38ED" w:rsidP="003F38ED">
      <w:pPr>
        <w:spacing w:after="0" w:line="240" w:lineRule="auto"/>
        <w:jc w:val="center"/>
        <w:rPr>
          <w:rFonts w:ascii="Arial" w:eastAsia="Times New Roman" w:hAnsi="Arial" w:cs="Arial"/>
          <w:b/>
          <w:bCs/>
          <w:color w:val="auto"/>
          <w:sz w:val="18"/>
          <w:szCs w:val="18"/>
          <w:lang w:val="en-AU"/>
        </w:rPr>
      </w:pPr>
    </w:p>
    <w:tbl>
      <w:tblPr>
        <w:tblW w:w="8626" w:type="dxa"/>
        <w:tblLayout w:type="fixed"/>
        <w:tblLook w:val="04A0" w:firstRow="1" w:lastRow="0" w:firstColumn="1" w:lastColumn="0" w:noHBand="0" w:noVBand="1"/>
      </w:tblPr>
      <w:tblGrid>
        <w:gridCol w:w="3706"/>
        <w:gridCol w:w="639"/>
        <w:gridCol w:w="1427"/>
        <w:gridCol w:w="1427"/>
        <w:gridCol w:w="1427"/>
      </w:tblGrid>
      <w:tr w:rsidR="003F38ED" w:rsidRPr="003F38ED" w14:paraId="333D262D" w14:textId="77777777" w:rsidTr="003F38ED">
        <w:trPr>
          <w:trHeight w:val="272"/>
        </w:trPr>
        <w:tc>
          <w:tcPr>
            <w:tcW w:w="3706" w:type="dxa"/>
            <w:shd w:val="clear" w:color="auto" w:fill="FFFFFF"/>
            <w:vAlign w:val="bottom"/>
          </w:tcPr>
          <w:p w14:paraId="27EFD1A0" w14:textId="77777777" w:rsidR="003F38ED" w:rsidRPr="003F38ED" w:rsidRDefault="003F38ED" w:rsidP="003F38ED">
            <w:pPr>
              <w:spacing w:after="0" w:line="240" w:lineRule="auto"/>
              <w:rPr>
                <w:rFonts w:ascii="Arial" w:eastAsia="Times New Roman" w:hAnsi="Arial" w:cs="Arial"/>
                <w:b/>
                <w:bCs/>
                <w:color w:val="auto"/>
                <w:sz w:val="18"/>
                <w:szCs w:val="18"/>
                <w:lang w:val="en-AU"/>
              </w:rPr>
            </w:pPr>
          </w:p>
          <w:p w14:paraId="36499D00" w14:textId="77777777" w:rsidR="003F38ED" w:rsidRPr="003F38ED" w:rsidRDefault="003F38ED" w:rsidP="003F38ED">
            <w:pPr>
              <w:spacing w:after="0" w:line="240" w:lineRule="auto"/>
              <w:rPr>
                <w:rFonts w:ascii="Arial" w:eastAsia="Times New Roman" w:hAnsi="Arial" w:cs="Arial"/>
                <w:b/>
                <w:bCs/>
                <w:color w:val="auto"/>
                <w:sz w:val="18"/>
                <w:szCs w:val="18"/>
                <w:lang w:val="en-AU"/>
              </w:rPr>
            </w:pPr>
          </w:p>
        </w:tc>
        <w:tc>
          <w:tcPr>
            <w:tcW w:w="639" w:type="dxa"/>
            <w:shd w:val="clear" w:color="auto" w:fill="FFFFFF"/>
            <w:vAlign w:val="bottom"/>
          </w:tcPr>
          <w:p w14:paraId="4118D37B"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1427" w:type="dxa"/>
            <w:shd w:val="clear" w:color="auto" w:fill="FFFFFF"/>
            <w:vAlign w:val="bottom"/>
          </w:tcPr>
          <w:p w14:paraId="7075DE49"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Accumulated</w:t>
            </w:r>
          </w:p>
        </w:tc>
        <w:tc>
          <w:tcPr>
            <w:tcW w:w="1427" w:type="dxa"/>
            <w:shd w:val="clear" w:color="auto" w:fill="FFFFFF"/>
            <w:vAlign w:val="bottom"/>
          </w:tcPr>
          <w:p w14:paraId="74DD9718"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Asset</w:t>
            </w:r>
          </w:p>
          <w:p w14:paraId="73FA683B"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Revaluation</w:t>
            </w:r>
          </w:p>
        </w:tc>
        <w:tc>
          <w:tcPr>
            <w:tcW w:w="1427" w:type="dxa"/>
            <w:shd w:val="clear" w:color="auto" w:fill="FFFFFF"/>
            <w:vAlign w:val="bottom"/>
          </w:tcPr>
          <w:p w14:paraId="687D8AA7"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Total</w:t>
            </w:r>
          </w:p>
        </w:tc>
      </w:tr>
      <w:tr w:rsidR="003F38ED" w:rsidRPr="003F38ED" w14:paraId="7EF13075" w14:textId="77777777" w:rsidTr="003F38ED">
        <w:trPr>
          <w:trHeight w:val="272"/>
        </w:trPr>
        <w:tc>
          <w:tcPr>
            <w:tcW w:w="3706" w:type="dxa"/>
            <w:shd w:val="clear" w:color="auto" w:fill="FFFFFF"/>
            <w:vAlign w:val="bottom"/>
          </w:tcPr>
          <w:p w14:paraId="4BEE4957" w14:textId="77777777" w:rsidR="003F38ED" w:rsidRPr="003F38ED" w:rsidRDefault="003F38ED" w:rsidP="003F38ED">
            <w:pPr>
              <w:spacing w:after="0" w:line="240" w:lineRule="auto"/>
              <w:rPr>
                <w:rFonts w:ascii="Arial" w:eastAsia="Times New Roman" w:hAnsi="Arial" w:cs="Arial"/>
                <w:b/>
                <w:bCs/>
                <w:color w:val="auto"/>
                <w:sz w:val="18"/>
                <w:szCs w:val="18"/>
                <w:lang w:val="en-AU"/>
              </w:rPr>
            </w:pPr>
          </w:p>
        </w:tc>
        <w:tc>
          <w:tcPr>
            <w:tcW w:w="639" w:type="dxa"/>
            <w:shd w:val="clear" w:color="auto" w:fill="FFFFFF"/>
            <w:vAlign w:val="bottom"/>
          </w:tcPr>
          <w:p w14:paraId="0F8062E7"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1427" w:type="dxa"/>
            <w:shd w:val="clear" w:color="auto" w:fill="FFFFFF"/>
            <w:vAlign w:val="bottom"/>
          </w:tcPr>
          <w:p w14:paraId="4B5EF8A8"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Funds</w:t>
            </w:r>
          </w:p>
        </w:tc>
        <w:tc>
          <w:tcPr>
            <w:tcW w:w="1427" w:type="dxa"/>
            <w:shd w:val="clear" w:color="auto" w:fill="FFFFFF"/>
            <w:vAlign w:val="bottom"/>
          </w:tcPr>
          <w:p w14:paraId="15761C7A"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Surplus</w:t>
            </w:r>
          </w:p>
        </w:tc>
        <w:tc>
          <w:tcPr>
            <w:tcW w:w="1427" w:type="dxa"/>
            <w:shd w:val="clear" w:color="auto" w:fill="FFFFFF"/>
            <w:vAlign w:val="bottom"/>
          </w:tcPr>
          <w:p w14:paraId="6F2F26D2"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Equity</w:t>
            </w:r>
          </w:p>
        </w:tc>
      </w:tr>
      <w:tr w:rsidR="003F38ED" w:rsidRPr="003F38ED" w14:paraId="1754974A" w14:textId="77777777" w:rsidTr="003F38ED">
        <w:trPr>
          <w:trHeight w:val="272"/>
        </w:trPr>
        <w:tc>
          <w:tcPr>
            <w:tcW w:w="3706" w:type="dxa"/>
            <w:shd w:val="clear" w:color="auto" w:fill="FFFFFF"/>
            <w:vAlign w:val="bottom"/>
          </w:tcPr>
          <w:p w14:paraId="05DD078C" w14:textId="77777777" w:rsidR="003F38ED" w:rsidRPr="003F38ED" w:rsidRDefault="003F38ED" w:rsidP="003F38ED">
            <w:pPr>
              <w:spacing w:after="0" w:line="240" w:lineRule="auto"/>
              <w:rPr>
                <w:rFonts w:ascii="Arial" w:eastAsia="Times New Roman" w:hAnsi="Arial" w:cs="Arial"/>
                <w:b/>
                <w:bCs/>
                <w:color w:val="auto"/>
                <w:sz w:val="18"/>
                <w:szCs w:val="18"/>
                <w:lang w:val="en-AU"/>
              </w:rPr>
            </w:pPr>
          </w:p>
        </w:tc>
        <w:tc>
          <w:tcPr>
            <w:tcW w:w="639" w:type="dxa"/>
            <w:shd w:val="clear" w:color="auto" w:fill="FFFFFF"/>
            <w:vAlign w:val="bottom"/>
          </w:tcPr>
          <w:p w14:paraId="0B772FE6"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1427" w:type="dxa"/>
            <w:shd w:val="clear" w:color="auto" w:fill="FFFFFF"/>
            <w:vAlign w:val="bottom"/>
          </w:tcPr>
          <w:p w14:paraId="76753A3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Actual</w:t>
            </w:r>
          </w:p>
        </w:tc>
        <w:tc>
          <w:tcPr>
            <w:tcW w:w="1427" w:type="dxa"/>
            <w:shd w:val="clear" w:color="auto" w:fill="FFFFFF"/>
            <w:vAlign w:val="bottom"/>
          </w:tcPr>
          <w:p w14:paraId="0A46F12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Actual</w:t>
            </w:r>
          </w:p>
        </w:tc>
        <w:tc>
          <w:tcPr>
            <w:tcW w:w="1427" w:type="dxa"/>
            <w:shd w:val="clear" w:color="auto" w:fill="FFFFFF"/>
            <w:vAlign w:val="bottom"/>
          </w:tcPr>
          <w:p w14:paraId="5E9F10CE"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Actual</w:t>
            </w:r>
          </w:p>
        </w:tc>
      </w:tr>
      <w:tr w:rsidR="003F38ED" w:rsidRPr="003F38ED" w14:paraId="40D04F42" w14:textId="77777777" w:rsidTr="003F38ED">
        <w:trPr>
          <w:trHeight w:val="272"/>
        </w:trPr>
        <w:tc>
          <w:tcPr>
            <w:tcW w:w="3706" w:type="dxa"/>
            <w:tcBorders>
              <w:left w:val="nil"/>
              <w:bottom w:val="nil"/>
              <w:right w:val="nil"/>
            </w:tcBorders>
            <w:shd w:val="clear" w:color="auto" w:fill="FFFFFF"/>
            <w:vAlign w:val="bottom"/>
          </w:tcPr>
          <w:p w14:paraId="233CAD4E" w14:textId="77777777" w:rsidR="003F38ED" w:rsidRPr="003F38ED" w:rsidRDefault="003F38ED" w:rsidP="003F38ED">
            <w:pPr>
              <w:spacing w:after="0" w:line="240" w:lineRule="auto"/>
              <w:rPr>
                <w:rFonts w:ascii="Arial" w:eastAsia="Times New Roman" w:hAnsi="Arial" w:cs="Arial"/>
                <w:b/>
                <w:bCs/>
                <w:color w:val="auto"/>
                <w:sz w:val="18"/>
                <w:szCs w:val="18"/>
                <w:lang w:val="en-AU"/>
              </w:rPr>
            </w:pPr>
          </w:p>
        </w:tc>
        <w:tc>
          <w:tcPr>
            <w:tcW w:w="639" w:type="dxa"/>
            <w:tcBorders>
              <w:left w:val="nil"/>
              <w:bottom w:val="nil"/>
              <w:right w:val="nil"/>
            </w:tcBorders>
            <w:shd w:val="clear" w:color="auto" w:fill="FFFFFF"/>
            <w:vAlign w:val="bottom"/>
          </w:tcPr>
          <w:p w14:paraId="69D13E62"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1427" w:type="dxa"/>
            <w:tcBorders>
              <w:left w:val="nil"/>
              <w:bottom w:val="nil"/>
              <w:right w:val="nil"/>
            </w:tcBorders>
            <w:shd w:val="clear" w:color="auto" w:fill="FFFFFF"/>
            <w:vAlign w:val="bottom"/>
          </w:tcPr>
          <w:p w14:paraId="1B53268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2025</w:t>
            </w:r>
          </w:p>
        </w:tc>
        <w:tc>
          <w:tcPr>
            <w:tcW w:w="1427" w:type="dxa"/>
            <w:tcBorders>
              <w:left w:val="nil"/>
              <w:bottom w:val="nil"/>
              <w:right w:val="nil"/>
            </w:tcBorders>
            <w:shd w:val="clear" w:color="auto" w:fill="FFFFFF"/>
            <w:vAlign w:val="bottom"/>
          </w:tcPr>
          <w:p w14:paraId="5FF98BE3"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2025</w:t>
            </w:r>
          </w:p>
        </w:tc>
        <w:tc>
          <w:tcPr>
            <w:tcW w:w="1427" w:type="dxa"/>
            <w:tcBorders>
              <w:left w:val="nil"/>
              <w:bottom w:val="nil"/>
              <w:right w:val="nil"/>
            </w:tcBorders>
            <w:shd w:val="clear" w:color="auto" w:fill="FFFFFF"/>
            <w:vAlign w:val="bottom"/>
          </w:tcPr>
          <w:p w14:paraId="03787FE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2025</w:t>
            </w:r>
          </w:p>
        </w:tc>
      </w:tr>
      <w:tr w:rsidR="003F38ED" w:rsidRPr="003F38ED" w14:paraId="512E430A" w14:textId="77777777" w:rsidTr="003F38ED">
        <w:trPr>
          <w:trHeight w:val="272"/>
        </w:trPr>
        <w:tc>
          <w:tcPr>
            <w:tcW w:w="3706" w:type="dxa"/>
            <w:tcBorders>
              <w:top w:val="nil"/>
              <w:left w:val="nil"/>
              <w:right w:val="nil"/>
            </w:tcBorders>
            <w:shd w:val="clear" w:color="auto" w:fill="FFFFFF"/>
            <w:vAlign w:val="bottom"/>
          </w:tcPr>
          <w:p w14:paraId="127D7E9B" w14:textId="77777777" w:rsidR="003F38ED" w:rsidRPr="003F38ED" w:rsidRDefault="003F38ED" w:rsidP="003F38ED">
            <w:pPr>
              <w:spacing w:after="0" w:line="240" w:lineRule="auto"/>
              <w:rPr>
                <w:rFonts w:ascii="Arial" w:eastAsia="Times New Roman" w:hAnsi="Arial" w:cs="Arial"/>
                <w:b/>
                <w:bCs/>
                <w:color w:val="auto"/>
                <w:sz w:val="18"/>
                <w:szCs w:val="18"/>
                <w:lang w:val="en-AU"/>
              </w:rPr>
            </w:pPr>
          </w:p>
        </w:tc>
        <w:tc>
          <w:tcPr>
            <w:tcW w:w="639" w:type="dxa"/>
            <w:tcBorders>
              <w:top w:val="nil"/>
              <w:left w:val="nil"/>
              <w:right w:val="nil"/>
            </w:tcBorders>
            <w:shd w:val="clear" w:color="auto" w:fill="FFFFFF"/>
            <w:vAlign w:val="bottom"/>
          </w:tcPr>
          <w:p w14:paraId="736EBBCD"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1427" w:type="dxa"/>
            <w:tcBorders>
              <w:top w:val="nil"/>
              <w:left w:val="nil"/>
              <w:bottom w:val="single" w:sz="4" w:space="0" w:color="auto"/>
              <w:right w:val="nil"/>
            </w:tcBorders>
            <w:shd w:val="clear" w:color="auto" w:fill="FFFFFF"/>
            <w:vAlign w:val="bottom"/>
          </w:tcPr>
          <w:p w14:paraId="7A2789DA"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c>
          <w:tcPr>
            <w:tcW w:w="1427" w:type="dxa"/>
            <w:tcBorders>
              <w:top w:val="nil"/>
              <w:left w:val="nil"/>
              <w:bottom w:val="single" w:sz="4" w:space="0" w:color="auto"/>
              <w:right w:val="nil"/>
            </w:tcBorders>
            <w:shd w:val="clear" w:color="auto" w:fill="FFFFFF"/>
            <w:vAlign w:val="bottom"/>
          </w:tcPr>
          <w:p w14:paraId="59E05D11"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c>
          <w:tcPr>
            <w:tcW w:w="1427" w:type="dxa"/>
            <w:tcBorders>
              <w:top w:val="nil"/>
              <w:left w:val="nil"/>
              <w:bottom w:val="single" w:sz="4" w:space="0" w:color="auto"/>
              <w:right w:val="nil"/>
            </w:tcBorders>
            <w:shd w:val="clear" w:color="auto" w:fill="FFFFFF"/>
            <w:vAlign w:val="bottom"/>
          </w:tcPr>
          <w:p w14:paraId="0F5F2C2C"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r>
      <w:tr w:rsidR="003F38ED" w:rsidRPr="003F38ED" w14:paraId="72CCA3F3" w14:textId="77777777" w:rsidTr="003F38ED">
        <w:trPr>
          <w:trHeight w:val="20"/>
        </w:trPr>
        <w:tc>
          <w:tcPr>
            <w:tcW w:w="3706" w:type="dxa"/>
            <w:shd w:val="clear" w:color="auto" w:fill="FFFFFF"/>
            <w:vAlign w:val="bottom"/>
          </w:tcPr>
          <w:p w14:paraId="76CEB32B" w14:textId="77777777" w:rsidR="003F38ED" w:rsidRPr="003F38ED" w:rsidRDefault="003F38ED" w:rsidP="003F38ED">
            <w:pPr>
              <w:spacing w:after="0" w:line="240" w:lineRule="auto"/>
              <w:rPr>
                <w:rFonts w:ascii="Arial" w:eastAsia="Times New Roman" w:hAnsi="Arial" w:cs="Arial"/>
                <w:b/>
                <w:bCs/>
                <w:color w:val="auto"/>
                <w:sz w:val="18"/>
                <w:szCs w:val="18"/>
                <w:lang w:val="en-AU"/>
              </w:rPr>
            </w:pPr>
          </w:p>
        </w:tc>
        <w:tc>
          <w:tcPr>
            <w:tcW w:w="639" w:type="dxa"/>
            <w:shd w:val="clear" w:color="auto" w:fill="FFFFFF"/>
            <w:vAlign w:val="bottom"/>
          </w:tcPr>
          <w:p w14:paraId="72BC5EF8"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1427" w:type="dxa"/>
            <w:shd w:val="clear" w:color="auto" w:fill="FFFFFF"/>
            <w:vAlign w:val="bottom"/>
          </w:tcPr>
          <w:p w14:paraId="3F945518"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427" w:type="dxa"/>
            <w:shd w:val="clear" w:color="auto" w:fill="FFFFFF"/>
            <w:vAlign w:val="bottom"/>
          </w:tcPr>
          <w:p w14:paraId="38913D14"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427" w:type="dxa"/>
            <w:shd w:val="clear" w:color="auto" w:fill="FFFFFF"/>
            <w:noWrap/>
            <w:vAlign w:val="bottom"/>
          </w:tcPr>
          <w:p w14:paraId="36E10D6B"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 </w:t>
            </w:r>
          </w:p>
        </w:tc>
      </w:tr>
      <w:tr w:rsidR="003F38ED" w:rsidRPr="003F38ED" w14:paraId="70CAAE02" w14:textId="77777777" w:rsidTr="003F38ED">
        <w:trPr>
          <w:trHeight w:val="20"/>
        </w:trPr>
        <w:tc>
          <w:tcPr>
            <w:tcW w:w="3706" w:type="dxa"/>
            <w:shd w:val="clear" w:color="auto" w:fill="FFFFFF"/>
            <w:vAlign w:val="bottom"/>
          </w:tcPr>
          <w:p w14:paraId="2FBA9891"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Balance at 1 July 2024</w:t>
            </w:r>
          </w:p>
        </w:tc>
        <w:tc>
          <w:tcPr>
            <w:tcW w:w="639" w:type="dxa"/>
            <w:shd w:val="clear" w:color="auto" w:fill="FFFFFF"/>
            <w:vAlign w:val="bottom"/>
          </w:tcPr>
          <w:p w14:paraId="247BACBF"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1427" w:type="dxa"/>
            <w:tcBorders>
              <w:bottom w:val="single" w:sz="4" w:space="0" w:color="auto"/>
            </w:tcBorders>
            <w:shd w:val="clear" w:color="auto" w:fill="FFFFFF"/>
            <w:noWrap/>
            <w:vAlign w:val="bottom"/>
          </w:tcPr>
          <w:p w14:paraId="379EEC76"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66,976</w:t>
            </w:r>
          </w:p>
        </w:tc>
        <w:tc>
          <w:tcPr>
            <w:tcW w:w="1427" w:type="dxa"/>
            <w:tcBorders>
              <w:bottom w:val="single" w:sz="4" w:space="0" w:color="auto"/>
            </w:tcBorders>
            <w:shd w:val="clear" w:color="auto" w:fill="FFFFFF"/>
            <w:vAlign w:val="bottom"/>
          </w:tcPr>
          <w:p w14:paraId="66E232D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180</w:t>
            </w:r>
          </w:p>
        </w:tc>
        <w:tc>
          <w:tcPr>
            <w:tcW w:w="1427" w:type="dxa"/>
            <w:tcBorders>
              <w:bottom w:val="single" w:sz="4" w:space="0" w:color="auto"/>
            </w:tcBorders>
            <w:shd w:val="clear" w:color="auto" w:fill="FFFFFF"/>
            <w:noWrap/>
            <w:vAlign w:val="bottom"/>
          </w:tcPr>
          <w:p w14:paraId="0EC6843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67,156</w:t>
            </w:r>
          </w:p>
        </w:tc>
      </w:tr>
      <w:tr w:rsidR="003F38ED" w:rsidRPr="003F38ED" w14:paraId="4121BD1D" w14:textId="77777777" w:rsidTr="003F38ED">
        <w:trPr>
          <w:trHeight w:val="20"/>
        </w:trPr>
        <w:tc>
          <w:tcPr>
            <w:tcW w:w="3706" w:type="dxa"/>
            <w:tcBorders>
              <w:top w:val="nil"/>
              <w:left w:val="nil"/>
              <w:bottom w:val="nil"/>
              <w:right w:val="nil"/>
            </w:tcBorders>
            <w:shd w:val="clear" w:color="auto" w:fill="FFFFFF"/>
            <w:vAlign w:val="bottom"/>
          </w:tcPr>
          <w:p w14:paraId="2A826AE1"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639" w:type="dxa"/>
            <w:tcBorders>
              <w:top w:val="nil"/>
              <w:left w:val="nil"/>
              <w:right w:val="nil"/>
            </w:tcBorders>
            <w:shd w:val="clear" w:color="auto" w:fill="FFFFFF"/>
            <w:vAlign w:val="bottom"/>
          </w:tcPr>
          <w:p w14:paraId="684AFFCB"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1427" w:type="dxa"/>
            <w:tcBorders>
              <w:top w:val="single" w:sz="4" w:space="0" w:color="auto"/>
              <w:left w:val="nil"/>
              <w:right w:val="nil"/>
            </w:tcBorders>
            <w:shd w:val="clear" w:color="auto" w:fill="FFFFFF"/>
            <w:noWrap/>
            <w:vAlign w:val="bottom"/>
          </w:tcPr>
          <w:p w14:paraId="2044089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427" w:type="dxa"/>
            <w:tcBorders>
              <w:top w:val="single" w:sz="4" w:space="0" w:color="auto"/>
              <w:left w:val="nil"/>
              <w:right w:val="nil"/>
            </w:tcBorders>
            <w:shd w:val="clear" w:color="auto" w:fill="FFFFFF"/>
            <w:vAlign w:val="bottom"/>
          </w:tcPr>
          <w:p w14:paraId="6D09FCF1"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427" w:type="dxa"/>
            <w:tcBorders>
              <w:top w:val="single" w:sz="4" w:space="0" w:color="auto"/>
              <w:left w:val="nil"/>
              <w:right w:val="nil"/>
            </w:tcBorders>
            <w:shd w:val="clear" w:color="auto" w:fill="FFFFFF"/>
            <w:noWrap/>
            <w:vAlign w:val="bottom"/>
          </w:tcPr>
          <w:p w14:paraId="333987F6"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43FF47B9" w14:textId="77777777" w:rsidTr="003F38ED">
        <w:trPr>
          <w:trHeight w:val="20"/>
        </w:trPr>
        <w:tc>
          <w:tcPr>
            <w:tcW w:w="3706" w:type="dxa"/>
            <w:tcBorders>
              <w:top w:val="nil"/>
              <w:left w:val="nil"/>
              <w:bottom w:val="nil"/>
              <w:right w:val="nil"/>
            </w:tcBorders>
            <w:shd w:val="clear" w:color="auto" w:fill="FFFFFF"/>
            <w:vAlign w:val="bottom"/>
          </w:tcPr>
          <w:p w14:paraId="4660C5B8"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Comprehensive Income</w:t>
            </w:r>
          </w:p>
          <w:p w14:paraId="098E08ED"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Operating Result</w:t>
            </w:r>
          </w:p>
        </w:tc>
        <w:tc>
          <w:tcPr>
            <w:tcW w:w="639" w:type="dxa"/>
            <w:tcBorders>
              <w:top w:val="nil"/>
              <w:left w:val="nil"/>
              <w:bottom w:val="nil"/>
              <w:right w:val="nil"/>
            </w:tcBorders>
            <w:shd w:val="clear" w:color="auto" w:fill="FFFFFF"/>
            <w:vAlign w:val="bottom"/>
          </w:tcPr>
          <w:p w14:paraId="28F920D9" w14:textId="77777777" w:rsidR="003F38ED" w:rsidRPr="003F38ED" w:rsidRDefault="003F38ED" w:rsidP="003F38ED">
            <w:pPr>
              <w:spacing w:after="0" w:line="240" w:lineRule="auto"/>
              <w:rPr>
                <w:rFonts w:ascii="Arial" w:eastAsia="Times New Roman" w:hAnsi="Arial" w:cs="Arial"/>
                <w:color w:val="auto"/>
                <w:sz w:val="18"/>
                <w:szCs w:val="18"/>
                <w:lang w:val="en-AU"/>
              </w:rPr>
            </w:pPr>
          </w:p>
        </w:tc>
        <w:tc>
          <w:tcPr>
            <w:tcW w:w="1427" w:type="dxa"/>
            <w:tcBorders>
              <w:top w:val="nil"/>
              <w:left w:val="nil"/>
              <w:right w:val="nil"/>
            </w:tcBorders>
            <w:shd w:val="clear" w:color="auto" w:fill="FFFFFF"/>
            <w:vAlign w:val="bottom"/>
          </w:tcPr>
          <w:p w14:paraId="786DF9DF"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25,158</w:t>
            </w:r>
          </w:p>
        </w:tc>
        <w:tc>
          <w:tcPr>
            <w:tcW w:w="1427" w:type="dxa"/>
            <w:tcBorders>
              <w:top w:val="nil"/>
              <w:left w:val="nil"/>
              <w:right w:val="nil"/>
            </w:tcBorders>
            <w:shd w:val="clear" w:color="auto" w:fill="FFFFFF"/>
            <w:vAlign w:val="bottom"/>
          </w:tcPr>
          <w:p w14:paraId="2E17E66F"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w:t>
            </w:r>
          </w:p>
        </w:tc>
        <w:tc>
          <w:tcPr>
            <w:tcW w:w="1427" w:type="dxa"/>
            <w:tcBorders>
              <w:top w:val="nil"/>
              <w:left w:val="nil"/>
              <w:right w:val="nil"/>
            </w:tcBorders>
            <w:shd w:val="clear" w:color="auto" w:fill="FFFFFF"/>
            <w:noWrap/>
            <w:vAlign w:val="bottom"/>
          </w:tcPr>
          <w:p w14:paraId="65F00511"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25,158</w:t>
            </w:r>
          </w:p>
        </w:tc>
      </w:tr>
      <w:tr w:rsidR="003F38ED" w:rsidRPr="003F38ED" w14:paraId="289FC9D3" w14:textId="77777777" w:rsidTr="003F38ED">
        <w:trPr>
          <w:trHeight w:val="20"/>
        </w:trPr>
        <w:tc>
          <w:tcPr>
            <w:tcW w:w="3706" w:type="dxa"/>
            <w:tcBorders>
              <w:left w:val="nil"/>
              <w:right w:val="nil"/>
            </w:tcBorders>
            <w:shd w:val="clear" w:color="auto" w:fill="FFFFFF"/>
            <w:vAlign w:val="bottom"/>
          </w:tcPr>
          <w:p w14:paraId="336F6949"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Total Comprehensive Result</w:t>
            </w:r>
          </w:p>
        </w:tc>
        <w:tc>
          <w:tcPr>
            <w:tcW w:w="639" w:type="dxa"/>
            <w:tcBorders>
              <w:left w:val="nil"/>
              <w:right w:val="nil"/>
            </w:tcBorders>
            <w:shd w:val="clear" w:color="auto" w:fill="FFFFFF"/>
            <w:vAlign w:val="bottom"/>
          </w:tcPr>
          <w:p w14:paraId="5426F0A2"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1427" w:type="dxa"/>
            <w:tcBorders>
              <w:top w:val="single" w:sz="6" w:space="0" w:color="auto"/>
              <w:left w:val="nil"/>
              <w:bottom w:val="single" w:sz="4" w:space="0" w:color="auto"/>
              <w:right w:val="nil"/>
            </w:tcBorders>
            <w:shd w:val="clear" w:color="auto" w:fill="FFFFFF"/>
            <w:vAlign w:val="bottom"/>
          </w:tcPr>
          <w:p w14:paraId="74EA4BE4"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25,158</w:t>
            </w:r>
          </w:p>
        </w:tc>
        <w:tc>
          <w:tcPr>
            <w:tcW w:w="1427" w:type="dxa"/>
            <w:tcBorders>
              <w:top w:val="single" w:sz="6" w:space="0" w:color="auto"/>
              <w:left w:val="nil"/>
              <w:bottom w:val="single" w:sz="4" w:space="0" w:color="auto"/>
              <w:right w:val="nil"/>
            </w:tcBorders>
            <w:shd w:val="clear" w:color="auto" w:fill="FFFFFF"/>
            <w:vAlign w:val="bottom"/>
          </w:tcPr>
          <w:p w14:paraId="5B6E7040"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w:t>
            </w:r>
          </w:p>
        </w:tc>
        <w:tc>
          <w:tcPr>
            <w:tcW w:w="1427" w:type="dxa"/>
            <w:tcBorders>
              <w:top w:val="single" w:sz="6" w:space="0" w:color="auto"/>
              <w:left w:val="nil"/>
              <w:bottom w:val="single" w:sz="4" w:space="0" w:color="auto"/>
              <w:right w:val="nil"/>
            </w:tcBorders>
            <w:shd w:val="clear" w:color="auto" w:fill="FFFFFF"/>
            <w:vAlign w:val="bottom"/>
          </w:tcPr>
          <w:p w14:paraId="36D51BF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25,158</w:t>
            </w:r>
          </w:p>
        </w:tc>
      </w:tr>
      <w:tr w:rsidR="003F38ED" w:rsidRPr="003F38ED" w14:paraId="68F80E85" w14:textId="77777777" w:rsidTr="003F38ED">
        <w:trPr>
          <w:trHeight w:val="20"/>
        </w:trPr>
        <w:tc>
          <w:tcPr>
            <w:tcW w:w="3706" w:type="dxa"/>
            <w:tcBorders>
              <w:top w:val="nil"/>
              <w:left w:val="nil"/>
              <w:right w:val="nil"/>
            </w:tcBorders>
            <w:shd w:val="clear" w:color="auto" w:fill="FFFFFF"/>
            <w:vAlign w:val="bottom"/>
          </w:tcPr>
          <w:p w14:paraId="150E625F"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Balance at 30 June 2025</w:t>
            </w:r>
          </w:p>
        </w:tc>
        <w:tc>
          <w:tcPr>
            <w:tcW w:w="639" w:type="dxa"/>
            <w:tcBorders>
              <w:top w:val="nil"/>
              <w:left w:val="nil"/>
              <w:right w:val="nil"/>
            </w:tcBorders>
            <w:shd w:val="clear" w:color="auto" w:fill="FFFFFF"/>
            <w:vAlign w:val="bottom"/>
          </w:tcPr>
          <w:p w14:paraId="63E08B42"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1427" w:type="dxa"/>
            <w:tcBorders>
              <w:top w:val="single" w:sz="4" w:space="0" w:color="auto"/>
              <w:left w:val="nil"/>
              <w:bottom w:val="double" w:sz="4" w:space="0" w:color="auto"/>
              <w:right w:val="nil"/>
            </w:tcBorders>
            <w:shd w:val="clear" w:color="auto" w:fill="FFFFFF"/>
            <w:vAlign w:val="bottom"/>
          </w:tcPr>
          <w:p w14:paraId="384B5E62"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92,134</w:t>
            </w:r>
          </w:p>
        </w:tc>
        <w:tc>
          <w:tcPr>
            <w:tcW w:w="1427" w:type="dxa"/>
            <w:tcBorders>
              <w:top w:val="single" w:sz="4" w:space="0" w:color="auto"/>
              <w:left w:val="nil"/>
              <w:bottom w:val="double" w:sz="4" w:space="0" w:color="auto"/>
              <w:right w:val="nil"/>
            </w:tcBorders>
            <w:shd w:val="clear" w:color="auto" w:fill="FFFFFF"/>
            <w:vAlign w:val="bottom"/>
          </w:tcPr>
          <w:p w14:paraId="3E70B5A9"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180</w:t>
            </w:r>
          </w:p>
        </w:tc>
        <w:tc>
          <w:tcPr>
            <w:tcW w:w="1427" w:type="dxa"/>
            <w:tcBorders>
              <w:top w:val="single" w:sz="4" w:space="0" w:color="auto"/>
              <w:left w:val="nil"/>
              <w:bottom w:val="double" w:sz="4" w:space="0" w:color="auto"/>
              <w:right w:val="nil"/>
            </w:tcBorders>
            <w:shd w:val="clear" w:color="auto" w:fill="FFFFFF"/>
            <w:noWrap/>
            <w:vAlign w:val="bottom"/>
          </w:tcPr>
          <w:p w14:paraId="04F5E8FE"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92,314</w:t>
            </w:r>
          </w:p>
        </w:tc>
      </w:tr>
    </w:tbl>
    <w:p w14:paraId="0F51F1A4" w14:textId="77777777" w:rsidR="003F38ED" w:rsidRPr="003F38ED" w:rsidRDefault="003F38ED" w:rsidP="003F38ED">
      <w:pPr>
        <w:spacing w:after="0" w:line="240" w:lineRule="auto"/>
        <w:rPr>
          <w:rFonts w:ascii="Arial" w:eastAsia="Times New Roman" w:hAnsi="Arial" w:cs="Arial"/>
          <w:b/>
          <w:bCs/>
          <w:color w:val="auto"/>
          <w:sz w:val="18"/>
          <w:szCs w:val="18"/>
          <w:lang w:val="en-AU"/>
        </w:rPr>
      </w:pPr>
    </w:p>
    <w:p w14:paraId="55AFD494" w14:textId="77777777" w:rsidR="003F38ED" w:rsidRPr="003F38ED" w:rsidRDefault="003F38ED" w:rsidP="003F38ED">
      <w:pPr>
        <w:adjustRightInd w:val="0"/>
        <w:snapToGrid w:val="0"/>
        <w:rPr>
          <w:rFonts w:ascii="Arial" w:eastAsia="Times New Roman" w:hAnsi="Arial" w:cs="Arial"/>
          <w:color w:val="auto"/>
          <w:lang w:val="en-AU"/>
        </w:rPr>
      </w:pPr>
      <w:r w:rsidRPr="003F38ED">
        <w:rPr>
          <w:rFonts w:ascii="Arial" w:eastAsia="Times New Roman" w:hAnsi="Arial" w:cs="Arial"/>
          <w:color w:val="auto"/>
          <w:lang w:val="en-AU"/>
        </w:rPr>
        <w:t>The above Statement of Changes in Equity is to be read in conjunction with the accompanying notes.</w:t>
      </w:r>
    </w:p>
    <w:p w14:paraId="557B0DDA" w14:textId="77777777" w:rsidR="003F38ED" w:rsidRPr="003F38ED" w:rsidRDefault="003F38ED" w:rsidP="003F38ED">
      <w:pPr>
        <w:adjustRightInd w:val="0"/>
        <w:snapToGrid w:val="0"/>
        <w:spacing w:before="240"/>
        <w:rPr>
          <w:rFonts w:ascii="Arial" w:eastAsia="Times New Roman" w:hAnsi="Arial" w:cs="Arial"/>
          <w:color w:val="auto"/>
          <w:lang w:val="en-AU"/>
        </w:rPr>
      </w:pPr>
      <w:r w:rsidRPr="003F38ED">
        <w:rPr>
          <w:rFonts w:ascii="Arial" w:eastAsia="Times New Roman" w:hAnsi="Arial" w:cs="Arial"/>
          <w:color w:val="auto"/>
          <w:lang w:val="en-AU"/>
        </w:rPr>
        <w:t>The information contained in this statement may not add up due to rounding.</w:t>
      </w:r>
    </w:p>
    <w:p w14:paraId="6CCF4719" w14:textId="77777777" w:rsidR="003F38ED" w:rsidRPr="003F38ED" w:rsidRDefault="003F38ED" w:rsidP="003F38ED">
      <w:pPr>
        <w:adjustRightInd w:val="0"/>
        <w:snapToGrid w:val="0"/>
        <w:rPr>
          <w:rFonts w:ascii="Arial" w:eastAsia="Times New Roman" w:hAnsi="Arial" w:cs="Arial"/>
          <w:color w:val="auto"/>
          <w:lang w:val="en-AU"/>
        </w:rPr>
      </w:pPr>
    </w:p>
    <w:p w14:paraId="66E7814A" w14:textId="77777777" w:rsidR="003F38ED" w:rsidRPr="003F38ED" w:rsidRDefault="003F38ED" w:rsidP="003F38ED">
      <w:pPr>
        <w:tabs>
          <w:tab w:val="left" w:pos="3544"/>
        </w:tabs>
        <w:spacing w:before="240" w:after="0" w:line="240" w:lineRule="auto"/>
        <w:ind w:left="284"/>
        <w:rPr>
          <w:rFonts w:ascii="Arial" w:eastAsia="Times New Roman" w:hAnsi="Arial" w:cs="Arial"/>
          <w:bCs/>
          <w:color w:val="auto"/>
          <w:sz w:val="16"/>
          <w:szCs w:val="16"/>
          <w:lang w:val="en-AU"/>
        </w:rPr>
      </w:pPr>
    </w:p>
    <w:p w14:paraId="5A57F3C9" w14:textId="77777777" w:rsidR="003F38ED" w:rsidRPr="003F38ED" w:rsidRDefault="003F38ED" w:rsidP="003F38ED">
      <w:pPr>
        <w:keepNext/>
        <w:spacing w:after="120" w:line="240" w:lineRule="auto"/>
        <w:jc w:val="center"/>
        <w:outlineLvl w:val="0"/>
        <w:rPr>
          <w:rFonts w:ascii="Arial" w:eastAsia="Times New Roman" w:hAnsi="Arial" w:cs="Arial"/>
          <w:b/>
          <w:bCs/>
          <w:color w:val="auto"/>
          <w:kern w:val="32"/>
          <w:sz w:val="24"/>
          <w:szCs w:val="24"/>
          <w:lang w:val="en-AU" w:eastAsia="en-US"/>
        </w:rPr>
      </w:pPr>
      <w:r w:rsidRPr="003F38ED">
        <w:rPr>
          <w:rFonts w:ascii="Arial" w:eastAsia="Times New Roman" w:hAnsi="Arial" w:cs="Arial"/>
          <w:b/>
          <w:color w:val="auto"/>
          <w:kern w:val="32"/>
          <w:sz w:val="16"/>
          <w:szCs w:val="16"/>
          <w:lang w:val="en-AU"/>
        </w:rPr>
        <w:br w:type="page"/>
      </w:r>
      <w:bookmarkStart w:id="90" w:name="_Toc240533513"/>
      <w:r w:rsidRPr="003F38ED">
        <w:rPr>
          <w:rFonts w:ascii="Arial" w:eastAsia="Times New Roman" w:hAnsi="Arial" w:cs="Arial"/>
          <w:b/>
          <w:bCs/>
          <w:color w:val="auto"/>
          <w:kern w:val="32"/>
          <w:sz w:val="24"/>
          <w:szCs w:val="24"/>
          <w:lang w:val="en-AU" w:eastAsia="en-US"/>
        </w:rPr>
        <w:lastRenderedPageBreak/>
        <w:t>Long Service Leave Authority</w:t>
      </w:r>
      <w:bookmarkEnd w:id="90"/>
    </w:p>
    <w:p w14:paraId="7B30422E" w14:textId="77777777" w:rsidR="003F38ED" w:rsidRPr="003F38ED" w:rsidRDefault="003F38ED" w:rsidP="003F38ED">
      <w:pPr>
        <w:spacing w:after="120" w:line="240" w:lineRule="auto"/>
        <w:jc w:val="center"/>
        <w:rPr>
          <w:rFonts w:ascii="Arial" w:eastAsia="Times New Roman" w:hAnsi="Arial" w:cs="Arial"/>
          <w:b/>
          <w:bCs/>
          <w:color w:val="auto"/>
          <w:kern w:val="32"/>
          <w:sz w:val="24"/>
          <w:szCs w:val="24"/>
          <w:lang w:val="en-AU" w:eastAsia="en-US"/>
        </w:rPr>
      </w:pPr>
      <w:r w:rsidRPr="003F38ED">
        <w:rPr>
          <w:rFonts w:ascii="Arial" w:eastAsia="Times New Roman" w:hAnsi="Arial" w:cs="Arial"/>
          <w:b/>
          <w:bCs/>
          <w:color w:val="auto"/>
          <w:kern w:val="32"/>
          <w:sz w:val="24"/>
          <w:szCs w:val="24"/>
          <w:lang w:val="en-AU" w:eastAsia="en-US"/>
        </w:rPr>
        <w:t>Statement of Cash Flows</w:t>
      </w:r>
    </w:p>
    <w:p w14:paraId="0567C897" w14:textId="77777777" w:rsidR="003F38ED" w:rsidRPr="003F38ED" w:rsidRDefault="003F38ED" w:rsidP="003F38ED">
      <w:pPr>
        <w:keepNext/>
        <w:spacing w:after="120" w:line="240" w:lineRule="auto"/>
        <w:jc w:val="center"/>
        <w:outlineLvl w:val="1"/>
        <w:rPr>
          <w:rFonts w:ascii="Arial" w:eastAsia="Times New Roman" w:hAnsi="Arial" w:cs="Arial"/>
          <w:b/>
          <w:bCs/>
          <w:color w:val="auto"/>
          <w:sz w:val="24"/>
          <w:szCs w:val="24"/>
          <w:lang w:val="en-AU"/>
        </w:rPr>
      </w:pPr>
      <w:bookmarkStart w:id="91" w:name="_Toc240533514"/>
      <w:r w:rsidRPr="003F38ED">
        <w:rPr>
          <w:rFonts w:ascii="Arial" w:eastAsia="Times New Roman" w:hAnsi="Arial" w:cs="Arial"/>
          <w:b/>
          <w:bCs/>
          <w:color w:val="auto"/>
          <w:kern w:val="32"/>
          <w:sz w:val="24"/>
          <w:szCs w:val="24"/>
          <w:lang w:val="en-AU" w:eastAsia="en-US"/>
        </w:rPr>
        <w:t>For the Year Ended 30 June 2026</w:t>
      </w:r>
      <w:bookmarkEnd w:id="91"/>
    </w:p>
    <w:tbl>
      <w:tblPr>
        <w:tblW w:w="10053" w:type="dxa"/>
        <w:tblLook w:val="04A0" w:firstRow="1" w:lastRow="0" w:firstColumn="1" w:lastColumn="0" w:noHBand="0" w:noVBand="1"/>
      </w:tblPr>
      <w:tblGrid>
        <w:gridCol w:w="5407"/>
        <w:gridCol w:w="836"/>
        <w:gridCol w:w="1270"/>
        <w:gridCol w:w="1276"/>
        <w:gridCol w:w="1264"/>
      </w:tblGrid>
      <w:tr w:rsidR="003F38ED" w:rsidRPr="003F38ED" w14:paraId="61E681F9" w14:textId="77777777" w:rsidTr="003F38ED">
        <w:trPr>
          <w:trHeight w:val="227"/>
        </w:trPr>
        <w:tc>
          <w:tcPr>
            <w:tcW w:w="5407" w:type="dxa"/>
            <w:tcBorders>
              <w:top w:val="nil"/>
              <w:left w:val="nil"/>
              <w:bottom w:val="nil"/>
              <w:right w:val="nil"/>
            </w:tcBorders>
            <w:shd w:val="clear" w:color="auto" w:fill="FFFFFF"/>
            <w:vAlign w:val="bottom"/>
          </w:tcPr>
          <w:p w14:paraId="7986EF4A"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836" w:type="dxa"/>
            <w:tcBorders>
              <w:top w:val="nil"/>
              <w:left w:val="nil"/>
              <w:bottom w:val="nil"/>
              <w:right w:val="nil"/>
            </w:tcBorders>
            <w:shd w:val="clear" w:color="auto" w:fill="FFFFFF"/>
            <w:vAlign w:val="bottom"/>
          </w:tcPr>
          <w:p w14:paraId="4896F10E"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0" w:type="dxa"/>
            <w:tcBorders>
              <w:top w:val="nil"/>
              <w:left w:val="nil"/>
              <w:bottom w:val="nil"/>
              <w:right w:val="nil"/>
            </w:tcBorders>
            <w:shd w:val="clear" w:color="auto" w:fill="FFFFFF"/>
            <w:vAlign w:val="bottom"/>
          </w:tcPr>
          <w:p w14:paraId="61AA73A3"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 </w:t>
            </w:r>
          </w:p>
        </w:tc>
        <w:tc>
          <w:tcPr>
            <w:tcW w:w="1276" w:type="dxa"/>
            <w:tcBorders>
              <w:top w:val="nil"/>
              <w:left w:val="nil"/>
              <w:bottom w:val="nil"/>
              <w:right w:val="nil"/>
            </w:tcBorders>
            <w:shd w:val="clear" w:color="auto" w:fill="FFFFFF"/>
            <w:vAlign w:val="bottom"/>
          </w:tcPr>
          <w:p w14:paraId="63230DFA"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Original</w:t>
            </w:r>
          </w:p>
        </w:tc>
        <w:tc>
          <w:tcPr>
            <w:tcW w:w="1264" w:type="dxa"/>
            <w:tcBorders>
              <w:top w:val="nil"/>
              <w:left w:val="nil"/>
              <w:bottom w:val="nil"/>
              <w:right w:val="nil"/>
            </w:tcBorders>
            <w:shd w:val="clear" w:color="auto" w:fill="FFFFFF"/>
            <w:noWrap/>
            <w:vAlign w:val="bottom"/>
          </w:tcPr>
          <w:p w14:paraId="52DC20E3"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 </w:t>
            </w:r>
          </w:p>
        </w:tc>
      </w:tr>
      <w:tr w:rsidR="003F38ED" w:rsidRPr="003F38ED" w14:paraId="5773856E" w14:textId="77777777" w:rsidTr="003F38ED">
        <w:trPr>
          <w:trHeight w:val="227"/>
        </w:trPr>
        <w:tc>
          <w:tcPr>
            <w:tcW w:w="5407" w:type="dxa"/>
            <w:tcBorders>
              <w:top w:val="nil"/>
              <w:left w:val="nil"/>
              <w:bottom w:val="nil"/>
              <w:right w:val="nil"/>
            </w:tcBorders>
            <w:shd w:val="clear" w:color="auto" w:fill="FFFFFF"/>
            <w:vAlign w:val="bottom"/>
          </w:tcPr>
          <w:p w14:paraId="631521AB"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836" w:type="dxa"/>
            <w:tcBorders>
              <w:top w:val="nil"/>
              <w:left w:val="nil"/>
              <w:bottom w:val="nil"/>
              <w:right w:val="nil"/>
            </w:tcBorders>
            <w:shd w:val="clear" w:color="auto" w:fill="FFFFFF"/>
            <w:vAlign w:val="bottom"/>
          </w:tcPr>
          <w:p w14:paraId="3CB992C2"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0" w:type="dxa"/>
            <w:tcBorders>
              <w:top w:val="nil"/>
              <w:left w:val="nil"/>
              <w:bottom w:val="nil"/>
              <w:right w:val="nil"/>
            </w:tcBorders>
            <w:shd w:val="clear" w:color="auto" w:fill="FFFFFF"/>
            <w:vAlign w:val="bottom"/>
          </w:tcPr>
          <w:p w14:paraId="363FFD0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276" w:type="dxa"/>
            <w:tcBorders>
              <w:top w:val="nil"/>
              <w:left w:val="nil"/>
              <w:bottom w:val="nil"/>
              <w:right w:val="nil"/>
            </w:tcBorders>
            <w:shd w:val="clear" w:color="auto" w:fill="FFFFFF"/>
            <w:vAlign w:val="bottom"/>
          </w:tcPr>
          <w:p w14:paraId="4FDC077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264" w:type="dxa"/>
            <w:tcBorders>
              <w:top w:val="nil"/>
              <w:left w:val="nil"/>
              <w:bottom w:val="nil"/>
              <w:right w:val="nil"/>
            </w:tcBorders>
            <w:shd w:val="clear" w:color="auto" w:fill="FFFFFF"/>
            <w:noWrap/>
            <w:vAlign w:val="bottom"/>
          </w:tcPr>
          <w:p w14:paraId="4716F9A2"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0A60FEE8" w14:textId="77777777" w:rsidTr="003F38ED">
        <w:trPr>
          <w:trHeight w:val="227"/>
        </w:trPr>
        <w:tc>
          <w:tcPr>
            <w:tcW w:w="5407" w:type="dxa"/>
            <w:tcBorders>
              <w:top w:val="nil"/>
              <w:left w:val="nil"/>
              <w:right w:val="nil"/>
            </w:tcBorders>
            <w:shd w:val="clear" w:color="auto" w:fill="FFFFFF"/>
            <w:vAlign w:val="bottom"/>
          </w:tcPr>
          <w:p w14:paraId="05D2B50A"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836" w:type="dxa"/>
            <w:tcBorders>
              <w:top w:val="nil"/>
              <w:left w:val="nil"/>
              <w:right w:val="nil"/>
            </w:tcBorders>
            <w:shd w:val="clear" w:color="auto" w:fill="FFFFFF"/>
            <w:vAlign w:val="bottom"/>
          </w:tcPr>
          <w:p w14:paraId="7F77FF92"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0" w:type="dxa"/>
            <w:tcBorders>
              <w:top w:val="nil"/>
              <w:left w:val="nil"/>
              <w:bottom w:val="nil"/>
              <w:right w:val="nil"/>
            </w:tcBorders>
            <w:shd w:val="clear" w:color="auto" w:fill="FFFFFF"/>
            <w:vAlign w:val="bottom"/>
          </w:tcPr>
          <w:p w14:paraId="3994740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Actual</w:t>
            </w:r>
          </w:p>
        </w:tc>
        <w:tc>
          <w:tcPr>
            <w:tcW w:w="1276" w:type="dxa"/>
            <w:tcBorders>
              <w:top w:val="nil"/>
              <w:left w:val="nil"/>
              <w:bottom w:val="nil"/>
              <w:right w:val="nil"/>
            </w:tcBorders>
            <w:shd w:val="clear" w:color="auto" w:fill="FFFFFF"/>
            <w:vAlign w:val="bottom"/>
          </w:tcPr>
          <w:p w14:paraId="0F352C3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Budget</w:t>
            </w:r>
          </w:p>
        </w:tc>
        <w:tc>
          <w:tcPr>
            <w:tcW w:w="1264" w:type="dxa"/>
            <w:vAlign w:val="bottom"/>
          </w:tcPr>
          <w:p w14:paraId="05EDAF0B" w14:textId="77777777" w:rsidR="003F38ED" w:rsidRPr="003F38ED" w:rsidRDefault="003F38ED" w:rsidP="003F38ED">
            <w:pPr>
              <w:spacing w:after="0" w:line="240" w:lineRule="auto"/>
              <w:jc w:val="right"/>
              <w:rPr>
                <w:rFonts w:ascii="Arial" w:eastAsia="SimSun" w:hAnsi="Arial" w:cs="Arial"/>
                <w:color w:val="auto"/>
                <w:sz w:val="18"/>
                <w:szCs w:val="18"/>
                <w:lang w:val="en-AU" w:eastAsia="en-US"/>
              </w:rPr>
            </w:pPr>
            <w:r w:rsidRPr="003F38ED">
              <w:rPr>
                <w:rFonts w:ascii="Arial" w:eastAsia="Times New Roman" w:hAnsi="Arial" w:cs="Arial"/>
                <w:b/>
                <w:color w:val="auto"/>
                <w:sz w:val="18"/>
                <w:szCs w:val="18"/>
                <w:lang w:val="en-AU"/>
              </w:rPr>
              <w:t>Actual</w:t>
            </w:r>
          </w:p>
        </w:tc>
      </w:tr>
      <w:tr w:rsidR="003F38ED" w:rsidRPr="003F38ED" w14:paraId="7C3A2D0F" w14:textId="77777777" w:rsidTr="003F38ED">
        <w:trPr>
          <w:trHeight w:val="227"/>
        </w:trPr>
        <w:tc>
          <w:tcPr>
            <w:tcW w:w="5407" w:type="dxa"/>
            <w:tcBorders>
              <w:top w:val="nil"/>
              <w:left w:val="nil"/>
              <w:bottom w:val="nil"/>
              <w:right w:val="nil"/>
            </w:tcBorders>
            <w:shd w:val="clear" w:color="auto" w:fill="FFFFFF"/>
            <w:vAlign w:val="bottom"/>
          </w:tcPr>
          <w:p w14:paraId="461FCFD1"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836" w:type="dxa"/>
            <w:tcBorders>
              <w:top w:val="nil"/>
              <w:left w:val="nil"/>
              <w:bottom w:val="nil"/>
              <w:right w:val="nil"/>
            </w:tcBorders>
            <w:shd w:val="clear" w:color="auto" w:fill="FFFFFF"/>
            <w:vAlign w:val="bottom"/>
          </w:tcPr>
          <w:p w14:paraId="4D744DFB"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Note</w:t>
            </w:r>
          </w:p>
        </w:tc>
        <w:tc>
          <w:tcPr>
            <w:tcW w:w="1270" w:type="dxa"/>
            <w:tcBorders>
              <w:top w:val="nil"/>
              <w:left w:val="nil"/>
              <w:bottom w:val="nil"/>
              <w:right w:val="nil"/>
            </w:tcBorders>
            <w:vAlign w:val="bottom"/>
          </w:tcPr>
          <w:p w14:paraId="01E073D9"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2026</w:t>
            </w:r>
          </w:p>
        </w:tc>
        <w:tc>
          <w:tcPr>
            <w:tcW w:w="1276" w:type="dxa"/>
            <w:tcBorders>
              <w:top w:val="nil"/>
              <w:left w:val="nil"/>
              <w:bottom w:val="nil"/>
              <w:right w:val="nil"/>
            </w:tcBorders>
            <w:vAlign w:val="bottom"/>
          </w:tcPr>
          <w:p w14:paraId="1AC90142"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2026</w:t>
            </w:r>
          </w:p>
        </w:tc>
        <w:tc>
          <w:tcPr>
            <w:tcW w:w="1264" w:type="dxa"/>
            <w:tcBorders>
              <w:top w:val="nil"/>
              <w:left w:val="nil"/>
              <w:bottom w:val="nil"/>
              <w:right w:val="nil"/>
            </w:tcBorders>
            <w:vAlign w:val="bottom"/>
          </w:tcPr>
          <w:p w14:paraId="2C420803"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2025</w:t>
            </w:r>
          </w:p>
        </w:tc>
      </w:tr>
      <w:tr w:rsidR="003F38ED" w:rsidRPr="003F38ED" w14:paraId="4B479AA3" w14:textId="77777777" w:rsidTr="003F38ED">
        <w:trPr>
          <w:trHeight w:val="227"/>
        </w:trPr>
        <w:tc>
          <w:tcPr>
            <w:tcW w:w="5407" w:type="dxa"/>
            <w:tcBorders>
              <w:top w:val="nil"/>
              <w:left w:val="nil"/>
              <w:right w:val="nil"/>
            </w:tcBorders>
            <w:shd w:val="clear" w:color="auto" w:fill="FFFFFF"/>
            <w:vAlign w:val="bottom"/>
          </w:tcPr>
          <w:p w14:paraId="5EDF8DB6"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Cash Flows from Operating Activities</w:t>
            </w:r>
          </w:p>
        </w:tc>
        <w:tc>
          <w:tcPr>
            <w:tcW w:w="836" w:type="dxa"/>
            <w:tcBorders>
              <w:top w:val="nil"/>
              <w:left w:val="nil"/>
              <w:right w:val="nil"/>
            </w:tcBorders>
            <w:shd w:val="clear" w:color="auto" w:fill="FFFFFF"/>
            <w:vAlign w:val="bottom"/>
          </w:tcPr>
          <w:p w14:paraId="414C634C"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No.</w:t>
            </w:r>
          </w:p>
        </w:tc>
        <w:tc>
          <w:tcPr>
            <w:tcW w:w="1270" w:type="dxa"/>
            <w:tcBorders>
              <w:top w:val="nil"/>
              <w:left w:val="nil"/>
              <w:bottom w:val="single" w:sz="4" w:space="0" w:color="auto"/>
              <w:right w:val="nil"/>
            </w:tcBorders>
            <w:shd w:val="clear" w:color="auto" w:fill="FFFFFF"/>
            <w:vAlign w:val="bottom"/>
          </w:tcPr>
          <w:p w14:paraId="2A8A2ED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c>
          <w:tcPr>
            <w:tcW w:w="1276" w:type="dxa"/>
            <w:tcBorders>
              <w:top w:val="nil"/>
              <w:left w:val="nil"/>
              <w:bottom w:val="single" w:sz="4" w:space="0" w:color="auto"/>
              <w:right w:val="nil"/>
            </w:tcBorders>
            <w:shd w:val="clear" w:color="auto" w:fill="FFFFFF"/>
            <w:vAlign w:val="bottom"/>
          </w:tcPr>
          <w:p w14:paraId="12335B27"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c>
          <w:tcPr>
            <w:tcW w:w="1264" w:type="dxa"/>
            <w:tcBorders>
              <w:top w:val="nil"/>
              <w:left w:val="nil"/>
              <w:bottom w:val="single" w:sz="4" w:space="0" w:color="auto"/>
              <w:right w:val="nil"/>
            </w:tcBorders>
            <w:shd w:val="clear" w:color="auto" w:fill="FFFFFF"/>
            <w:vAlign w:val="bottom"/>
          </w:tcPr>
          <w:p w14:paraId="573C9C5E"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$’000</w:t>
            </w:r>
          </w:p>
        </w:tc>
      </w:tr>
      <w:tr w:rsidR="003F38ED" w:rsidRPr="003F38ED" w14:paraId="338D310B" w14:textId="77777777" w:rsidTr="003F38ED">
        <w:trPr>
          <w:trHeight w:val="227"/>
        </w:trPr>
        <w:tc>
          <w:tcPr>
            <w:tcW w:w="5407" w:type="dxa"/>
            <w:tcBorders>
              <w:top w:val="nil"/>
              <w:left w:val="nil"/>
              <w:bottom w:val="nil"/>
              <w:right w:val="nil"/>
            </w:tcBorders>
            <w:shd w:val="clear" w:color="auto" w:fill="FFFFFF"/>
            <w:vAlign w:val="bottom"/>
          </w:tcPr>
          <w:p w14:paraId="15044CEA"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Receipts</w:t>
            </w:r>
          </w:p>
        </w:tc>
        <w:tc>
          <w:tcPr>
            <w:tcW w:w="836" w:type="dxa"/>
            <w:tcBorders>
              <w:top w:val="nil"/>
              <w:left w:val="nil"/>
              <w:bottom w:val="nil"/>
              <w:right w:val="nil"/>
            </w:tcBorders>
            <w:shd w:val="clear" w:color="auto" w:fill="FFFFFF"/>
            <w:vAlign w:val="bottom"/>
          </w:tcPr>
          <w:p w14:paraId="61075D7C"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vAlign w:val="bottom"/>
          </w:tcPr>
          <w:p w14:paraId="729A4BE4"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w:t>
            </w:r>
          </w:p>
        </w:tc>
        <w:tc>
          <w:tcPr>
            <w:tcW w:w="1276" w:type="dxa"/>
            <w:tcBorders>
              <w:top w:val="nil"/>
              <w:left w:val="nil"/>
              <w:bottom w:val="nil"/>
              <w:right w:val="nil"/>
            </w:tcBorders>
            <w:shd w:val="clear" w:color="auto" w:fill="FFFFFF"/>
            <w:vAlign w:val="bottom"/>
          </w:tcPr>
          <w:p w14:paraId="245E4E9C"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w:t>
            </w:r>
          </w:p>
        </w:tc>
        <w:tc>
          <w:tcPr>
            <w:tcW w:w="1264" w:type="dxa"/>
            <w:tcBorders>
              <w:top w:val="nil"/>
              <w:left w:val="nil"/>
              <w:bottom w:val="nil"/>
              <w:right w:val="nil"/>
            </w:tcBorders>
            <w:shd w:val="clear" w:color="auto" w:fill="FFFFFF"/>
            <w:vAlign w:val="bottom"/>
          </w:tcPr>
          <w:p w14:paraId="50FA75FC"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w:t>
            </w:r>
          </w:p>
        </w:tc>
      </w:tr>
      <w:tr w:rsidR="003F38ED" w:rsidRPr="003F38ED" w14:paraId="41E95660" w14:textId="77777777" w:rsidTr="003F38ED">
        <w:trPr>
          <w:trHeight w:val="227"/>
        </w:trPr>
        <w:tc>
          <w:tcPr>
            <w:tcW w:w="5407" w:type="dxa"/>
            <w:tcBorders>
              <w:top w:val="nil"/>
              <w:left w:val="nil"/>
              <w:bottom w:val="nil"/>
              <w:right w:val="nil"/>
            </w:tcBorders>
            <w:shd w:val="clear" w:color="auto" w:fill="FFFFFF"/>
            <w:vAlign w:val="bottom"/>
          </w:tcPr>
          <w:p w14:paraId="4A9F4D6F" w14:textId="77777777" w:rsidR="003F38ED" w:rsidRPr="003F38ED" w:rsidRDefault="003F38ED" w:rsidP="003F38ED">
            <w:pPr>
              <w:spacing w:after="2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Contributions from Employers and Contractors</w:t>
            </w:r>
          </w:p>
        </w:tc>
        <w:tc>
          <w:tcPr>
            <w:tcW w:w="836" w:type="dxa"/>
            <w:tcBorders>
              <w:top w:val="nil"/>
              <w:left w:val="nil"/>
              <w:bottom w:val="nil"/>
              <w:right w:val="nil"/>
            </w:tcBorders>
            <w:shd w:val="clear" w:color="auto" w:fill="FFFFFF"/>
            <w:vAlign w:val="bottom"/>
          </w:tcPr>
          <w:p w14:paraId="5C6A7E61"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noWrap/>
            <w:vAlign w:val="bottom"/>
          </w:tcPr>
          <w:p w14:paraId="7C7F2E05"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49,947</w:t>
            </w:r>
          </w:p>
        </w:tc>
        <w:tc>
          <w:tcPr>
            <w:tcW w:w="1276" w:type="dxa"/>
            <w:tcBorders>
              <w:top w:val="nil"/>
              <w:left w:val="nil"/>
              <w:bottom w:val="nil"/>
              <w:right w:val="nil"/>
            </w:tcBorders>
            <w:shd w:val="clear" w:color="auto" w:fill="FFFFFF"/>
            <w:noWrap/>
            <w:vAlign w:val="bottom"/>
          </w:tcPr>
          <w:p w14:paraId="36156D67"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47,988</w:t>
            </w:r>
          </w:p>
        </w:tc>
        <w:tc>
          <w:tcPr>
            <w:tcW w:w="1264" w:type="dxa"/>
            <w:tcBorders>
              <w:top w:val="nil"/>
              <w:left w:val="nil"/>
              <w:bottom w:val="nil"/>
              <w:right w:val="nil"/>
            </w:tcBorders>
            <w:shd w:val="clear" w:color="auto" w:fill="FFFFFF"/>
            <w:noWrap/>
            <w:vAlign w:val="bottom"/>
          </w:tcPr>
          <w:p w14:paraId="6F12DE5C"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 44,843 </w:t>
            </w:r>
          </w:p>
        </w:tc>
      </w:tr>
      <w:tr w:rsidR="003F38ED" w:rsidRPr="003F38ED" w14:paraId="4EEC80B5" w14:textId="77777777" w:rsidTr="003F38ED">
        <w:trPr>
          <w:trHeight w:val="227"/>
        </w:trPr>
        <w:tc>
          <w:tcPr>
            <w:tcW w:w="5407" w:type="dxa"/>
            <w:tcBorders>
              <w:top w:val="nil"/>
              <w:left w:val="nil"/>
              <w:bottom w:val="nil"/>
              <w:right w:val="nil"/>
            </w:tcBorders>
            <w:shd w:val="clear" w:color="auto" w:fill="FFFFFF"/>
            <w:vAlign w:val="bottom"/>
          </w:tcPr>
          <w:p w14:paraId="2FA36A88" w14:textId="77777777" w:rsidR="003F38ED" w:rsidRPr="003F38ED" w:rsidRDefault="003F38ED" w:rsidP="003F38ED">
            <w:pPr>
              <w:spacing w:after="2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Interest Received</w:t>
            </w:r>
          </w:p>
        </w:tc>
        <w:tc>
          <w:tcPr>
            <w:tcW w:w="836" w:type="dxa"/>
            <w:tcBorders>
              <w:top w:val="nil"/>
              <w:left w:val="nil"/>
              <w:bottom w:val="nil"/>
              <w:right w:val="nil"/>
            </w:tcBorders>
            <w:shd w:val="clear" w:color="auto" w:fill="FFFFFF"/>
            <w:vAlign w:val="bottom"/>
          </w:tcPr>
          <w:p w14:paraId="2B3AAC17"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noWrap/>
            <w:vAlign w:val="bottom"/>
          </w:tcPr>
          <w:p w14:paraId="04E8A92E"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388</w:t>
            </w:r>
          </w:p>
        </w:tc>
        <w:tc>
          <w:tcPr>
            <w:tcW w:w="1276" w:type="dxa"/>
            <w:tcBorders>
              <w:top w:val="nil"/>
              <w:left w:val="nil"/>
              <w:bottom w:val="nil"/>
              <w:right w:val="nil"/>
            </w:tcBorders>
            <w:noWrap/>
            <w:vAlign w:val="bottom"/>
          </w:tcPr>
          <w:p w14:paraId="6CAEED60"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r w:rsidRPr="003F38ED">
              <w:rPr>
                <w:rFonts w:ascii="Arial" w:eastAsia="Times New Roman" w:hAnsi="Arial" w:cs="Arial"/>
                <w:color w:val="000000"/>
                <w:sz w:val="18"/>
                <w:szCs w:val="18"/>
                <w:lang w:val="en-AU"/>
              </w:rPr>
              <w:t>330</w:t>
            </w:r>
          </w:p>
        </w:tc>
        <w:tc>
          <w:tcPr>
            <w:tcW w:w="1264" w:type="dxa"/>
            <w:tcBorders>
              <w:top w:val="nil"/>
              <w:left w:val="nil"/>
              <w:bottom w:val="nil"/>
              <w:right w:val="nil"/>
            </w:tcBorders>
            <w:shd w:val="clear" w:color="auto" w:fill="FFFFFF"/>
            <w:noWrap/>
            <w:vAlign w:val="bottom"/>
          </w:tcPr>
          <w:p w14:paraId="0DD5676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 355 </w:t>
            </w:r>
          </w:p>
        </w:tc>
      </w:tr>
      <w:tr w:rsidR="003F38ED" w:rsidRPr="003F38ED" w14:paraId="29EBD86D" w14:textId="77777777" w:rsidTr="003F38ED">
        <w:trPr>
          <w:trHeight w:val="227"/>
        </w:trPr>
        <w:tc>
          <w:tcPr>
            <w:tcW w:w="5407" w:type="dxa"/>
            <w:tcBorders>
              <w:top w:val="nil"/>
              <w:left w:val="nil"/>
              <w:bottom w:val="nil"/>
              <w:right w:val="nil"/>
            </w:tcBorders>
            <w:shd w:val="clear" w:color="auto" w:fill="FFFFFF"/>
            <w:vAlign w:val="bottom"/>
          </w:tcPr>
          <w:p w14:paraId="6212729F" w14:textId="77777777" w:rsidR="003F38ED" w:rsidRPr="003F38ED" w:rsidRDefault="003F38ED" w:rsidP="003F38ED">
            <w:pPr>
              <w:spacing w:after="2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Revenue from Other Sources</w:t>
            </w:r>
          </w:p>
        </w:tc>
        <w:tc>
          <w:tcPr>
            <w:tcW w:w="836" w:type="dxa"/>
            <w:tcBorders>
              <w:top w:val="nil"/>
              <w:left w:val="nil"/>
              <w:bottom w:val="nil"/>
              <w:right w:val="nil"/>
            </w:tcBorders>
            <w:shd w:val="clear" w:color="auto" w:fill="FFFFFF"/>
            <w:vAlign w:val="bottom"/>
          </w:tcPr>
          <w:p w14:paraId="78C439EA"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noWrap/>
            <w:vAlign w:val="bottom"/>
          </w:tcPr>
          <w:p w14:paraId="1AEEC563"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217</w:t>
            </w:r>
          </w:p>
        </w:tc>
        <w:tc>
          <w:tcPr>
            <w:tcW w:w="1276" w:type="dxa"/>
            <w:tcBorders>
              <w:top w:val="nil"/>
              <w:left w:val="nil"/>
              <w:bottom w:val="nil"/>
              <w:right w:val="nil"/>
            </w:tcBorders>
            <w:noWrap/>
            <w:vAlign w:val="bottom"/>
          </w:tcPr>
          <w:p w14:paraId="551738B6"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r w:rsidRPr="003F38ED">
              <w:rPr>
                <w:rFonts w:ascii="Arial" w:eastAsia="Times New Roman" w:hAnsi="Arial" w:cs="Arial"/>
                <w:color w:val="000000"/>
                <w:sz w:val="18"/>
                <w:szCs w:val="18"/>
                <w:lang w:val="en-AU"/>
              </w:rPr>
              <w:t>112</w:t>
            </w:r>
          </w:p>
        </w:tc>
        <w:tc>
          <w:tcPr>
            <w:tcW w:w="1264" w:type="dxa"/>
            <w:tcBorders>
              <w:top w:val="nil"/>
              <w:left w:val="nil"/>
              <w:bottom w:val="nil"/>
              <w:right w:val="nil"/>
            </w:tcBorders>
            <w:shd w:val="clear" w:color="auto" w:fill="FFFFFF"/>
            <w:noWrap/>
            <w:vAlign w:val="bottom"/>
          </w:tcPr>
          <w:p w14:paraId="76E77E79"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 140 </w:t>
            </w:r>
          </w:p>
        </w:tc>
      </w:tr>
      <w:tr w:rsidR="003F38ED" w:rsidRPr="003F38ED" w14:paraId="7974F07A" w14:textId="77777777" w:rsidTr="003F38ED">
        <w:trPr>
          <w:trHeight w:val="227"/>
        </w:trPr>
        <w:tc>
          <w:tcPr>
            <w:tcW w:w="5407" w:type="dxa"/>
            <w:tcBorders>
              <w:top w:val="nil"/>
              <w:left w:val="nil"/>
              <w:bottom w:val="nil"/>
              <w:right w:val="nil"/>
            </w:tcBorders>
            <w:shd w:val="clear" w:color="auto" w:fill="FFFFFF"/>
            <w:vAlign w:val="bottom"/>
          </w:tcPr>
          <w:p w14:paraId="57DA99CC" w14:textId="77777777" w:rsidR="003F38ED" w:rsidRPr="003F38ED" w:rsidRDefault="003F38ED" w:rsidP="003F38ED">
            <w:pPr>
              <w:spacing w:after="2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Sales of Services from Contracts with Customers</w:t>
            </w:r>
          </w:p>
        </w:tc>
        <w:tc>
          <w:tcPr>
            <w:tcW w:w="836" w:type="dxa"/>
            <w:tcBorders>
              <w:top w:val="nil"/>
              <w:left w:val="nil"/>
              <w:bottom w:val="nil"/>
              <w:right w:val="nil"/>
            </w:tcBorders>
            <w:shd w:val="clear" w:color="auto" w:fill="FFFFFF"/>
            <w:vAlign w:val="bottom"/>
          </w:tcPr>
          <w:p w14:paraId="784B1CE5"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noWrap/>
            <w:vAlign w:val="bottom"/>
          </w:tcPr>
          <w:p w14:paraId="74A06BB5"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50</w:t>
            </w:r>
          </w:p>
        </w:tc>
        <w:tc>
          <w:tcPr>
            <w:tcW w:w="1276" w:type="dxa"/>
            <w:tcBorders>
              <w:top w:val="nil"/>
              <w:left w:val="nil"/>
              <w:bottom w:val="nil"/>
              <w:right w:val="nil"/>
            </w:tcBorders>
            <w:noWrap/>
            <w:vAlign w:val="bottom"/>
          </w:tcPr>
          <w:p w14:paraId="4950FBF5"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r w:rsidRPr="003F38ED">
              <w:rPr>
                <w:rFonts w:ascii="Arial" w:eastAsia="Times New Roman" w:hAnsi="Arial" w:cs="Arial"/>
                <w:color w:val="000000"/>
                <w:sz w:val="18"/>
                <w:szCs w:val="18"/>
                <w:lang w:val="en-AU"/>
              </w:rPr>
              <w:t>50</w:t>
            </w:r>
          </w:p>
        </w:tc>
        <w:tc>
          <w:tcPr>
            <w:tcW w:w="1264" w:type="dxa"/>
            <w:tcBorders>
              <w:top w:val="nil"/>
              <w:left w:val="nil"/>
              <w:bottom w:val="nil"/>
              <w:right w:val="nil"/>
            </w:tcBorders>
            <w:shd w:val="clear" w:color="auto" w:fill="FFFFFF"/>
            <w:noWrap/>
            <w:vAlign w:val="bottom"/>
          </w:tcPr>
          <w:p w14:paraId="42DED3ED"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 79 </w:t>
            </w:r>
          </w:p>
        </w:tc>
      </w:tr>
      <w:tr w:rsidR="003F38ED" w:rsidRPr="003F38ED" w14:paraId="327650C2" w14:textId="77777777" w:rsidTr="003F38ED">
        <w:trPr>
          <w:trHeight w:val="227"/>
        </w:trPr>
        <w:tc>
          <w:tcPr>
            <w:tcW w:w="5407" w:type="dxa"/>
            <w:tcBorders>
              <w:top w:val="nil"/>
              <w:left w:val="nil"/>
              <w:bottom w:val="nil"/>
              <w:right w:val="nil"/>
            </w:tcBorders>
            <w:shd w:val="clear" w:color="auto" w:fill="FFFFFF"/>
            <w:vAlign w:val="bottom"/>
          </w:tcPr>
          <w:p w14:paraId="163A802B" w14:textId="77777777" w:rsidR="003F38ED" w:rsidRPr="003F38ED" w:rsidRDefault="003F38ED" w:rsidP="003F38ED">
            <w:pPr>
              <w:spacing w:after="0" w:line="240" w:lineRule="auto"/>
              <w:ind w:left="142" w:hanging="142"/>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 xml:space="preserve">Goods and Services Tax Input Tax Credits from the Australian Taxation Office </w:t>
            </w:r>
          </w:p>
        </w:tc>
        <w:tc>
          <w:tcPr>
            <w:tcW w:w="836" w:type="dxa"/>
            <w:tcBorders>
              <w:top w:val="nil"/>
              <w:left w:val="nil"/>
              <w:bottom w:val="nil"/>
              <w:right w:val="nil"/>
            </w:tcBorders>
            <w:shd w:val="clear" w:color="auto" w:fill="FFFFFF"/>
            <w:vAlign w:val="bottom"/>
          </w:tcPr>
          <w:p w14:paraId="5D53B13C"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noWrap/>
            <w:vAlign w:val="bottom"/>
          </w:tcPr>
          <w:p w14:paraId="6EC32CCD"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33</w:t>
            </w:r>
          </w:p>
        </w:tc>
        <w:tc>
          <w:tcPr>
            <w:tcW w:w="1276" w:type="dxa"/>
            <w:tcBorders>
              <w:top w:val="nil"/>
              <w:left w:val="nil"/>
              <w:bottom w:val="nil"/>
              <w:right w:val="nil"/>
            </w:tcBorders>
            <w:noWrap/>
            <w:vAlign w:val="bottom"/>
          </w:tcPr>
          <w:p w14:paraId="509AA4CA"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33</w:t>
            </w:r>
          </w:p>
        </w:tc>
        <w:tc>
          <w:tcPr>
            <w:tcW w:w="1264" w:type="dxa"/>
            <w:tcBorders>
              <w:top w:val="nil"/>
              <w:left w:val="nil"/>
              <w:bottom w:val="nil"/>
              <w:right w:val="nil"/>
            </w:tcBorders>
            <w:shd w:val="clear" w:color="auto" w:fill="FFFFFF"/>
            <w:noWrap/>
            <w:vAlign w:val="bottom"/>
          </w:tcPr>
          <w:p w14:paraId="57B0BE03"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 144 </w:t>
            </w:r>
          </w:p>
        </w:tc>
      </w:tr>
      <w:tr w:rsidR="003F38ED" w:rsidRPr="003F38ED" w14:paraId="39F142C8" w14:textId="77777777" w:rsidTr="003F38ED">
        <w:trPr>
          <w:trHeight w:val="227"/>
        </w:trPr>
        <w:tc>
          <w:tcPr>
            <w:tcW w:w="5407" w:type="dxa"/>
            <w:tcBorders>
              <w:top w:val="nil"/>
              <w:left w:val="nil"/>
              <w:bottom w:val="nil"/>
              <w:right w:val="nil"/>
            </w:tcBorders>
            <w:shd w:val="clear" w:color="auto" w:fill="FFFFFF"/>
            <w:vAlign w:val="bottom"/>
          </w:tcPr>
          <w:p w14:paraId="0004E9E3"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Goods and Services Tax Collected from Customers</w:t>
            </w:r>
          </w:p>
        </w:tc>
        <w:tc>
          <w:tcPr>
            <w:tcW w:w="836" w:type="dxa"/>
            <w:tcBorders>
              <w:top w:val="nil"/>
              <w:left w:val="nil"/>
              <w:bottom w:val="nil"/>
              <w:right w:val="nil"/>
            </w:tcBorders>
            <w:shd w:val="clear" w:color="auto" w:fill="FFFFFF"/>
            <w:vAlign w:val="bottom"/>
          </w:tcPr>
          <w:p w14:paraId="578D60E9"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single" w:sz="4" w:space="0" w:color="auto"/>
              <w:right w:val="nil"/>
            </w:tcBorders>
            <w:shd w:val="clear" w:color="auto" w:fill="FFFFFF"/>
            <w:noWrap/>
            <w:vAlign w:val="bottom"/>
          </w:tcPr>
          <w:p w14:paraId="65CBB45E"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121</w:t>
            </w:r>
          </w:p>
        </w:tc>
        <w:tc>
          <w:tcPr>
            <w:tcW w:w="1276" w:type="dxa"/>
            <w:tcBorders>
              <w:top w:val="nil"/>
              <w:left w:val="nil"/>
              <w:bottom w:val="single" w:sz="4" w:space="0" w:color="auto"/>
              <w:right w:val="nil"/>
            </w:tcBorders>
            <w:noWrap/>
            <w:vAlign w:val="bottom"/>
          </w:tcPr>
          <w:p w14:paraId="52D36D2A"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121</w:t>
            </w:r>
          </w:p>
        </w:tc>
        <w:tc>
          <w:tcPr>
            <w:tcW w:w="1264" w:type="dxa"/>
            <w:tcBorders>
              <w:top w:val="nil"/>
              <w:left w:val="nil"/>
              <w:bottom w:val="single" w:sz="4" w:space="0" w:color="auto"/>
              <w:right w:val="nil"/>
            </w:tcBorders>
            <w:shd w:val="clear" w:color="auto" w:fill="FFFFFF"/>
            <w:noWrap/>
            <w:vAlign w:val="bottom"/>
          </w:tcPr>
          <w:p w14:paraId="140FB722"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 155 </w:t>
            </w:r>
          </w:p>
        </w:tc>
      </w:tr>
      <w:tr w:rsidR="003F38ED" w:rsidRPr="003F38ED" w14:paraId="26FEFAD0" w14:textId="77777777" w:rsidTr="003F38ED">
        <w:trPr>
          <w:trHeight w:val="227"/>
        </w:trPr>
        <w:tc>
          <w:tcPr>
            <w:tcW w:w="5407" w:type="dxa"/>
            <w:tcBorders>
              <w:left w:val="nil"/>
              <w:right w:val="nil"/>
            </w:tcBorders>
            <w:shd w:val="clear" w:color="auto" w:fill="FFFFFF"/>
            <w:vAlign w:val="bottom"/>
          </w:tcPr>
          <w:p w14:paraId="779BCBAB"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 xml:space="preserve">Total Receipts from Operating Activities </w:t>
            </w:r>
          </w:p>
        </w:tc>
        <w:tc>
          <w:tcPr>
            <w:tcW w:w="836" w:type="dxa"/>
            <w:tcBorders>
              <w:left w:val="nil"/>
              <w:right w:val="nil"/>
            </w:tcBorders>
            <w:shd w:val="clear" w:color="auto" w:fill="FFFFFF"/>
            <w:vAlign w:val="bottom"/>
          </w:tcPr>
          <w:p w14:paraId="2EE1573C"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0" w:type="dxa"/>
            <w:tcBorders>
              <w:top w:val="single" w:sz="4" w:space="0" w:color="auto"/>
              <w:left w:val="nil"/>
              <w:bottom w:val="single" w:sz="4" w:space="0" w:color="auto"/>
              <w:right w:val="nil"/>
            </w:tcBorders>
            <w:shd w:val="clear" w:color="auto" w:fill="FFFFFF"/>
            <w:noWrap/>
            <w:vAlign w:val="bottom"/>
          </w:tcPr>
          <w:p w14:paraId="15DC52DF"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50,756</w:t>
            </w:r>
          </w:p>
        </w:tc>
        <w:tc>
          <w:tcPr>
            <w:tcW w:w="1276" w:type="dxa"/>
            <w:tcBorders>
              <w:top w:val="single" w:sz="4" w:space="0" w:color="auto"/>
              <w:left w:val="nil"/>
              <w:bottom w:val="single" w:sz="4" w:space="0" w:color="auto"/>
              <w:right w:val="nil"/>
            </w:tcBorders>
            <w:noWrap/>
            <w:vAlign w:val="bottom"/>
          </w:tcPr>
          <w:p w14:paraId="4063DFB9"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b/>
                <w:color w:val="000000"/>
                <w:sz w:val="18"/>
                <w:szCs w:val="18"/>
                <w:lang w:val="en-AU" w:eastAsia="en-US"/>
              </w:rPr>
              <w:t>48,634</w:t>
            </w:r>
          </w:p>
        </w:tc>
        <w:tc>
          <w:tcPr>
            <w:tcW w:w="1264" w:type="dxa"/>
            <w:tcBorders>
              <w:top w:val="single" w:sz="4" w:space="0" w:color="auto"/>
              <w:left w:val="nil"/>
              <w:bottom w:val="single" w:sz="4" w:space="0" w:color="auto"/>
              <w:right w:val="nil"/>
            </w:tcBorders>
            <w:shd w:val="clear" w:color="auto" w:fill="FFFFFF"/>
            <w:noWrap/>
            <w:vAlign w:val="bottom"/>
          </w:tcPr>
          <w:p w14:paraId="528A8436"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Calibri" w:hAnsi="Arial" w:cs="Arial"/>
                <w:b/>
                <w:color w:val="auto"/>
                <w:sz w:val="18"/>
                <w:szCs w:val="18"/>
                <w:lang w:val="en-AU" w:eastAsia="en-US"/>
              </w:rPr>
              <w:t xml:space="preserve"> 45,716</w:t>
            </w:r>
          </w:p>
        </w:tc>
      </w:tr>
      <w:tr w:rsidR="003F38ED" w:rsidRPr="003F38ED" w14:paraId="0D096CB2" w14:textId="77777777" w:rsidTr="003F38ED">
        <w:trPr>
          <w:trHeight w:val="227"/>
        </w:trPr>
        <w:tc>
          <w:tcPr>
            <w:tcW w:w="5407" w:type="dxa"/>
            <w:tcBorders>
              <w:top w:val="nil"/>
              <w:left w:val="nil"/>
              <w:bottom w:val="nil"/>
              <w:right w:val="nil"/>
            </w:tcBorders>
            <w:shd w:val="clear" w:color="auto" w:fill="FFFFFF"/>
            <w:vAlign w:val="bottom"/>
          </w:tcPr>
          <w:p w14:paraId="1EE8C652" w14:textId="77777777" w:rsidR="003F38ED" w:rsidRPr="003F38ED" w:rsidRDefault="003F38ED" w:rsidP="003F38ED">
            <w:pPr>
              <w:spacing w:after="0" w:line="240" w:lineRule="auto"/>
              <w:rPr>
                <w:rFonts w:ascii="Arial" w:eastAsia="Times New Roman" w:hAnsi="Arial" w:cs="Arial"/>
                <w:color w:val="auto"/>
                <w:sz w:val="18"/>
                <w:szCs w:val="18"/>
                <w:lang w:val="en-AU"/>
              </w:rPr>
            </w:pPr>
          </w:p>
        </w:tc>
        <w:tc>
          <w:tcPr>
            <w:tcW w:w="836" w:type="dxa"/>
            <w:tcBorders>
              <w:top w:val="nil"/>
              <w:left w:val="nil"/>
              <w:bottom w:val="nil"/>
              <w:right w:val="nil"/>
            </w:tcBorders>
            <w:shd w:val="clear" w:color="auto" w:fill="FFFFFF"/>
            <w:vAlign w:val="bottom"/>
          </w:tcPr>
          <w:p w14:paraId="630CF993"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single" w:sz="4" w:space="0" w:color="auto"/>
              <w:left w:val="nil"/>
              <w:bottom w:val="nil"/>
              <w:right w:val="nil"/>
            </w:tcBorders>
            <w:shd w:val="clear" w:color="auto" w:fill="FFFFFF"/>
            <w:vAlign w:val="bottom"/>
          </w:tcPr>
          <w:p w14:paraId="03CF68AD"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76" w:type="dxa"/>
            <w:tcBorders>
              <w:top w:val="single" w:sz="4" w:space="0" w:color="auto"/>
              <w:left w:val="nil"/>
              <w:bottom w:val="nil"/>
              <w:right w:val="nil"/>
            </w:tcBorders>
            <w:vAlign w:val="bottom"/>
          </w:tcPr>
          <w:p w14:paraId="46EF7A62"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p>
        </w:tc>
        <w:tc>
          <w:tcPr>
            <w:tcW w:w="1264" w:type="dxa"/>
            <w:tcBorders>
              <w:top w:val="single" w:sz="4" w:space="0" w:color="auto"/>
              <w:left w:val="nil"/>
              <w:bottom w:val="nil"/>
              <w:right w:val="nil"/>
            </w:tcBorders>
            <w:shd w:val="clear" w:color="auto" w:fill="FFFFFF"/>
            <w:vAlign w:val="bottom"/>
          </w:tcPr>
          <w:p w14:paraId="6C36CAA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5CBD43B6" w14:textId="77777777" w:rsidTr="003F38ED">
        <w:trPr>
          <w:trHeight w:val="227"/>
        </w:trPr>
        <w:tc>
          <w:tcPr>
            <w:tcW w:w="5407" w:type="dxa"/>
            <w:tcBorders>
              <w:top w:val="nil"/>
              <w:left w:val="nil"/>
              <w:bottom w:val="nil"/>
              <w:right w:val="nil"/>
            </w:tcBorders>
            <w:shd w:val="clear" w:color="auto" w:fill="FFFFFF"/>
            <w:vAlign w:val="bottom"/>
          </w:tcPr>
          <w:p w14:paraId="3D9B9E3D"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Payments</w:t>
            </w:r>
          </w:p>
        </w:tc>
        <w:tc>
          <w:tcPr>
            <w:tcW w:w="836" w:type="dxa"/>
            <w:tcBorders>
              <w:top w:val="nil"/>
              <w:left w:val="nil"/>
              <w:bottom w:val="nil"/>
              <w:right w:val="nil"/>
            </w:tcBorders>
            <w:shd w:val="clear" w:color="auto" w:fill="FFFFFF"/>
            <w:vAlign w:val="bottom"/>
          </w:tcPr>
          <w:p w14:paraId="16125F22"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noWrap/>
            <w:vAlign w:val="bottom"/>
          </w:tcPr>
          <w:p w14:paraId="59D84E14"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76" w:type="dxa"/>
            <w:tcBorders>
              <w:top w:val="nil"/>
              <w:left w:val="nil"/>
              <w:bottom w:val="nil"/>
              <w:right w:val="nil"/>
            </w:tcBorders>
            <w:noWrap/>
            <w:vAlign w:val="bottom"/>
          </w:tcPr>
          <w:p w14:paraId="5A382DFB"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p>
        </w:tc>
        <w:tc>
          <w:tcPr>
            <w:tcW w:w="1264" w:type="dxa"/>
            <w:tcBorders>
              <w:top w:val="nil"/>
              <w:left w:val="nil"/>
              <w:bottom w:val="nil"/>
              <w:right w:val="nil"/>
            </w:tcBorders>
            <w:shd w:val="clear" w:color="auto" w:fill="FFFFFF"/>
            <w:noWrap/>
            <w:vAlign w:val="bottom"/>
          </w:tcPr>
          <w:p w14:paraId="3848D26C"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39571F54" w14:textId="77777777" w:rsidTr="003F38ED">
        <w:trPr>
          <w:trHeight w:val="227"/>
        </w:trPr>
        <w:tc>
          <w:tcPr>
            <w:tcW w:w="5407" w:type="dxa"/>
            <w:tcBorders>
              <w:top w:val="nil"/>
              <w:left w:val="nil"/>
              <w:bottom w:val="nil"/>
              <w:right w:val="nil"/>
            </w:tcBorders>
            <w:shd w:val="clear" w:color="auto" w:fill="FFFFFF"/>
            <w:vAlign w:val="bottom"/>
          </w:tcPr>
          <w:p w14:paraId="63DB8C16"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Payments of Long Service Leave Benefits</w:t>
            </w:r>
          </w:p>
        </w:tc>
        <w:tc>
          <w:tcPr>
            <w:tcW w:w="836" w:type="dxa"/>
            <w:tcBorders>
              <w:top w:val="nil"/>
              <w:left w:val="nil"/>
              <w:bottom w:val="nil"/>
              <w:right w:val="nil"/>
            </w:tcBorders>
            <w:shd w:val="clear" w:color="auto" w:fill="FFFFFF"/>
            <w:vAlign w:val="bottom"/>
          </w:tcPr>
          <w:p w14:paraId="789A0234"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noWrap/>
            <w:vAlign w:val="bottom"/>
          </w:tcPr>
          <w:p w14:paraId="4753796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(33,266)</w:t>
            </w:r>
          </w:p>
        </w:tc>
        <w:tc>
          <w:tcPr>
            <w:tcW w:w="1276" w:type="dxa"/>
            <w:tcBorders>
              <w:top w:val="nil"/>
              <w:left w:val="nil"/>
              <w:bottom w:val="nil"/>
              <w:right w:val="nil"/>
            </w:tcBorders>
            <w:noWrap/>
            <w:vAlign w:val="bottom"/>
          </w:tcPr>
          <w:p w14:paraId="68654FA3"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 xml:space="preserve"> (24,992)</w:t>
            </w:r>
          </w:p>
        </w:tc>
        <w:tc>
          <w:tcPr>
            <w:tcW w:w="1264" w:type="dxa"/>
            <w:tcBorders>
              <w:top w:val="nil"/>
              <w:left w:val="nil"/>
              <w:bottom w:val="nil"/>
              <w:right w:val="nil"/>
            </w:tcBorders>
            <w:shd w:val="clear" w:color="auto" w:fill="FFFFFF"/>
            <w:noWrap/>
            <w:vAlign w:val="bottom"/>
          </w:tcPr>
          <w:p w14:paraId="11AD1DA6"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(29,106) </w:t>
            </w:r>
          </w:p>
        </w:tc>
      </w:tr>
      <w:tr w:rsidR="003F38ED" w:rsidRPr="003F38ED" w14:paraId="3960DD07" w14:textId="77777777" w:rsidTr="003F38ED">
        <w:trPr>
          <w:trHeight w:val="227"/>
        </w:trPr>
        <w:tc>
          <w:tcPr>
            <w:tcW w:w="5407" w:type="dxa"/>
            <w:tcBorders>
              <w:top w:val="nil"/>
              <w:left w:val="nil"/>
              <w:bottom w:val="nil"/>
              <w:right w:val="nil"/>
            </w:tcBorders>
            <w:shd w:val="clear" w:color="auto" w:fill="FFFFFF"/>
            <w:vAlign w:val="bottom"/>
          </w:tcPr>
          <w:p w14:paraId="5E59B1EE"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Payments to Suppliers and Employees</w:t>
            </w:r>
          </w:p>
        </w:tc>
        <w:tc>
          <w:tcPr>
            <w:tcW w:w="836" w:type="dxa"/>
            <w:tcBorders>
              <w:top w:val="nil"/>
              <w:left w:val="nil"/>
              <w:bottom w:val="nil"/>
              <w:right w:val="nil"/>
            </w:tcBorders>
            <w:shd w:val="clear" w:color="auto" w:fill="FFFFFF"/>
            <w:vAlign w:val="bottom"/>
          </w:tcPr>
          <w:p w14:paraId="320BDE30"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noWrap/>
            <w:vAlign w:val="bottom"/>
          </w:tcPr>
          <w:p w14:paraId="0C57B26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(7,362)</w:t>
            </w:r>
          </w:p>
        </w:tc>
        <w:tc>
          <w:tcPr>
            <w:tcW w:w="1276" w:type="dxa"/>
            <w:tcBorders>
              <w:top w:val="nil"/>
              <w:left w:val="nil"/>
              <w:bottom w:val="nil"/>
              <w:right w:val="nil"/>
            </w:tcBorders>
            <w:noWrap/>
            <w:vAlign w:val="bottom"/>
          </w:tcPr>
          <w:p w14:paraId="1B63E087"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 xml:space="preserve"> (8,040)</w:t>
            </w:r>
          </w:p>
        </w:tc>
        <w:tc>
          <w:tcPr>
            <w:tcW w:w="1264" w:type="dxa"/>
            <w:tcBorders>
              <w:top w:val="nil"/>
              <w:left w:val="nil"/>
              <w:bottom w:val="nil"/>
              <w:right w:val="nil"/>
            </w:tcBorders>
            <w:shd w:val="clear" w:color="auto" w:fill="FFFFFF"/>
            <w:noWrap/>
            <w:vAlign w:val="bottom"/>
          </w:tcPr>
          <w:p w14:paraId="61A95CFA"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(7,255) </w:t>
            </w:r>
          </w:p>
        </w:tc>
      </w:tr>
      <w:tr w:rsidR="003F38ED" w:rsidRPr="003F38ED" w14:paraId="4260077A" w14:textId="77777777" w:rsidTr="003F38ED">
        <w:trPr>
          <w:trHeight w:val="227"/>
        </w:trPr>
        <w:tc>
          <w:tcPr>
            <w:tcW w:w="5407" w:type="dxa"/>
            <w:tcBorders>
              <w:top w:val="nil"/>
              <w:left w:val="nil"/>
              <w:bottom w:val="nil"/>
              <w:right w:val="nil"/>
            </w:tcBorders>
            <w:shd w:val="clear" w:color="auto" w:fill="FFFFFF"/>
            <w:vAlign w:val="bottom"/>
          </w:tcPr>
          <w:p w14:paraId="540C3932"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Goods and Services Tax Paid to Suppliers</w:t>
            </w:r>
          </w:p>
        </w:tc>
        <w:tc>
          <w:tcPr>
            <w:tcW w:w="836" w:type="dxa"/>
            <w:tcBorders>
              <w:top w:val="nil"/>
              <w:left w:val="nil"/>
              <w:bottom w:val="nil"/>
              <w:right w:val="nil"/>
            </w:tcBorders>
            <w:shd w:val="clear" w:color="auto" w:fill="FFFFFF"/>
            <w:vAlign w:val="bottom"/>
          </w:tcPr>
          <w:p w14:paraId="73FB2354"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right w:val="nil"/>
            </w:tcBorders>
            <w:shd w:val="clear" w:color="auto" w:fill="FFFFFF"/>
            <w:noWrap/>
            <w:vAlign w:val="bottom"/>
          </w:tcPr>
          <w:p w14:paraId="04874A80"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(318)</w:t>
            </w:r>
          </w:p>
        </w:tc>
        <w:tc>
          <w:tcPr>
            <w:tcW w:w="1276" w:type="dxa"/>
            <w:tcBorders>
              <w:top w:val="nil"/>
              <w:left w:val="nil"/>
              <w:right w:val="nil"/>
            </w:tcBorders>
            <w:noWrap/>
            <w:vAlign w:val="bottom"/>
          </w:tcPr>
          <w:p w14:paraId="5541C313" w14:textId="77777777" w:rsidR="003F38ED" w:rsidRPr="003F38ED" w:rsidRDefault="003F38ED" w:rsidP="003F38ED">
            <w:pPr>
              <w:tabs>
                <w:tab w:val="left" w:pos="1082"/>
              </w:tabs>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(18)</w:t>
            </w:r>
          </w:p>
        </w:tc>
        <w:tc>
          <w:tcPr>
            <w:tcW w:w="1264" w:type="dxa"/>
            <w:tcBorders>
              <w:top w:val="nil"/>
              <w:left w:val="nil"/>
              <w:right w:val="nil"/>
            </w:tcBorders>
            <w:shd w:val="clear" w:color="auto" w:fill="FFFFFF"/>
            <w:noWrap/>
            <w:vAlign w:val="bottom"/>
          </w:tcPr>
          <w:p w14:paraId="56E5A10B"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(408) </w:t>
            </w:r>
          </w:p>
        </w:tc>
      </w:tr>
      <w:tr w:rsidR="003F38ED" w:rsidRPr="003F38ED" w14:paraId="509D7F47" w14:textId="77777777" w:rsidTr="003F38ED">
        <w:trPr>
          <w:trHeight w:val="227"/>
        </w:trPr>
        <w:tc>
          <w:tcPr>
            <w:tcW w:w="5407" w:type="dxa"/>
            <w:tcBorders>
              <w:top w:val="nil"/>
              <w:left w:val="nil"/>
              <w:bottom w:val="nil"/>
              <w:right w:val="nil"/>
            </w:tcBorders>
            <w:shd w:val="clear" w:color="auto" w:fill="FFFFFF"/>
            <w:vAlign w:val="bottom"/>
          </w:tcPr>
          <w:p w14:paraId="790B9D0C"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Repayment of Lease Liabilities - Interest</w:t>
            </w:r>
          </w:p>
        </w:tc>
        <w:tc>
          <w:tcPr>
            <w:tcW w:w="836" w:type="dxa"/>
            <w:tcBorders>
              <w:top w:val="nil"/>
              <w:left w:val="nil"/>
              <w:bottom w:val="nil"/>
              <w:right w:val="nil"/>
            </w:tcBorders>
            <w:shd w:val="clear" w:color="auto" w:fill="FFFFFF"/>
            <w:vAlign w:val="bottom"/>
          </w:tcPr>
          <w:p w14:paraId="4D94CB5F"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left w:val="nil"/>
              <w:bottom w:val="single" w:sz="4" w:space="0" w:color="auto"/>
              <w:right w:val="nil"/>
            </w:tcBorders>
            <w:shd w:val="clear" w:color="auto" w:fill="FFFFFF"/>
            <w:noWrap/>
            <w:vAlign w:val="bottom"/>
          </w:tcPr>
          <w:p w14:paraId="604AD8A5"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(29)</w:t>
            </w:r>
          </w:p>
        </w:tc>
        <w:tc>
          <w:tcPr>
            <w:tcW w:w="1276" w:type="dxa"/>
            <w:tcBorders>
              <w:left w:val="nil"/>
              <w:bottom w:val="single" w:sz="4" w:space="0" w:color="auto"/>
              <w:right w:val="nil"/>
            </w:tcBorders>
            <w:noWrap/>
            <w:vAlign w:val="bottom"/>
          </w:tcPr>
          <w:p w14:paraId="326629AE" w14:textId="77777777" w:rsidR="003F38ED" w:rsidRPr="003F38ED" w:rsidRDefault="003F38ED" w:rsidP="003F38ED">
            <w:pPr>
              <w:tabs>
                <w:tab w:val="left" w:pos="1082"/>
              </w:tabs>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(38)</w:t>
            </w:r>
          </w:p>
        </w:tc>
        <w:tc>
          <w:tcPr>
            <w:tcW w:w="1264" w:type="dxa"/>
            <w:tcBorders>
              <w:left w:val="nil"/>
              <w:bottom w:val="single" w:sz="4" w:space="0" w:color="auto"/>
              <w:right w:val="nil"/>
            </w:tcBorders>
            <w:shd w:val="clear" w:color="auto" w:fill="FFFFFF"/>
            <w:noWrap/>
            <w:vAlign w:val="bottom"/>
          </w:tcPr>
          <w:p w14:paraId="1459B5BB"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(31) </w:t>
            </w:r>
          </w:p>
        </w:tc>
      </w:tr>
      <w:tr w:rsidR="003F38ED" w:rsidRPr="003F38ED" w14:paraId="037B168B" w14:textId="77777777" w:rsidTr="003F38ED">
        <w:trPr>
          <w:trHeight w:val="300"/>
        </w:trPr>
        <w:tc>
          <w:tcPr>
            <w:tcW w:w="5407" w:type="dxa"/>
            <w:tcBorders>
              <w:top w:val="nil"/>
              <w:left w:val="nil"/>
              <w:right w:val="nil"/>
            </w:tcBorders>
            <w:shd w:val="clear" w:color="auto" w:fill="FFFFFF"/>
            <w:vAlign w:val="bottom"/>
          </w:tcPr>
          <w:p w14:paraId="4528B769"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Total Payments from Operating Activities</w:t>
            </w:r>
          </w:p>
        </w:tc>
        <w:tc>
          <w:tcPr>
            <w:tcW w:w="836" w:type="dxa"/>
            <w:tcBorders>
              <w:top w:val="nil"/>
              <w:left w:val="nil"/>
              <w:right w:val="nil"/>
            </w:tcBorders>
            <w:shd w:val="clear" w:color="auto" w:fill="FFFFFF"/>
            <w:vAlign w:val="bottom"/>
          </w:tcPr>
          <w:p w14:paraId="46111135"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0" w:type="dxa"/>
            <w:tcBorders>
              <w:top w:val="single" w:sz="4" w:space="0" w:color="auto"/>
              <w:left w:val="nil"/>
              <w:bottom w:val="single" w:sz="4" w:space="0" w:color="auto"/>
              <w:right w:val="nil"/>
            </w:tcBorders>
            <w:shd w:val="clear" w:color="auto" w:fill="FFFFFF"/>
            <w:noWrap/>
            <w:vAlign w:val="bottom"/>
          </w:tcPr>
          <w:p w14:paraId="17CE04D5"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(40,975)</w:t>
            </w:r>
          </w:p>
        </w:tc>
        <w:tc>
          <w:tcPr>
            <w:tcW w:w="1276" w:type="dxa"/>
            <w:tcBorders>
              <w:top w:val="single" w:sz="4" w:space="0" w:color="auto"/>
              <w:left w:val="nil"/>
              <w:bottom w:val="single" w:sz="4" w:space="0" w:color="auto"/>
              <w:right w:val="nil"/>
            </w:tcBorders>
            <w:noWrap/>
            <w:vAlign w:val="bottom"/>
          </w:tcPr>
          <w:p w14:paraId="559C2C67" w14:textId="77777777" w:rsidR="003F38ED" w:rsidRPr="003F38ED" w:rsidRDefault="003F38ED" w:rsidP="003F38ED">
            <w:pPr>
              <w:spacing w:after="0" w:line="240" w:lineRule="auto"/>
              <w:jc w:val="right"/>
              <w:rPr>
                <w:rFonts w:ascii="Arial" w:eastAsia="Calibri" w:hAnsi="Arial" w:cs="Arial"/>
                <w:b/>
                <w:color w:val="000000"/>
                <w:sz w:val="18"/>
                <w:szCs w:val="18"/>
                <w:lang w:val="en-AU" w:eastAsia="en-US"/>
              </w:rPr>
            </w:pPr>
            <w:r w:rsidRPr="003F38ED">
              <w:rPr>
                <w:rFonts w:ascii="Arial" w:eastAsia="Calibri" w:hAnsi="Arial" w:cs="Arial"/>
                <w:b/>
                <w:color w:val="000000"/>
                <w:sz w:val="18"/>
                <w:szCs w:val="18"/>
                <w:lang w:val="en-AU" w:eastAsia="en-US"/>
              </w:rPr>
              <w:t xml:space="preserve"> (33,088)</w:t>
            </w:r>
          </w:p>
        </w:tc>
        <w:tc>
          <w:tcPr>
            <w:tcW w:w="1264" w:type="dxa"/>
            <w:tcBorders>
              <w:top w:val="single" w:sz="4" w:space="0" w:color="auto"/>
              <w:left w:val="nil"/>
              <w:bottom w:val="single" w:sz="4" w:space="0" w:color="auto"/>
              <w:right w:val="nil"/>
            </w:tcBorders>
            <w:shd w:val="clear" w:color="auto" w:fill="FFFFFF"/>
            <w:noWrap/>
            <w:vAlign w:val="bottom"/>
          </w:tcPr>
          <w:p w14:paraId="63606121"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Calibri" w:hAnsi="Arial" w:cs="Arial"/>
                <w:b/>
                <w:color w:val="auto"/>
                <w:sz w:val="18"/>
                <w:szCs w:val="18"/>
                <w:lang w:val="en-AU" w:eastAsia="en-US"/>
              </w:rPr>
              <w:t xml:space="preserve">(36,800) </w:t>
            </w:r>
          </w:p>
        </w:tc>
      </w:tr>
      <w:tr w:rsidR="003F38ED" w:rsidRPr="003F38ED" w14:paraId="6A42EB1A" w14:textId="77777777" w:rsidTr="003F38ED">
        <w:trPr>
          <w:trHeight w:val="227"/>
        </w:trPr>
        <w:tc>
          <w:tcPr>
            <w:tcW w:w="5407" w:type="dxa"/>
            <w:tcBorders>
              <w:left w:val="nil"/>
              <w:right w:val="nil"/>
            </w:tcBorders>
            <w:shd w:val="clear" w:color="auto" w:fill="FFFFFF"/>
            <w:vAlign w:val="bottom"/>
          </w:tcPr>
          <w:p w14:paraId="241C8706"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Net Cash Inflows from Operating Activities</w:t>
            </w:r>
          </w:p>
        </w:tc>
        <w:tc>
          <w:tcPr>
            <w:tcW w:w="836" w:type="dxa"/>
            <w:tcBorders>
              <w:left w:val="nil"/>
              <w:right w:val="nil"/>
            </w:tcBorders>
            <w:shd w:val="clear" w:color="auto" w:fill="FFFFFF"/>
            <w:vAlign w:val="bottom"/>
          </w:tcPr>
          <w:p w14:paraId="7574B151" w14:textId="77777777" w:rsidR="003F38ED" w:rsidRPr="003F38ED" w:rsidRDefault="003F38ED" w:rsidP="003F38ED">
            <w:pPr>
              <w:spacing w:after="0" w:line="240" w:lineRule="auto"/>
              <w:jc w:val="center"/>
              <w:rPr>
                <w:rFonts w:ascii="Arial" w:eastAsia="Times New Roman" w:hAnsi="Arial" w:cs="Arial"/>
                <w:color w:val="auto"/>
                <w:sz w:val="18"/>
                <w:szCs w:val="18"/>
                <w:highlight w:val="yellow"/>
                <w:lang w:val="en-AU"/>
              </w:rPr>
            </w:pPr>
            <w:r w:rsidRPr="003F38ED">
              <w:rPr>
                <w:rFonts w:ascii="Arial" w:eastAsia="Times New Roman" w:hAnsi="Arial" w:cs="Arial"/>
                <w:color w:val="auto"/>
                <w:sz w:val="18"/>
                <w:szCs w:val="18"/>
                <w:lang w:val="en-AU"/>
              </w:rPr>
              <w:t>11</w:t>
            </w:r>
          </w:p>
        </w:tc>
        <w:tc>
          <w:tcPr>
            <w:tcW w:w="1270" w:type="dxa"/>
            <w:tcBorders>
              <w:top w:val="single" w:sz="4" w:space="0" w:color="auto"/>
              <w:left w:val="nil"/>
              <w:bottom w:val="single" w:sz="4" w:space="0" w:color="auto"/>
              <w:right w:val="nil"/>
            </w:tcBorders>
            <w:shd w:val="clear" w:color="auto" w:fill="FFFFFF"/>
            <w:vAlign w:val="bottom"/>
          </w:tcPr>
          <w:p w14:paraId="18C35CDA"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9,781</w:t>
            </w:r>
          </w:p>
        </w:tc>
        <w:tc>
          <w:tcPr>
            <w:tcW w:w="1276" w:type="dxa"/>
            <w:tcBorders>
              <w:top w:val="single" w:sz="4" w:space="0" w:color="auto"/>
              <w:left w:val="nil"/>
              <w:bottom w:val="single" w:sz="4" w:space="0" w:color="auto"/>
              <w:right w:val="nil"/>
            </w:tcBorders>
            <w:shd w:val="clear" w:color="auto" w:fill="FFFFFF"/>
            <w:vAlign w:val="bottom"/>
          </w:tcPr>
          <w:p w14:paraId="19CDC461" w14:textId="77777777" w:rsidR="003F38ED" w:rsidRPr="003F38ED" w:rsidRDefault="003F38ED" w:rsidP="003F38ED">
            <w:pPr>
              <w:spacing w:after="0" w:line="240" w:lineRule="auto"/>
              <w:jc w:val="right"/>
              <w:rPr>
                <w:rFonts w:ascii="Arial" w:eastAsia="Calibri" w:hAnsi="Arial" w:cs="Arial"/>
                <w:b/>
                <w:color w:val="000000"/>
                <w:sz w:val="18"/>
                <w:szCs w:val="18"/>
                <w:lang w:val="en-AU" w:eastAsia="en-US"/>
              </w:rPr>
            </w:pPr>
            <w:r w:rsidRPr="003F38ED">
              <w:rPr>
                <w:rFonts w:ascii="Arial" w:eastAsia="Calibri" w:hAnsi="Arial" w:cs="Arial"/>
                <w:b/>
                <w:color w:val="000000"/>
                <w:sz w:val="18"/>
                <w:szCs w:val="18"/>
                <w:lang w:val="en-AU" w:eastAsia="en-US"/>
              </w:rPr>
              <w:t>15,546</w:t>
            </w:r>
          </w:p>
        </w:tc>
        <w:tc>
          <w:tcPr>
            <w:tcW w:w="1264" w:type="dxa"/>
            <w:tcBorders>
              <w:top w:val="single" w:sz="4" w:space="0" w:color="auto"/>
              <w:left w:val="nil"/>
              <w:bottom w:val="single" w:sz="4" w:space="0" w:color="auto"/>
              <w:right w:val="nil"/>
            </w:tcBorders>
            <w:shd w:val="clear" w:color="auto" w:fill="FFFFFF"/>
            <w:vAlign w:val="bottom"/>
          </w:tcPr>
          <w:p w14:paraId="05F38506"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8,916</w:t>
            </w:r>
          </w:p>
        </w:tc>
      </w:tr>
      <w:tr w:rsidR="003F38ED" w:rsidRPr="003F38ED" w14:paraId="16C8F395" w14:textId="77777777" w:rsidTr="003F38ED">
        <w:trPr>
          <w:trHeight w:val="227"/>
        </w:trPr>
        <w:tc>
          <w:tcPr>
            <w:tcW w:w="5407" w:type="dxa"/>
            <w:tcBorders>
              <w:left w:val="nil"/>
              <w:right w:val="nil"/>
            </w:tcBorders>
            <w:shd w:val="clear" w:color="auto" w:fill="FFFFFF"/>
            <w:vAlign w:val="bottom"/>
          </w:tcPr>
          <w:p w14:paraId="24423FEE"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836" w:type="dxa"/>
            <w:tcBorders>
              <w:left w:val="nil"/>
              <w:right w:val="nil"/>
            </w:tcBorders>
            <w:shd w:val="clear" w:color="auto" w:fill="FFFFFF"/>
            <w:vAlign w:val="bottom"/>
          </w:tcPr>
          <w:p w14:paraId="1C9B4E20"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single" w:sz="4" w:space="0" w:color="auto"/>
              <w:left w:val="nil"/>
              <w:right w:val="nil"/>
            </w:tcBorders>
            <w:shd w:val="clear" w:color="auto" w:fill="FFFFFF"/>
            <w:vAlign w:val="bottom"/>
          </w:tcPr>
          <w:p w14:paraId="0D10F21A" w14:textId="77777777" w:rsidR="003F38ED" w:rsidRPr="003F38ED" w:rsidRDefault="003F38ED" w:rsidP="003F38ED">
            <w:pPr>
              <w:spacing w:after="0" w:line="240" w:lineRule="auto"/>
              <w:jc w:val="right"/>
              <w:rPr>
                <w:rFonts w:ascii="Arial" w:eastAsia="Calibri" w:hAnsi="Arial" w:cs="Arial"/>
                <w:color w:val="auto"/>
                <w:sz w:val="18"/>
                <w:szCs w:val="18"/>
                <w:lang w:val="en-AU" w:eastAsia="en-US"/>
              </w:rPr>
            </w:pPr>
          </w:p>
        </w:tc>
        <w:tc>
          <w:tcPr>
            <w:tcW w:w="1276" w:type="dxa"/>
            <w:tcBorders>
              <w:top w:val="single" w:sz="4" w:space="0" w:color="auto"/>
              <w:left w:val="nil"/>
              <w:right w:val="nil"/>
            </w:tcBorders>
            <w:shd w:val="clear" w:color="auto" w:fill="FFFFFF"/>
            <w:vAlign w:val="bottom"/>
          </w:tcPr>
          <w:p w14:paraId="5E248611" w14:textId="77777777" w:rsidR="003F38ED" w:rsidRPr="003F38ED" w:rsidRDefault="003F38ED" w:rsidP="003F38ED">
            <w:pPr>
              <w:spacing w:after="0" w:line="240" w:lineRule="auto"/>
              <w:jc w:val="right"/>
              <w:rPr>
                <w:rFonts w:ascii="Arial" w:eastAsia="Calibri" w:hAnsi="Arial" w:cs="Arial"/>
                <w:b/>
                <w:color w:val="auto"/>
                <w:sz w:val="18"/>
                <w:szCs w:val="18"/>
                <w:lang w:val="en-AU" w:eastAsia="en-US"/>
              </w:rPr>
            </w:pPr>
          </w:p>
        </w:tc>
        <w:tc>
          <w:tcPr>
            <w:tcW w:w="1264" w:type="dxa"/>
            <w:tcBorders>
              <w:top w:val="single" w:sz="4" w:space="0" w:color="auto"/>
              <w:left w:val="nil"/>
              <w:right w:val="nil"/>
            </w:tcBorders>
            <w:shd w:val="clear" w:color="auto" w:fill="FFFFFF"/>
            <w:vAlign w:val="bottom"/>
          </w:tcPr>
          <w:p w14:paraId="3A3823FA"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08C1EE5C" w14:textId="77777777" w:rsidTr="003F38ED">
        <w:trPr>
          <w:trHeight w:val="227"/>
        </w:trPr>
        <w:tc>
          <w:tcPr>
            <w:tcW w:w="5407" w:type="dxa"/>
            <w:tcBorders>
              <w:left w:val="nil"/>
              <w:bottom w:val="nil"/>
              <w:right w:val="nil"/>
            </w:tcBorders>
            <w:shd w:val="clear" w:color="auto" w:fill="FFFFFF"/>
            <w:vAlign w:val="bottom"/>
          </w:tcPr>
          <w:p w14:paraId="363552BA"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Cash Flows from Investing Activities</w:t>
            </w:r>
          </w:p>
        </w:tc>
        <w:tc>
          <w:tcPr>
            <w:tcW w:w="836" w:type="dxa"/>
            <w:tcBorders>
              <w:left w:val="nil"/>
              <w:bottom w:val="nil"/>
              <w:right w:val="nil"/>
            </w:tcBorders>
            <w:shd w:val="clear" w:color="auto" w:fill="FFFFFF"/>
            <w:vAlign w:val="bottom"/>
          </w:tcPr>
          <w:p w14:paraId="36B37ADE"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left w:val="nil"/>
              <w:bottom w:val="nil"/>
              <w:right w:val="nil"/>
            </w:tcBorders>
            <w:shd w:val="clear" w:color="auto" w:fill="FFFFFF"/>
            <w:vAlign w:val="bottom"/>
          </w:tcPr>
          <w:p w14:paraId="1E7D7390"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76" w:type="dxa"/>
            <w:tcBorders>
              <w:left w:val="nil"/>
              <w:bottom w:val="nil"/>
              <w:right w:val="nil"/>
            </w:tcBorders>
            <w:shd w:val="clear" w:color="auto" w:fill="FFFFFF"/>
            <w:vAlign w:val="bottom"/>
          </w:tcPr>
          <w:p w14:paraId="4DC717C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64" w:type="dxa"/>
            <w:tcBorders>
              <w:left w:val="nil"/>
              <w:bottom w:val="nil"/>
              <w:right w:val="nil"/>
            </w:tcBorders>
            <w:shd w:val="clear" w:color="auto" w:fill="FFFFFF"/>
            <w:vAlign w:val="bottom"/>
          </w:tcPr>
          <w:p w14:paraId="69E81D89"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5433056A" w14:textId="77777777" w:rsidTr="003F38ED">
        <w:trPr>
          <w:trHeight w:val="225"/>
        </w:trPr>
        <w:tc>
          <w:tcPr>
            <w:tcW w:w="5407" w:type="dxa"/>
            <w:tcBorders>
              <w:top w:val="nil"/>
              <w:left w:val="nil"/>
              <w:bottom w:val="nil"/>
              <w:right w:val="nil"/>
            </w:tcBorders>
            <w:shd w:val="clear" w:color="auto" w:fill="FFFFFF"/>
            <w:vAlign w:val="bottom"/>
          </w:tcPr>
          <w:p w14:paraId="12E1EDE1" w14:textId="77777777" w:rsidR="003F38ED" w:rsidRPr="003F38ED" w:rsidRDefault="003F38ED" w:rsidP="003F38ED">
            <w:pPr>
              <w:spacing w:after="0" w:line="240" w:lineRule="auto"/>
              <w:ind w:left="142" w:hanging="142"/>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Receipts</w:t>
            </w:r>
          </w:p>
        </w:tc>
        <w:tc>
          <w:tcPr>
            <w:tcW w:w="836" w:type="dxa"/>
            <w:tcBorders>
              <w:top w:val="nil"/>
              <w:left w:val="nil"/>
              <w:bottom w:val="nil"/>
              <w:right w:val="nil"/>
            </w:tcBorders>
            <w:shd w:val="clear" w:color="auto" w:fill="FFFFFF"/>
            <w:vAlign w:val="bottom"/>
          </w:tcPr>
          <w:p w14:paraId="006F9BE5"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vAlign w:val="bottom"/>
          </w:tcPr>
          <w:p w14:paraId="54BC5AC9"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76" w:type="dxa"/>
            <w:tcBorders>
              <w:top w:val="nil"/>
              <w:left w:val="nil"/>
              <w:bottom w:val="nil"/>
              <w:right w:val="nil"/>
            </w:tcBorders>
            <w:shd w:val="clear" w:color="auto" w:fill="FFFFFF"/>
            <w:vAlign w:val="bottom"/>
          </w:tcPr>
          <w:p w14:paraId="58F3AC82"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64" w:type="dxa"/>
            <w:tcBorders>
              <w:top w:val="nil"/>
              <w:left w:val="nil"/>
              <w:bottom w:val="nil"/>
              <w:right w:val="nil"/>
            </w:tcBorders>
            <w:shd w:val="clear" w:color="auto" w:fill="FFFFFF"/>
            <w:vAlign w:val="bottom"/>
          </w:tcPr>
          <w:p w14:paraId="172DD43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7648F191" w14:textId="77777777" w:rsidTr="003F38ED">
        <w:trPr>
          <w:trHeight w:val="227"/>
        </w:trPr>
        <w:tc>
          <w:tcPr>
            <w:tcW w:w="5407" w:type="dxa"/>
            <w:tcBorders>
              <w:top w:val="nil"/>
              <w:left w:val="nil"/>
              <w:bottom w:val="nil"/>
              <w:right w:val="nil"/>
            </w:tcBorders>
            <w:shd w:val="clear" w:color="auto" w:fill="FFFFFF"/>
            <w:vAlign w:val="bottom"/>
          </w:tcPr>
          <w:p w14:paraId="44639FA1"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Proceeds from Sale of Investments</w:t>
            </w:r>
          </w:p>
        </w:tc>
        <w:tc>
          <w:tcPr>
            <w:tcW w:w="836" w:type="dxa"/>
            <w:tcBorders>
              <w:top w:val="nil"/>
              <w:left w:val="nil"/>
              <w:bottom w:val="nil"/>
              <w:right w:val="nil"/>
            </w:tcBorders>
            <w:shd w:val="clear" w:color="auto" w:fill="FFFFFF"/>
            <w:vAlign w:val="bottom"/>
          </w:tcPr>
          <w:p w14:paraId="3CEFC173"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single" w:sz="4" w:space="0" w:color="auto"/>
              <w:right w:val="nil"/>
            </w:tcBorders>
            <w:shd w:val="clear" w:color="auto" w:fill="FFFFFF"/>
            <w:noWrap/>
            <w:vAlign w:val="bottom"/>
          </w:tcPr>
          <w:p w14:paraId="54DD2A13"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2,200</w:t>
            </w:r>
          </w:p>
        </w:tc>
        <w:tc>
          <w:tcPr>
            <w:tcW w:w="1276" w:type="dxa"/>
            <w:tcBorders>
              <w:top w:val="nil"/>
              <w:left w:val="nil"/>
              <w:bottom w:val="single" w:sz="4" w:space="0" w:color="auto"/>
              <w:right w:val="nil"/>
            </w:tcBorders>
            <w:shd w:val="clear" w:color="auto" w:fill="FFFFFF"/>
            <w:noWrap/>
            <w:vAlign w:val="bottom"/>
          </w:tcPr>
          <w:p w14:paraId="43A3F7D0"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500</w:t>
            </w:r>
          </w:p>
        </w:tc>
        <w:tc>
          <w:tcPr>
            <w:tcW w:w="1264" w:type="dxa"/>
            <w:tcBorders>
              <w:top w:val="nil"/>
              <w:left w:val="nil"/>
              <w:bottom w:val="single" w:sz="4" w:space="0" w:color="auto"/>
              <w:right w:val="nil"/>
            </w:tcBorders>
            <w:shd w:val="clear" w:color="auto" w:fill="FFFFFF"/>
            <w:noWrap/>
            <w:vAlign w:val="bottom"/>
          </w:tcPr>
          <w:p w14:paraId="0466C966"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 1,000 </w:t>
            </w:r>
          </w:p>
        </w:tc>
      </w:tr>
      <w:tr w:rsidR="003F38ED" w:rsidRPr="003F38ED" w14:paraId="5437A4FF" w14:textId="77777777" w:rsidTr="003F38ED">
        <w:trPr>
          <w:trHeight w:val="227"/>
        </w:trPr>
        <w:tc>
          <w:tcPr>
            <w:tcW w:w="5407" w:type="dxa"/>
            <w:tcBorders>
              <w:top w:val="nil"/>
              <w:left w:val="nil"/>
              <w:right w:val="nil"/>
            </w:tcBorders>
            <w:shd w:val="clear" w:color="auto" w:fill="FFFFFF"/>
            <w:vAlign w:val="bottom"/>
          </w:tcPr>
          <w:p w14:paraId="67684B9F" w14:textId="77777777" w:rsidR="003F38ED" w:rsidRPr="003F38ED" w:rsidRDefault="003F38ED" w:rsidP="003F38ED">
            <w:pPr>
              <w:spacing w:after="0" w:line="240" w:lineRule="auto"/>
              <w:rPr>
                <w:rFonts w:ascii="Arial" w:eastAsia="Times New Roman" w:hAnsi="Arial" w:cs="Arial"/>
                <w:color w:val="auto"/>
                <w:sz w:val="18"/>
                <w:szCs w:val="18"/>
                <w:highlight w:val="red"/>
                <w:lang w:val="en-AU"/>
              </w:rPr>
            </w:pPr>
            <w:r w:rsidRPr="003F38ED">
              <w:rPr>
                <w:rFonts w:ascii="Arial" w:eastAsia="Times New Roman" w:hAnsi="Arial" w:cs="Arial"/>
                <w:b/>
                <w:color w:val="auto"/>
                <w:sz w:val="18"/>
                <w:szCs w:val="18"/>
                <w:lang w:val="en-AU"/>
              </w:rPr>
              <w:t>Total Receipts from Investing Activities</w:t>
            </w:r>
          </w:p>
        </w:tc>
        <w:tc>
          <w:tcPr>
            <w:tcW w:w="836" w:type="dxa"/>
            <w:tcBorders>
              <w:top w:val="nil"/>
              <w:left w:val="nil"/>
              <w:right w:val="nil"/>
            </w:tcBorders>
            <w:shd w:val="clear" w:color="auto" w:fill="FFFFFF"/>
            <w:vAlign w:val="bottom"/>
          </w:tcPr>
          <w:p w14:paraId="272A0E05" w14:textId="77777777" w:rsidR="003F38ED" w:rsidRPr="003F38ED" w:rsidRDefault="003F38ED" w:rsidP="003F38ED">
            <w:pPr>
              <w:spacing w:after="0" w:line="240" w:lineRule="auto"/>
              <w:jc w:val="center"/>
              <w:rPr>
                <w:rFonts w:ascii="Arial" w:eastAsia="Times New Roman" w:hAnsi="Arial" w:cs="Arial"/>
                <w:color w:val="auto"/>
                <w:sz w:val="18"/>
                <w:szCs w:val="18"/>
                <w:highlight w:val="red"/>
                <w:lang w:val="en-AU"/>
              </w:rPr>
            </w:pPr>
          </w:p>
        </w:tc>
        <w:tc>
          <w:tcPr>
            <w:tcW w:w="1270" w:type="dxa"/>
            <w:tcBorders>
              <w:top w:val="single" w:sz="4" w:space="0" w:color="auto"/>
              <w:left w:val="nil"/>
              <w:bottom w:val="single" w:sz="4" w:space="0" w:color="auto"/>
              <w:right w:val="nil"/>
            </w:tcBorders>
            <w:shd w:val="clear" w:color="auto" w:fill="FFFFFF"/>
            <w:noWrap/>
            <w:vAlign w:val="bottom"/>
          </w:tcPr>
          <w:p w14:paraId="1368A7F1" w14:textId="77777777" w:rsidR="003F38ED" w:rsidRPr="003F38ED" w:rsidRDefault="003F38ED" w:rsidP="003F38ED">
            <w:pPr>
              <w:spacing w:after="0" w:line="240" w:lineRule="auto"/>
              <w:jc w:val="right"/>
              <w:rPr>
                <w:rFonts w:ascii="Arial" w:eastAsia="Calibri" w:hAnsi="Arial" w:cs="Arial"/>
                <w:b/>
                <w:color w:val="auto"/>
                <w:sz w:val="18"/>
                <w:szCs w:val="18"/>
                <w:lang w:val="en-AU" w:eastAsia="en-US"/>
              </w:rPr>
            </w:pPr>
            <w:r w:rsidRPr="003F38ED">
              <w:rPr>
                <w:rFonts w:ascii="Arial" w:eastAsia="Calibri" w:hAnsi="Arial" w:cs="Arial"/>
                <w:b/>
                <w:color w:val="auto"/>
                <w:sz w:val="18"/>
                <w:szCs w:val="18"/>
                <w:lang w:val="en-AU" w:eastAsia="en-US"/>
              </w:rPr>
              <w:t>2,200</w:t>
            </w:r>
          </w:p>
        </w:tc>
        <w:tc>
          <w:tcPr>
            <w:tcW w:w="1276" w:type="dxa"/>
            <w:tcBorders>
              <w:top w:val="single" w:sz="4" w:space="0" w:color="auto"/>
              <w:left w:val="nil"/>
              <w:bottom w:val="single" w:sz="4" w:space="0" w:color="auto"/>
              <w:right w:val="nil"/>
            </w:tcBorders>
            <w:shd w:val="clear" w:color="auto" w:fill="FFFFFF"/>
            <w:noWrap/>
            <w:vAlign w:val="bottom"/>
          </w:tcPr>
          <w:p w14:paraId="30FF7F06" w14:textId="77777777" w:rsidR="003F38ED" w:rsidRPr="003F38ED" w:rsidRDefault="003F38ED" w:rsidP="003F38ED">
            <w:pPr>
              <w:spacing w:after="0" w:line="240" w:lineRule="auto"/>
              <w:jc w:val="right"/>
              <w:rPr>
                <w:rFonts w:ascii="Arial" w:eastAsia="Calibri" w:hAnsi="Arial" w:cs="Arial"/>
                <w:b/>
                <w:color w:val="000000"/>
                <w:sz w:val="18"/>
                <w:szCs w:val="18"/>
                <w:lang w:val="en-AU" w:eastAsia="en-US"/>
              </w:rPr>
            </w:pPr>
            <w:r w:rsidRPr="003F38ED">
              <w:rPr>
                <w:rFonts w:ascii="Arial" w:eastAsia="Calibri" w:hAnsi="Arial" w:cs="Arial"/>
                <w:b/>
                <w:color w:val="000000"/>
                <w:sz w:val="18"/>
                <w:szCs w:val="18"/>
                <w:lang w:val="en-AU" w:eastAsia="en-US"/>
              </w:rPr>
              <w:t>500</w:t>
            </w:r>
          </w:p>
        </w:tc>
        <w:tc>
          <w:tcPr>
            <w:tcW w:w="1264" w:type="dxa"/>
            <w:tcBorders>
              <w:top w:val="single" w:sz="4" w:space="0" w:color="auto"/>
              <w:left w:val="nil"/>
              <w:bottom w:val="single" w:sz="4" w:space="0" w:color="auto"/>
              <w:right w:val="nil"/>
            </w:tcBorders>
            <w:shd w:val="clear" w:color="auto" w:fill="FFFFFF"/>
            <w:noWrap/>
            <w:vAlign w:val="bottom"/>
          </w:tcPr>
          <w:p w14:paraId="54B8E50A"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Calibri" w:hAnsi="Arial" w:cs="Arial"/>
                <w:b/>
                <w:color w:val="auto"/>
                <w:sz w:val="18"/>
                <w:szCs w:val="18"/>
                <w:lang w:val="en-AU" w:eastAsia="en-US"/>
              </w:rPr>
              <w:t xml:space="preserve"> 1,000 </w:t>
            </w:r>
          </w:p>
        </w:tc>
      </w:tr>
      <w:tr w:rsidR="003F38ED" w:rsidRPr="003F38ED" w14:paraId="189CE4F2" w14:textId="77777777" w:rsidTr="003F38ED">
        <w:trPr>
          <w:trHeight w:val="227"/>
        </w:trPr>
        <w:tc>
          <w:tcPr>
            <w:tcW w:w="5407" w:type="dxa"/>
            <w:tcBorders>
              <w:top w:val="nil"/>
              <w:left w:val="nil"/>
              <w:bottom w:val="nil"/>
              <w:right w:val="nil"/>
            </w:tcBorders>
            <w:shd w:val="clear" w:color="auto" w:fill="FFFFFF"/>
            <w:vAlign w:val="bottom"/>
          </w:tcPr>
          <w:p w14:paraId="75C1A7D8"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836" w:type="dxa"/>
            <w:tcBorders>
              <w:top w:val="nil"/>
              <w:left w:val="nil"/>
              <w:bottom w:val="nil"/>
              <w:right w:val="nil"/>
            </w:tcBorders>
            <w:shd w:val="clear" w:color="auto" w:fill="FFFFFF"/>
            <w:vAlign w:val="bottom"/>
          </w:tcPr>
          <w:p w14:paraId="2151082D"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0" w:type="dxa"/>
            <w:tcBorders>
              <w:top w:val="single" w:sz="4" w:space="0" w:color="auto"/>
              <w:left w:val="nil"/>
              <w:bottom w:val="nil"/>
              <w:right w:val="nil"/>
            </w:tcBorders>
            <w:shd w:val="clear" w:color="auto" w:fill="FFFFFF"/>
            <w:noWrap/>
            <w:vAlign w:val="bottom"/>
          </w:tcPr>
          <w:p w14:paraId="3CB35FD1" w14:textId="77777777" w:rsidR="003F38ED" w:rsidRPr="003F38ED" w:rsidRDefault="003F38ED" w:rsidP="003F38ED">
            <w:pPr>
              <w:spacing w:after="0" w:line="240" w:lineRule="auto"/>
              <w:jc w:val="right"/>
              <w:rPr>
                <w:rFonts w:ascii="Arial" w:eastAsia="Calibri" w:hAnsi="Arial" w:cs="Arial"/>
                <w:color w:val="auto"/>
                <w:sz w:val="18"/>
                <w:szCs w:val="18"/>
                <w:lang w:val="en-AU" w:eastAsia="en-US"/>
              </w:rPr>
            </w:pPr>
          </w:p>
        </w:tc>
        <w:tc>
          <w:tcPr>
            <w:tcW w:w="1276" w:type="dxa"/>
            <w:tcBorders>
              <w:top w:val="single" w:sz="4" w:space="0" w:color="auto"/>
              <w:left w:val="nil"/>
              <w:bottom w:val="nil"/>
              <w:right w:val="nil"/>
            </w:tcBorders>
            <w:shd w:val="clear" w:color="auto" w:fill="FFFFFF"/>
            <w:noWrap/>
            <w:vAlign w:val="bottom"/>
          </w:tcPr>
          <w:p w14:paraId="486FBAFA" w14:textId="77777777" w:rsidR="003F38ED" w:rsidRPr="003F38ED" w:rsidRDefault="003F38ED" w:rsidP="003F38ED">
            <w:pPr>
              <w:spacing w:after="0" w:line="240" w:lineRule="auto"/>
              <w:jc w:val="right"/>
              <w:rPr>
                <w:rFonts w:ascii="Arial" w:eastAsia="Times New Roman" w:hAnsi="Arial" w:cs="Arial"/>
                <w:b/>
                <w:color w:val="000000"/>
                <w:sz w:val="18"/>
                <w:szCs w:val="18"/>
                <w:lang w:val="en-AU"/>
              </w:rPr>
            </w:pPr>
          </w:p>
        </w:tc>
        <w:tc>
          <w:tcPr>
            <w:tcW w:w="1264" w:type="dxa"/>
            <w:tcBorders>
              <w:top w:val="single" w:sz="4" w:space="0" w:color="auto"/>
              <w:left w:val="nil"/>
              <w:bottom w:val="nil"/>
              <w:right w:val="nil"/>
            </w:tcBorders>
            <w:shd w:val="clear" w:color="auto" w:fill="FFFFFF"/>
            <w:noWrap/>
            <w:vAlign w:val="bottom"/>
          </w:tcPr>
          <w:p w14:paraId="0164F1C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70D259EC" w14:textId="77777777" w:rsidTr="003F38ED">
        <w:trPr>
          <w:trHeight w:val="227"/>
        </w:trPr>
        <w:tc>
          <w:tcPr>
            <w:tcW w:w="5407" w:type="dxa"/>
            <w:tcBorders>
              <w:top w:val="nil"/>
              <w:left w:val="nil"/>
              <w:bottom w:val="nil"/>
              <w:right w:val="nil"/>
            </w:tcBorders>
            <w:shd w:val="clear" w:color="auto" w:fill="FFFFFF"/>
            <w:vAlign w:val="bottom"/>
          </w:tcPr>
          <w:p w14:paraId="5607D67B"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 xml:space="preserve">Payments </w:t>
            </w:r>
          </w:p>
        </w:tc>
        <w:tc>
          <w:tcPr>
            <w:tcW w:w="836" w:type="dxa"/>
            <w:tcBorders>
              <w:top w:val="nil"/>
              <w:left w:val="nil"/>
              <w:bottom w:val="nil"/>
              <w:right w:val="nil"/>
            </w:tcBorders>
            <w:shd w:val="clear" w:color="auto" w:fill="FFFFFF"/>
            <w:vAlign w:val="bottom"/>
          </w:tcPr>
          <w:p w14:paraId="05BC055D"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vAlign w:val="bottom"/>
          </w:tcPr>
          <w:p w14:paraId="19268652"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76" w:type="dxa"/>
            <w:tcBorders>
              <w:top w:val="nil"/>
              <w:left w:val="nil"/>
              <w:bottom w:val="nil"/>
              <w:right w:val="nil"/>
            </w:tcBorders>
            <w:shd w:val="clear" w:color="auto" w:fill="FFFFFF"/>
            <w:vAlign w:val="bottom"/>
          </w:tcPr>
          <w:p w14:paraId="75FBC0D7"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p>
        </w:tc>
        <w:tc>
          <w:tcPr>
            <w:tcW w:w="1264" w:type="dxa"/>
            <w:tcBorders>
              <w:top w:val="nil"/>
              <w:left w:val="nil"/>
              <w:bottom w:val="nil"/>
              <w:right w:val="nil"/>
            </w:tcBorders>
            <w:shd w:val="clear" w:color="auto" w:fill="FFFFFF"/>
            <w:vAlign w:val="bottom"/>
          </w:tcPr>
          <w:p w14:paraId="5621FC21"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08F162CC" w14:textId="77777777" w:rsidTr="003F38ED">
        <w:trPr>
          <w:trHeight w:val="227"/>
        </w:trPr>
        <w:tc>
          <w:tcPr>
            <w:tcW w:w="5407" w:type="dxa"/>
            <w:tcBorders>
              <w:top w:val="nil"/>
              <w:left w:val="nil"/>
              <w:bottom w:val="nil"/>
              <w:right w:val="nil"/>
            </w:tcBorders>
            <w:shd w:val="clear" w:color="auto" w:fill="FFFFFF"/>
            <w:vAlign w:val="bottom"/>
          </w:tcPr>
          <w:p w14:paraId="50D0AE11"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color w:val="auto"/>
                <w:sz w:val="18"/>
                <w:szCs w:val="18"/>
                <w:lang w:val="en-AU"/>
              </w:rPr>
              <w:t>Purchase of Investments</w:t>
            </w:r>
          </w:p>
        </w:tc>
        <w:tc>
          <w:tcPr>
            <w:tcW w:w="836" w:type="dxa"/>
            <w:tcBorders>
              <w:top w:val="nil"/>
              <w:left w:val="nil"/>
              <w:bottom w:val="nil"/>
              <w:right w:val="nil"/>
            </w:tcBorders>
            <w:shd w:val="clear" w:color="auto" w:fill="FFFFFF"/>
            <w:vAlign w:val="bottom"/>
          </w:tcPr>
          <w:p w14:paraId="70B29B6A"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bottom w:val="nil"/>
              <w:right w:val="nil"/>
            </w:tcBorders>
            <w:shd w:val="clear" w:color="auto" w:fill="FFFFFF"/>
            <w:noWrap/>
            <w:vAlign w:val="bottom"/>
          </w:tcPr>
          <w:p w14:paraId="0F01182A"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(9,230)</w:t>
            </w:r>
          </w:p>
        </w:tc>
        <w:tc>
          <w:tcPr>
            <w:tcW w:w="1276" w:type="dxa"/>
            <w:tcBorders>
              <w:top w:val="nil"/>
              <w:left w:val="nil"/>
              <w:bottom w:val="nil"/>
              <w:right w:val="nil"/>
            </w:tcBorders>
            <w:shd w:val="clear" w:color="auto" w:fill="FFFFFF"/>
            <w:noWrap/>
            <w:vAlign w:val="bottom"/>
          </w:tcPr>
          <w:p w14:paraId="3808B10A"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 xml:space="preserve"> (13,900)</w:t>
            </w:r>
          </w:p>
        </w:tc>
        <w:tc>
          <w:tcPr>
            <w:tcW w:w="1264" w:type="dxa"/>
            <w:tcBorders>
              <w:top w:val="nil"/>
              <w:left w:val="nil"/>
              <w:bottom w:val="nil"/>
              <w:right w:val="nil"/>
            </w:tcBorders>
            <w:shd w:val="clear" w:color="auto" w:fill="FFFFFF"/>
            <w:noWrap/>
            <w:vAlign w:val="bottom"/>
          </w:tcPr>
          <w:p w14:paraId="407CA5CC"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(10,380) </w:t>
            </w:r>
          </w:p>
        </w:tc>
      </w:tr>
      <w:tr w:rsidR="003F38ED" w:rsidRPr="003F38ED" w14:paraId="157C1807" w14:textId="77777777" w:rsidTr="003F38ED">
        <w:trPr>
          <w:trHeight w:val="227"/>
        </w:trPr>
        <w:tc>
          <w:tcPr>
            <w:tcW w:w="5407" w:type="dxa"/>
            <w:tcBorders>
              <w:top w:val="nil"/>
              <w:left w:val="nil"/>
              <w:right w:val="nil"/>
            </w:tcBorders>
            <w:shd w:val="clear" w:color="auto" w:fill="FFFFFF"/>
            <w:vAlign w:val="bottom"/>
          </w:tcPr>
          <w:p w14:paraId="2F67DDDD"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Purchase of Property, Plant and Equipment</w:t>
            </w:r>
          </w:p>
        </w:tc>
        <w:tc>
          <w:tcPr>
            <w:tcW w:w="836" w:type="dxa"/>
            <w:tcBorders>
              <w:top w:val="nil"/>
              <w:left w:val="nil"/>
              <w:right w:val="nil"/>
            </w:tcBorders>
            <w:shd w:val="clear" w:color="auto" w:fill="FFFFFF"/>
            <w:vAlign w:val="bottom"/>
          </w:tcPr>
          <w:p w14:paraId="3EB73224"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nil"/>
              <w:left w:val="nil"/>
              <w:right w:val="nil"/>
            </w:tcBorders>
            <w:shd w:val="clear" w:color="auto" w:fill="FFFFFF"/>
            <w:noWrap/>
            <w:vAlign w:val="bottom"/>
          </w:tcPr>
          <w:p w14:paraId="150B542A"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(41)</w:t>
            </w:r>
          </w:p>
        </w:tc>
        <w:tc>
          <w:tcPr>
            <w:tcW w:w="1276" w:type="dxa"/>
            <w:tcBorders>
              <w:top w:val="nil"/>
              <w:left w:val="nil"/>
              <w:right w:val="nil"/>
            </w:tcBorders>
            <w:shd w:val="clear" w:color="auto" w:fill="FFFFFF"/>
            <w:noWrap/>
            <w:vAlign w:val="bottom"/>
          </w:tcPr>
          <w:p w14:paraId="6EA894DD"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r w:rsidRPr="003F38ED">
              <w:rPr>
                <w:rFonts w:ascii="Arial" w:eastAsia="Times New Roman" w:hAnsi="Arial" w:cs="Arial"/>
                <w:color w:val="000000"/>
                <w:sz w:val="18"/>
                <w:szCs w:val="18"/>
                <w:lang w:val="en-AU"/>
              </w:rPr>
              <w:t>(45)</w:t>
            </w:r>
          </w:p>
        </w:tc>
        <w:tc>
          <w:tcPr>
            <w:tcW w:w="1264" w:type="dxa"/>
            <w:tcBorders>
              <w:top w:val="nil"/>
              <w:left w:val="nil"/>
              <w:right w:val="nil"/>
            </w:tcBorders>
            <w:shd w:val="clear" w:color="auto" w:fill="FFFFFF"/>
            <w:noWrap/>
            <w:vAlign w:val="bottom"/>
          </w:tcPr>
          <w:p w14:paraId="5463D8AC"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Calibri" w:hAnsi="Arial" w:cs="Arial"/>
                <w:color w:val="auto"/>
                <w:sz w:val="18"/>
                <w:szCs w:val="18"/>
                <w:lang w:val="en-AU" w:eastAsia="en-US"/>
              </w:rPr>
              <w:t xml:space="preserve">(45) </w:t>
            </w:r>
          </w:p>
        </w:tc>
      </w:tr>
      <w:tr w:rsidR="003F38ED" w:rsidRPr="003F38ED" w14:paraId="7380D7E1" w14:textId="77777777" w:rsidTr="003F38ED">
        <w:trPr>
          <w:trHeight w:val="227"/>
        </w:trPr>
        <w:tc>
          <w:tcPr>
            <w:tcW w:w="5407" w:type="dxa"/>
            <w:tcBorders>
              <w:left w:val="nil"/>
              <w:right w:val="nil"/>
            </w:tcBorders>
            <w:shd w:val="clear" w:color="auto" w:fill="FFFFFF"/>
            <w:vAlign w:val="bottom"/>
          </w:tcPr>
          <w:p w14:paraId="54B27A57"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Total Payments from Investing Activities</w:t>
            </w:r>
          </w:p>
        </w:tc>
        <w:tc>
          <w:tcPr>
            <w:tcW w:w="836" w:type="dxa"/>
            <w:tcBorders>
              <w:left w:val="nil"/>
              <w:right w:val="nil"/>
            </w:tcBorders>
            <w:shd w:val="clear" w:color="auto" w:fill="FFFFFF"/>
            <w:vAlign w:val="bottom"/>
          </w:tcPr>
          <w:p w14:paraId="5E0C457A"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single" w:sz="4" w:space="0" w:color="auto"/>
              <w:left w:val="nil"/>
              <w:right w:val="nil"/>
            </w:tcBorders>
            <w:shd w:val="clear" w:color="auto" w:fill="FFFFFF"/>
            <w:noWrap/>
            <w:vAlign w:val="bottom"/>
          </w:tcPr>
          <w:p w14:paraId="17D24C6A"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(9,271)</w:t>
            </w:r>
          </w:p>
        </w:tc>
        <w:tc>
          <w:tcPr>
            <w:tcW w:w="1276" w:type="dxa"/>
            <w:tcBorders>
              <w:top w:val="single" w:sz="4" w:space="0" w:color="auto"/>
              <w:left w:val="nil"/>
              <w:right w:val="nil"/>
            </w:tcBorders>
            <w:shd w:val="clear" w:color="auto" w:fill="FFFFFF"/>
            <w:noWrap/>
            <w:vAlign w:val="bottom"/>
          </w:tcPr>
          <w:p w14:paraId="79CA31FB" w14:textId="77777777" w:rsidR="003F38ED" w:rsidRPr="003F38ED" w:rsidRDefault="003F38ED" w:rsidP="003F38ED">
            <w:pPr>
              <w:spacing w:after="0" w:line="240" w:lineRule="auto"/>
              <w:jc w:val="right"/>
              <w:rPr>
                <w:rFonts w:ascii="Arial" w:eastAsia="SimSun" w:hAnsi="Arial" w:cs="Arial"/>
                <w:b/>
                <w:color w:val="000000"/>
                <w:sz w:val="18"/>
                <w:szCs w:val="18"/>
                <w:lang w:val="en-AU"/>
              </w:rPr>
            </w:pPr>
            <w:r w:rsidRPr="003F38ED">
              <w:rPr>
                <w:rFonts w:ascii="Arial" w:eastAsia="SimSun" w:hAnsi="Arial" w:cs="Arial"/>
                <w:b/>
                <w:color w:val="000000"/>
                <w:sz w:val="18"/>
                <w:szCs w:val="18"/>
                <w:lang w:val="en-AU"/>
              </w:rPr>
              <w:t>(13,945)</w:t>
            </w:r>
          </w:p>
        </w:tc>
        <w:tc>
          <w:tcPr>
            <w:tcW w:w="1264" w:type="dxa"/>
            <w:tcBorders>
              <w:top w:val="single" w:sz="4" w:space="0" w:color="auto"/>
              <w:left w:val="nil"/>
              <w:right w:val="nil"/>
            </w:tcBorders>
            <w:shd w:val="clear" w:color="auto" w:fill="FFFFFF"/>
            <w:noWrap/>
            <w:vAlign w:val="bottom"/>
          </w:tcPr>
          <w:p w14:paraId="5CEC6238"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Calibri" w:hAnsi="Arial" w:cs="Arial"/>
                <w:b/>
                <w:color w:val="auto"/>
                <w:sz w:val="18"/>
                <w:szCs w:val="18"/>
                <w:lang w:val="en-AU" w:eastAsia="en-US"/>
              </w:rPr>
              <w:t xml:space="preserve">(10,425) </w:t>
            </w:r>
          </w:p>
        </w:tc>
      </w:tr>
      <w:tr w:rsidR="003F38ED" w:rsidRPr="003F38ED" w14:paraId="086802F6" w14:textId="77777777" w:rsidTr="003F38ED">
        <w:trPr>
          <w:trHeight w:val="227"/>
        </w:trPr>
        <w:tc>
          <w:tcPr>
            <w:tcW w:w="5407" w:type="dxa"/>
            <w:tcBorders>
              <w:left w:val="nil"/>
              <w:right w:val="nil"/>
            </w:tcBorders>
            <w:shd w:val="clear" w:color="auto" w:fill="FFFFFF"/>
            <w:vAlign w:val="bottom"/>
          </w:tcPr>
          <w:p w14:paraId="30E6D544"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Net Cash (Outflows) from Investing Activities</w:t>
            </w:r>
          </w:p>
        </w:tc>
        <w:tc>
          <w:tcPr>
            <w:tcW w:w="836" w:type="dxa"/>
            <w:tcBorders>
              <w:left w:val="nil"/>
              <w:right w:val="nil"/>
            </w:tcBorders>
            <w:shd w:val="clear" w:color="auto" w:fill="FFFFFF"/>
            <w:vAlign w:val="bottom"/>
          </w:tcPr>
          <w:p w14:paraId="2290555E"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0" w:type="dxa"/>
            <w:tcBorders>
              <w:top w:val="single" w:sz="4" w:space="0" w:color="auto"/>
              <w:left w:val="nil"/>
              <w:bottom w:val="single" w:sz="4" w:space="0" w:color="auto"/>
              <w:right w:val="nil"/>
            </w:tcBorders>
            <w:shd w:val="clear" w:color="auto" w:fill="FFFFFF"/>
            <w:noWrap/>
            <w:vAlign w:val="bottom"/>
          </w:tcPr>
          <w:p w14:paraId="1627AB74"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(7,071)</w:t>
            </w:r>
          </w:p>
        </w:tc>
        <w:tc>
          <w:tcPr>
            <w:tcW w:w="1276" w:type="dxa"/>
            <w:tcBorders>
              <w:top w:val="single" w:sz="4" w:space="0" w:color="auto"/>
              <w:left w:val="nil"/>
              <w:bottom w:val="single" w:sz="4" w:space="0" w:color="auto"/>
              <w:right w:val="nil"/>
            </w:tcBorders>
            <w:shd w:val="clear" w:color="auto" w:fill="FFFFFF"/>
            <w:noWrap/>
            <w:vAlign w:val="bottom"/>
          </w:tcPr>
          <w:p w14:paraId="0AE92C61" w14:textId="77777777" w:rsidR="003F38ED" w:rsidRPr="003F38ED" w:rsidRDefault="003F38ED" w:rsidP="003F38ED">
            <w:pPr>
              <w:spacing w:after="0" w:line="240" w:lineRule="auto"/>
              <w:jc w:val="right"/>
              <w:rPr>
                <w:rFonts w:ascii="Arial" w:eastAsia="Calibri" w:hAnsi="Arial" w:cs="Arial"/>
                <w:b/>
                <w:color w:val="000000"/>
                <w:sz w:val="18"/>
                <w:szCs w:val="18"/>
                <w:lang w:val="en-AU" w:eastAsia="en-US"/>
              </w:rPr>
            </w:pPr>
            <w:r w:rsidRPr="003F38ED">
              <w:rPr>
                <w:rFonts w:ascii="Arial" w:eastAsia="SimSun" w:hAnsi="Arial" w:cs="Arial"/>
                <w:b/>
                <w:color w:val="000000"/>
                <w:sz w:val="18"/>
                <w:szCs w:val="18"/>
                <w:lang w:val="en-AU" w:eastAsia="en-US"/>
              </w:rPr>
              <w:t>(13,445</w:t>
            </w:r>
            <w:r w:rsidRPr="003F38ED">
              <w:rPr>
                <w:rFonts w:ascii="Arial" w:eastAsia="Calibri" w:hAnsi="Arial" w:cs="Arial"/>
                <w:b/>
                <w:color w:val="000000"/>
                <w:sz w:val="18"/>
                <w:szCs w:val="18"/>
                <w:lang w:val="en-AU" w:eastAsia="en-US"/>
              </w:rPr>
              <w:t>)</w:t>
            </w:r>
          </w:p>
        </w:tc>
        <w:tc>
          <w:tcPr>
            <w:tcW w:w="1264" w:type="dxa"/>
            <w:tcBorders>
              <w:top w:val="single" w:sz="4" w:space="0" w:color="auto"/>
              <w:left w:val="nil"/>
              <w:bottom w:val="single" w:sz="4" w:space="0" w:color="auto"/>
              <w:right w:val="nil"/>
            </w:tcBorders>
            <w:shd w:val="clear" w:color="auto" w:fill="FFFFFF"/>
            <w:noWrap/>
            <w:vAlign w:val="bottom"/>
          </w:tcPr>
          <w:p w14:paraId="2E58314C"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(9,425)</w:t>
            </w:r>
          </w:p>
        </w:tc>
      </w:tr>
      <w:tr w:rsidR="003F38ED" w:rsidRPr="003F38ED" w14:paraId="04204DE8" w14:textId="77777777" w:rsidTr="003F38ED">
        <w:trPr>
          <w:trHeight w:val="227"/>
        </w:trPr>
        <w:tc>
          <w:tcPr>
            <w:tcW w:w="5407" w:type="dxa"/>
            <w:tcBorders>
              <w:left w:val="nil"/>
              <w:right w:val="nil"/>
            </w:tcBorders>
            <w:shd w:val="clear" w:color="auto" w:fill="FFFFFF"/>
            <w:vAlign w:val="bottom"/>
          </w:tcPr>
          <w:p w14:paraId="19463C62" w14:textId="77777777" w:rsidR="003F38ED" w:rsidRPr="003F38ED" w:rsidRDefault="003F38ED" w:rsidP="003F38ED">
            <w:pPr>
              <w:spacing w:after="0" w:line="240" w:lineRule="auto"/>
              <w:rPr>
                <w:rFonts w:ascii="Arial" w:eastAsia="Times New Roman" w:hAnsi="Arial" w:cs="Arial"/>
                <w:b/>
                <w:color w:val="auto"/>
                <w:sz w:val="18"/>
                <w:szCs w:val="18"/>
                <w:lang w:val="en-AU"/>
              </w:rPr>
            </w:pPr>
          </w:p>
        </w:tc>
        <w:tc>
          <w:tcPr>
            <w:tcW w:w="836" w:type="dxa"/>
            <w:tcBorders>
              <w:left w:val="nil"/>
              <w:right w:val="nil"/>
            </w:tcBorders>
            <w:shd w:val="clear" w:color="auto" w:fill="FFFFFF"/>
            <w:vAlign w:val="bottom"/>
          </w:tcPr>
          <w:p w14:paraId="36874B1A"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0" w:type="dxa"/>
            <w:tcBorders>
              <w:top w:val="single" w:sz="4" w:space="0" w:color="auto"/>
              <w:left w:val="nil"/>
              <w:right w:val="nil"/>
            </w:tcBorders>
            <w:shd w:val="clear" w:color="auto" w:fill="FFFFFF"/>
            <w:noWrap/>
            <w:vAlign w:val="bottom"/>
          </w:tcPr>
          <w:p w14:paraId="7F58F391" w14:textId="77777777" w:rsidR="003F38ED" w:rsidRPr="003F38ED" w:rsidRDefault="003F38ED" w:rsidP="003F38ED">
            <w:pPr>
              <w:spacing w:after="0" w:line="240" w:lineRule="auto"/>
              <w:jc w:val="right"/>
              <w:rPr>
                <w:rFonts w:ascii="Arial" w:eastAsia="Calibri" w:hAnsi="Arial" w:cs="Arial"/>
                <w:color w:val="auto"/>
                <w:sz w:val="18"/>
                <w:szCs w:val="18"/>
                <w:lang w:val="en-AU" w:eastAsia="en-US"/>
              </w:rPr>
            </w:pPr>
          </w:p>
        </w:tc>
        <w:tc>
          <w:tcPr>
            <w:tcW w:w="1276" w:type="dxa"/>
            <w:tcBorders>
              <w:top w:val="single" w:sz="4" w:space="0" w:color="auto"/>
              <w:left w:val="nil"/>
              <w:right w:val="nil"/>
            </w:tcBorders>
            <w:shd w:val="clear" w:color="auto" w:fill="FFFFFF"/>
            <w:noWrap/>
            <w:vAlign w:val="bottom"/>
          </w:tcPr>
          <w:p w14:paraId="1284FAB0" w14:textId="77777777" w:rsidR="003F38ED" w:rsidRPr="003F38ED" w:rsidRDefault="003F38ED" w:rsidP="003F38ED">
            <w:pPr>
              <w:spacing w:after="0" w:line="240" w:lineRule="auto"/>
              <w:jc w:val="right"/>
              <w:rPr>
                <w:rFonts w:ascii="Arial" w:eastAsia="SimSun" w:hAnsi="Arial" w:cs="Arial"/>
                <w:b/>
                <w:color w:val="auto"/>
                <w:sz w:val="18"/>
                <w:szCs w:val="18"/>
                <w:lang w:val="en-AU" w:eastAsia="en-US"/>
              </w:rPr>
            </w:pPr>
          </w:p>
        </w:tc>
        <w:tc>
          <w:tcPr>
            <w:tcW w:w="1264" w:type="dxa"/>
            <w:tcBorders>
              <w:top w:val="single" w:sz="4" w:space="0" w:color="auto"/>
              <w:left w:val="nil"/>
              <w:right w:val="nil"/>
            </w:tcBorders>
            <w:shd w:val="clear" w:color="auto" w:fill="FFFFFF"/>
            <w:noWrap/>
            <w:vAlign w:val="bottom"/>
          </w:tcPr>
          <w:p w14:paraId="1291F2E7"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5BBF0B13" w14:textId="77777777" w:rsidTr="003F38ED">
        <w:trPr>
          <w:trHeight w:val="227"/>
        </w:trPr>
        <w:tc>
          <w:tcPr>
            <w:tcW w:w="5407" w:type="dxa"/>
            <w:tcBorders>
              <w:left w:val="nil"/>
              <w:right w:val="nil"/>
            </w:tcBorders>
            <w:shd w:val="clear" w:color="auto" w:fill="FFFFFF"/>
            <w:vAlign w:val="bottom"/>
          </w:tcPr>
          <w:p w14:paraId="6659636B" w14:textId="77777777" w:rsidR="003F38ED" w:rsidRPr="003F38ED" w:rsidRDefault="003F38ED" w:rsidP="003F38ED">
            <w:pPr>
              <w:spacing w:after="0" w:line="240" w:lineRule="auto"/>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Cash Flows from Financing Activities</w:t>
            </w:r>
          </w:p>
        </w:tc>
        <w:tc>
          <w:tcPr>
            <w:tcW w:w="836" w:type="dxa"/>
            <w:tcBorders>
              <w:left w:val="nil"/>
              <w:right w:val="nil"/>
            </w:tcBorders>
            <w:shd w:val="clear" w:color="auto" w:fill="FFFFFF"/>
            <w:vAlign w:val="bottom"/>
          </w:tcPr>
          <w:p w14:paraId="0E47EB2C"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0" w:type="dxa"/>
            <w:tcBorders>
              <w:left w:val="nil"/>
              <w:right w:val="nil"/>
            </w:tcBorders>
            <w:shd w:val="clear" w:color="auto" w:fill="FFFFFF"/>
            <w:noWrap/>
            <w:vAlign w:val="bottom"/>
          </w:tcPr>
          <w:p w14:paraId="7815AEA7" w14:textId="77777777" w:rsidR="003F38ED" w:rsidRPr="003F38ED" w:rsidRDefault="003F38ED" w:rsidP="003F38ED">
            <w:pPr>
              <w:spacing w:after="0" w:line="240" w:lineRule="auto"/>
              <w:jc w:val="right"/>
              <w:rPr>
                <w:rFonts w:ascii="Arial" w:eastAsia="Calibri" w:hAnsi="Arial" w:cs="Arial"/>
                <w:color w:val="auto"/>
                <w:sz w:val="18"/>
                <w:szCs w:val="18"/>
                <w:lang w:val="en-AU" w:eastAsia="en-US"/>
              </w:rPr>
            </w:pPr>
          </w:p>
        </w:tc>
        <w:tc>
          <w:tcPr>
            <w:tcW w:w="1276" w:type="dxa"/>
            <w:tcBorders>
              <w:left w:val="nil"/>
              <w:right w:val="nil"/>
            </w:tcBorders>
            <w:shd w:val="clear" w:color="auto" w:fill="FFFFFF"/>
            <w:noWrap/>
            <w:vAlign w:val="bottom"/>
          </w:tcPr>
          <w:p w14:paraId="72DA3B4B"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c>
          <w:tcPr>
            <w:tcW w:w="1264" w:type="dxa"/>
            <w:tcBorders>
              <w:left w:val="nil"/>
              <w:right w:val="nil"/>
            </w:tcBorders>
            <w:shd w:val="clear" w:color="auto" w:fill="FFFFFF"/>
            <w:noWrap/>
            <w:vAlign w:val="bottom"/>
          </w:tcPr>
          <w:p w14:paraId="3921AB8D"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p>
        </w:tc>
      </w:tr>
      <w:tr w:rsidR="003F38ED" w:rsidRPr="003F38ED" w14:paraId="08C374EC" w14:textId="77777777" w:rsidTr="003F38ED">
        <w:trPr>
          <w:trHeight w:val="227"/>
        </w:trPr>
        <w:tc>
          <w:tcPr>
            <w:tcW w:w="5407" w:type="dxa"/>
            <w:tcBorders>
              <w:left w:val="nil"/>
              <w:bottom w:val="nil"/>
              <w:right w:val="nil"/>
            </w:tcBorders>
            <w:shd w:val="clear" w:color="auto" w:fill="FFFFFF"/>
            <w:vAlign w:val="bottom"/>
          </w:tcPr>
          <w:p w14:paraId="4B18C359"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Payments</w:t>
            </w:r>
          </w:p>
        </w:tc>
        <w:tc>
          <w:tcPr>
            <w:tcW w:w="836" w:type="dxa"/>
            <w:tcBorders>
              <w:left w:val="nil"/>
              <w:bottom w:val="nil"/>
              <w:right w:val="nil"/>
            </w:tcBorders>
            <w:shd w:val="clear" w:color="auto" w:fill="FFFFFF"/>
            <w:vAlign w:val="bottom"/>
          </w:tcPr>
          <w:p w14:paraId="100B194F"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left w:val="nil"/>
              <w:right w:val="nil"/>
            </w:tcBorders>
            <w:shd w:val="clear" w:color="auto" w:fill="FFFFFF"/>
            <w:vAlign w:val="bottom"/>
          </w:tcPr>
          <w:p w14:paraId="14D6955D"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76" w:type="dxa"/>
            <w:tcBorders>
              <w:left w:val="nil"/>
              <w:right w:val="nil"/>
            </w:tcBorders>
            <w:shd w:val="clear" w:color="auto" w:fill="FFFFFF"/>
            <w:vAlign w:val="bottom"/>
          </w:tcPr>
          <w:p w14:paraId="072CC3F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c>
          <w:tcPr>
            <w:tcW w:w="1264" w:type="dxa"/>
            <w:tcBorders>
              <w:left w:val="nil"/>
              <w:right w:val="nil"/>
            </w:tcBorders>
            <w:shd w:val="clear" w:color="auto" w:fill="FFFFFF"/>
            <w:vAlign w:val="bottom"/>
          </w:tcPr>
          <w:p w14:paraId="5B669087"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2DA2235F" w14:textId="77777777" w:rsidTr="003F38ED">
        <w:trPr>
          <w:trHeight w:val="227"/>
        </w:trPr>
        <w:tc>
          <w:tcPr>
            <w:tcW w:w="5407" w:type="dxa"/>
            <w:tcBorders>
              <w:left w:val="nil"/>
              <w:bottom w:val="nil"/>
              <w:right w:val="nil"/>
            </w:tcBorders>
            <w:shd w:val="clear" w:color="auto" w:fill="FFFFFF"/>
            <w:vAlign w:val="bottom"/>
          </w:tcPr>
          <w:p w14:paraId="4D692819" w14:textId="77777777" w:rsidR="003F38ED" w:rsidRPr="003F38ED" w:rsidRDefault="003F38ED" w:rsidP="003F38ED">
            <w:pPr>
              <w:spacing w:after="0" w:line="240" w:lineRule="auto"/>
              <w:rPr>
                <w:rFonts w:ascii="Arial" w:eastAsia="Times New Roman" w:hAnsi="Arial" w:cs="Arial"/>
                <w:b/>
                <w:color w:val="auto"/>
                <w:sz w:val="18"/>
                <w:szCs w:val="18"/>
                <w:lang w:val="en-AU"/>
              </w:rPr>
            </w:pPr>
            <w:bookmarkStart w:id="92" w:name="_Hlk44515200"/>
            <w:r w:rsidRPr="003F38ED">
              <w:rPr>
                <w:rFonts w:ascii="Arial" w:eastAsia="Times New Roman" w:hAnsi="Arial" w:cs="Arial"/>
                <w:color w:val="auto"/>
                <w:sz w:val="18"/>
                <w:szCs w:val="18"/>
                <w:lang w:val="en-AU"/>
              </w:rPr>
              <w:t>Repayment of Lease Liabilities - Principal</w:t>
            </w:r>
            <w:bookmarkEnd w:id="92"/>
          </w:p>
        </w:tc>
        <w:tc>
          <w:tcPr>
            <w:tcW w:w="836" w:type="dxa"/>
            <w:tcBorders>
              <w:left w:val="nil"/>
              <w:bottom w:val="nil"/>
              <w:right w:val="nil"/>
            </w:tcBorders>
            <w:shd w:val="clear" w:color="auto" w:fill="FFFFFF"/>
            <w:vAlign w:val="bottom"/>
          </w:tcPr>
          <w:p w14:paraId="563420EC"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left w:val="nil"/>
              <w:bottom w:val="single" w:sz="4" w:space="0" w:color="auto"/>
              <w:right w:val="nil"/>
            </w:tcBorders>
            <w:shd w:val="clear" w:color="auto" w:fill="FFFFFF"/>
            <w:vAlign w:val="bottom"/>
          </w:tcPr>
          <w:p w14:paraId="28DFCF68"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(151)</w:t>
            </w:r>
          </w:p>
        </w:tc>
        <w:tc>
          <w:tcPr>
            <w:tcW w:w="1276" w:type="dxa"/>
            <w:tcBorders>
              <w:left w:val="nil"/>
              <w:bottom w:val="single" w:sz="4" w:space="0" w:color="auto"/>
              <w:right w:val="nil"/>
            </w:tcBorders>
            <w:shd w:val="clear" w:color="auto" w:fill="FFFFFF"/>
            <w:vAlign w:val="bottom"/>
          </w:tcPr>
          <w:p w14:paraId="2D24A22C"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 xml:space="preserve"> (177)</w:t>
            </w:r>
          </w:p>
        </w:tc>
        <w:tc>
          <w:tcPr>
            <w:tcW w:w="1264" w:type="dxa"/>
            <w:tcBorders>
              <w:left w:val="nil"/>
              <w:bottom w:val="single" w:sz="4" w:space="0" w:color="auto"/>
              <w:right w:val="nil"/>
            </w:tcBorders>
            <w:shd w:val="clear" w:color="auto" w:fill="FFFFFF"/>
            <w:vAlign w:val="bottom"/>
          </w:tcPr>
          <w:p w14:paraId="716E4035"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(135)</w:t>
            </w:r>
          </w:p>
        </w:tc>
      </w:tr>
      <w:tr w:rsidR="003F38ED" w:rsidRPr="003F38ED" w14:paraId="3BCB128A" w14:textId="77777777" w:rsidTr="003F38ED">
        <w:trPr>
          <w:trHeight w:val="227"/>
        </w:trPr>
        <w:tc>
          <w:tcPr>
            <w:tcW w:w="5407" w:type="dxa"/>
            <w:tcBorders>
              <w:left w:val="nil"/>
              <w:bottom w:val="nil"/>
              <w:right w:val="nil"/>
            </w:tcBorders>
            <w:shd w:val="clear" w:color="auto" w:fill="FFFFFF"/>
            <w:vAlign w:val="bottom"/>
          </w:tcPr>
          <w:p w14:paraId="4033BF90"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Total Payments from Financing Activities</w:t>
            </w:r>
          </w:p>
        </w:tc>
        <w:tc>
          <w:tcPr>
            <w:tcW w:w="836" w:type="dxa"/>
            <w:tcBorders>
              <w:left w:val="nil"/>
              <w:bottom w:val="nil"/>
              <w:right w:val="nil"/>
            </w:tcBorders>
            <w:shd w:val="clear" w:color="auto" w:fill="FFFFFF"/>
            <w:vAlign w:val="bottom"/>
          </w:tcPr>
          <w:p w14:paraId="1C48DF2A"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single" w:sz="4" w:space="0" w:color="auto"/>
              <w:left w:val="nil"/>
              <w:right w:val="nil"/>
            </w:tcBorders>
            <w:shd w:val="clear" w:color="auto" w:fill="FFFFFF"/>
            <w:vAlign w:val="bottom"/>
          </w:tcPr>
          <w:p w14:paraId="32A61EA8"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(151)</w:t>
            </w:r>
          </w:p>
        </w:tc>
        <w:tc>
          <w:tcPr>
            <w:tcW w:w="1276" w:type="dxa"/>
            <w:tcBorders>
              <w:top w:val="single" w:sz="4" w:space="0" w:color="auto"/>
              <w:left w:val="nil"/>
              <w:right w:val="nil"/>
            </w:tcBorders>
            <w:shd w:val="clear" w:color="auto" w:fill="FFFFFF"/>
            <w:vAlign w:val="bottom"/>
          </w:tcPr>
          <w:p w14:paraId="29F2E90D" w14:textId="77777777" w:rsidR="003F38ED" w:rsidRPr="003F38ED" w:rsidRDefault="003F38ED" w:rsidP="003F38ED">
            <w:pPr>
              <w:spacing w:after="0" w:line="240" w:lineRule="auto"/>
              <w:jc w:val="right"/>
              <w:rPr>
                <w:rFonts w:ascii="Arial" w:eastAsia="Calibri" w:hAnsi="Arial" w:cs="Arial"/>
                <w:b/>
                <w:color w:val="000000"/>
                <w:sz w:val="18"/>
                <w:szCs w:val="18"/>
                <w:lang w:val="en-AU" w:eastAsia="en-US"/>
              </w:rPr>
            </w:pPr>
            <w:r w:rsidRPr="003F38ED">
              <w:rPr>
                <w:rFonts w:ascii="Arial" w:eastAsia="Calibri" w:hAnsi="Arial" w:cs="Arial"/>
                <w:b/>
                <w:color w:val="000000"/>
                <w:sz w:val="18"/>
                <w:szCs w:val="18"/>
                <w:lang w:val="en-AU" w:eastAsia="en-US"/>
              </w:rPr>
              <w:t xml:space="preserve"> (177)</w:t>
            </w:r>
          </w:p>
        </w:tc>
        <w:tc>
          <w:tcPr>
            <w:tcW w:w="1264" w:type="dxa"/>
            <w:tcBorders>
              <w:top w:val="single" w:sz="4" w:space="0" w:color="auto"/>
              <w:left w:val="nil"/>
              <w:right w:val="nil"/>
            </w:tcBorders>
            <w:shd w:val="clear" w:color="auto" w:fill="FFFFFF"/>
            <w:vAlign w:val="bottom"/>
          </w:tcPr>
          <w:p w14:paraId="66E35F47"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(135)</w:t>
            </w:r>
          </w:p>
        </w:tc>
      </w:tr>
      <w:tr w:rsidR="003F38ED" w:rsidRPr="003F38ED" w14:paraId="47B31CFB" w14:textId="77777777" w:rsidTr="003F38ED">
        <w:trPr>
          <w:trHeight w:val="227"/>
        </w:trPr>
        <w:tc>
          <w:tcPr>
            <w:tcW w:w="5407" w:type="dxa"/>
            <w:tcBorders>
              <w:left w:val="nil"/>
              <w:bottom w:val="nil"/>
              <w:right w:val="nil"/>
            </w:tcBorders>
            <w:shd w:val="clear" w:color="auto" w:fill="FFFFFF"/>
            <w:vAlign w:val="bottom"/>
          </w:tcPr>
          <w:p w14:paraId="7893199D"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Net Cash (Outflows) from Financing Activities</w:t>
            </w:r>
          </w:p>
        </w:tc>
        <w:tc>
          <w:tcPr>
            <w:tcW w:w="836" w:type="dxa"/>
            <w:tcBorders>
              <w:left w:val="nil"/>
              <w:bottom w:val="nil"/>
              <w:right w:val="nil"/>
            </w:tcBorders>
            <w:shd w:val="clear" w:color="auto" w:fill="FFFFFF"/>
            <w:vAlign w:val="bottom"/>
          </w:tcPr>
          <w:p w14:paraId="3E4A81F0"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single" w:sz="4" w:space="0" w:color="auto"/>
              <w:left w:val="nil"/>
              <w:bottom w:val="single" w:sz="4" w:space="0" w:color="auto"/>
              <w:right w:val="nil"/>
            </w:tcBorders>
            <w:shd w:val="clear" w:color="auto" w:fill="FFFFFF"/>
            <w:vAlign w:val="bottom"/>
          </w:tcPr>
          <w:p w14:paraId="4B67AF3A"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(151)</w:t>
            </w:r>
          </w:p>
        </w:tc>
        <w:tc>
          <w:tcPr>
            <w:tcW w:w="1276" w:type="dxa"/>
            <w:tcBorders>
              <w:top w:val="single" w:sz="4" w:space="0" w:color="auto"/>
              <w:left w:val="nil"/>
              <w:bottom w:val="single" w:sz="4" w:space="0" w:color="auto"/>
              <w:right w:val="nil"/>
            </w:tcBorders>
            <w:shd w:val="clear" w:color="auto" w:fill="FFFFFF"/>
            <w:vAlign w:val="bottom"/>
          </w:tcPr>
          <w:p w14:paraId="63BA1225" w14:textId="77777777" w:rsidR="003F38ED" w:rsidRPr="003F38ED" w:rsidRDefault="003F38ED" w:rsidP="003F38ED">
            <w:pPr>
              <w:spacing w:after="0" w:line="240" w:lineRule="auto"/>
              <w:jc w:val="right"/>
              <w:rPr>
                <w:rFonts w:ascii="Arial" w:eastAsia="Times New Roman" w:hAnsi="Arial" w:cs="Arial"/>
                <w:b/>
                <w:color w:val="000000"/>
                <w:sz w:val="18"/>
                <w:szCs w:val="18"/>
                <w:lang w:val="en-AU"/>
              </w:rPr>
            </w:pPr>
            <w:r w:rsidRPr="003F38ED">
              <w:rPr>
                <w:rFonts w:ascii="Arial" w:eastAsia="Times New Roman" w:hAnsi="Arial" w:cs="Arial"/>
                <w:b/>
                <w:color w:val="000000"/>
                <w:sz w:val="18"/>
                <w:szCs w:val="18"/>
                <w:lang w:val="en-AU"/>
              </w:rPr>
              <w:t>(177)</w:t>
            </w:r>
          </w:p>
        </w:tc>
        <w:tc>
          <w:tcPr>
            <w:tcW w:w="1264" w:type="dxa"/>
            <w:tcBorders>
              <w:top w:val="single" w:sz="4" w:space="0" w:color="auto"/>
              <w:left w:val="nil"/>
              <w:bottom w:val="single" w:sz="4" w:space="0" w:color="auto"/>
              <w:right w:val="nil"/>
            </w:tcBorders>
            <w:shd w:val="clear" w:color="auto" w:fill="FFFFFF"/>
            <w:vAlign w:val="bottom"/>
          </w:tcPr>
          <w:p w14:paraId="7456F99E"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(135)</w:t>
            </w:r>
          </w:p>
        </w:tc>
      </w:tr>
      <w:tr w:rsidR="003F38ED" w:rsidRPr="003F38ED" w14:paraId="5B5C3DB3" w14:textId="77777777" w:rsidTr="003F38ED">
        <w:trPr>
          <w:trHeight w:val="227"/>
        </w:trPr>
        <w:tc>
          <w:tcPr>
            <w:tcW w:w="5407" w:type="dxa"/>
            <w:tcBorders>
              <w:left w:val="nil"/>
              <w:bottom w:val="nil"/>
              <w:right w:val="nil"/>
            </w:tcBorders>
            <w:shd w:val="clear" w:color="auto" w:fill="FFFFFF"/>
            <w:vAlign w:val="bottom"/>
          </w:tcPr>
          <w:p w14:paraId="3D6BA951" w14:textId="77777777" w:rsidR="003F38ED" w:rsidRPr="003F38ED" w:rsidRDefault="003F38ED" w:rsidP="003F38ED">
            <w:pPr>
              <w:spacing w:after="0" w:line="240" w:lineRule="auto"/>
              <w:rPr>
                <w:rFonts w:ascii="Arial" w:eastAsia="Times New Roman" w:hAnsi="Arial" w:cs="Arial"/>
                <w:color w:val="auto"/>
                <w:sz w:val="18"/>
                <w:szCs w:val="18"/>
                <w:lang w:val="en-AU"/>
              </w:rPr>
            </w:pPr>
          </w:p>
        </w:tc>
        <w:tc>
          <w:tcPr>
            <w:tcW w:w="836" w:type="dxa"/>
            <w:tcBorders>
              <w:left w:val="nil"/>
              <w:bottom w:val="nil"/>
              <w:right w:val="nil"/>
            </w:tcBorders>
            <w:shd w:val="clear" w:color="auto" w:fill="FFFFFF"/>
            <w:vAlign w:val="bottom"/>
          </w:tcPr>
          <w:p w14:paraId="664B63FC"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top w:val="single" w:sz="4" w:space="0" w:color="auto"/>
              <w:left w:val="nil"/>
              <w:bottom w:val="nil"/>
              <w:right w:val="nil"/>
            </w:tcBorders>
            <w:shd w:val="clear" w:color="auto" w:fill="FFFFFF"/>
            <w:vAlign w:val="bottom"/>
          </w:tcPr>
          <w:p w14:paraId="7547B966" w14:textId="77777777" w:rsidR="003F38ED" w:rsidRPr="003F38ED" w:rsidRDefault="003F38ED" w:rsidP="003F38ED">
            <w:pPr>
              <w:spacing w:after="0" w:line="240" w:lineRule="auto"/>
              <w:jc w:val="right"/>
              <w:rPr>
                <w:rFonts w:ascii="Arial" w:eastAsia="Calibri" w:hAnsi="Arial" w:cs="Arial"/>
                <w:color w:val="auto"/>
                <w:sz w:val="18"/>
                <w:szCs w:val="18"/>
                <w:lang w:val="en-AU" w:eastAsia="en-US"/>
              </w:rPr>
            </w:pPr>
          </w:p>
        </w:tc>
        <w:tc>
          <w:tcPr>
            <w:tcW w:w="1276" w:type="dxa"/>
            <w:tcBorders>
              <w:top w:val="single" w:sz="4" w:space="0" w:color="auto"/>
              <w:left w:val="nil"/>
              <w:bottom w:val="nil"/>
              <w:right w:val="nil"/>
            </w:tcBorders>
            <w:shd w:val="clear" w:color="auto" w:fill="FFFFFF"/>
            <w:vAlign w:val="bottom"/>
          </w:tcPr>
          <w:p w14:paraId="5BA06BC0" w14:textId="77777777" w:rsidR="003F38ED" w:rsidRPr="003F38ED" w:rsidRDefault="003F38ED" w:rsidP="003F38ED">
            <w:pPr>
              <w:spacing w:after="0" w:line="240" w:lineRule="auto"/>
              <w:jc w:val="right"/>
              <w:rPr>
                <w:rFonts w:ascii="Arial" w:eastAsia="Times New Roman" w:hAnsi="Arial" w:cs="Arial"/>
                <w:color w:val="000000"/>
                <w:sz w:val="18"/>
                <w:szCs w:val="18"/>
                <w:lang w:val="en-AU"/>
              </w:rPr>
            </w:pPr>
          </w:p>
        </w:tc>
        <w:tc>
          <w:tcPr>
            <w:tcW w:w="1264" w:type="dxa"/>
            <w:tcBorders>
              <w:top w:val="single" w:sz="4" w:space="0" w:color="auto"/>
              <w:left w:val="nil"/>
              <w:bottom w:val="nil"/>
              <w:right w:val="nil"/>
            </w:tcBorders>
            <w:shd w:val="clear" w:color="auto" w:fill="FFFFFF"/>
            <w:vAlign w:val="bottom"/>
          </w:tcPr>
          <w:p w14:paraId="34527B98"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p>
        </w:tc>
      </w:tr>
      <w:tr w:rsidR="003F38ED" w:rsidRPr="003F38ED" w14:paraId="59D223F1" w14:textId="77777777" w:rsidTr="003F38ED">
        <w:trPr>
          <w:trHeight w:val="227"/>
        </w:trPr>
        <w:tc>
          <w:tcPr>
            <w:tcW w:w="5407" w:type="dxa"/>
            <w:tcBorders>
              <w:left w:val="nil"/>
              <w:right w:val="nil"/>
            </w:tcBorders>
            <w:shd w:val="clear" w:color="auto" w:fill="FFFFFF"/>
            <w:vAlign w:val="bottom"/>
          </w:tcPr>
          <w:p w14:paraId="7CB7E0CD" w14:textId="77777777" w:rsidR="003F38ED" w:rsidRPr="003F38ED" w:rsidRDefault="003F38ED" w:rsidP="003F38ED">
            <w:pPr>
              <w:spacing w:after="0" w:line="240" w:lineRule="auto"/>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Net Increase/(Decrease) in Cash</w:t>
            </w:r>
          </w:p>
        </w:tc>
        <w:tc>
          <w:tcPr>
            <w:tcW w:w="836" w:type="dxa"/>
            <w:tcBorders>
              <w:left w:val="nil"/>
              <w:right w:val="nil"/>
            </w:tcBorders>
            <w:shd w:val="clear" w:color="auto" w:fill="FFFFFF"/>
            <w:vAlign w:val="bottom"/>
          </w:tcPr>
          <w:p w14:paraId="35382471"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p>
        </w:tc>
        <w:tc>
          <w:tcPr>
            <w:tcW w:w="1270" w:type="dxa"/>
            <w:tcBorders>
              <w:left w:val="nil"/>
              <w:right w:val="nil"/>
            </w:tcBorders>
            <w:shd w:val="clear" w:color="auto" w:fill="FFFFFF"/>
            <w:vAlign w:val="bottom"/>
          </w:tcPr>
          <w:p w14:paraId="45DAC237" w14:textId="77777777" w:rsidR="003F38ED" w:rsidRPr="003F38ED" w:rsidRDefault="003F38ED" w:rsidP="003F38ED">
            <w:pPr>
              <w:spacing w:after="0" w:line="240" w:lineRule="auto"/>
              <w:jc w:val="right"/>
              <w:rPr>
                <w:rFonts w:ascii="Arial" w:eastAsia="Calibri" w:hAnsi="Arial" w:cs="Arial"/>
                <w:b/>
                <w:color w:val="auto"/>
                <w:sz w:val="18"/>
                <w:szCs w:val="18"/>
                <w:lang w:val="en-AU" w:eastAsia="en-US"/>
              </w:rPr>
            </w:pPr>
            <w:r w:rsidRPr="003F38ED">
              <w:rPr>
                <w:rFonts w:ascii="Arial" w:eastAsia="Calibri" w:hAnsi="Arial" w:cs="Arial"/>
                <w:b/>
                <w:color w:val="auto"/>
                <w:sz w:val="18"/>
                <w:szCs w:val="18"/>
                <w:lang w:val="en-AU" w:eastAsia="en-US"/>
              </w:rPr>
              <w:t>2,559</w:t>
            </w:r>
          </w:p>
        </w:tc>
        <w:tc>
          <w:tcPr>
            <w:tcW w:w="1276" w:type="dxa"/>
            <w:tcBorders>
              <w:left w:val="nil"/>
              <w:right w:val="nil"/>
            </w:tcBorders>
            <w:shd w:val="clear" w:color="auto" w:fill="FFFFFF"/>
            <w:vAlign w:val="bottom"/>
          </w:tcPr>
          <w:p w14:paraId="74599689" w14:textId="77777777" w:rsidR="003F38ED" w:rsidRPr="003F38ED" w:rsidRDefault="003F38ED" w:rsidP="003F38ED">
            <w:pPr>
              <w:spacing w:after="0" w:line="240" w:lineRule="auto"/>
              <w:jc w:val="right"/>
              <w:rPr>
                <w:rFonts w:ascii="Arial" w:eastAsia="Times New Roman" w:hAnsi="Arial" w:cs="Arial"/>
                <w:b/>
                <w:color w:val="000000"/>
                <w:sz w:val="18"/>
                <w:szCs w:val="18"/>
                <w:lang w:val="en-AU"/>
              </w:rPr>
            </w:pPr>
            <w:r w:rsidRPr="003F38ED">
              <w:rPr>
                <w:rFonts w:ascii="Arial" w:eastAsia="Calibri" w:hAnsi="Arial" w:cs="Arial"/>
                <w:b/>
                <w:color w:val="000000"/>
                <w:sz w:val="18"/>
                <w:szCs w:val="18"/>
                <w:lang w:val="en-AU" w:eastAsia="en-US"/>
              </w:rPr>
              <w:t xml:space="preserve"> 1,924</w:t>
            </w:r>
            <w:r w:rsidRPr="003F38ED">
              <w:rPr>
                <w:rFonts w:ascii="Arial" w:eastAsia="Times New Roman" w:hAnsi="Arial" w:cs="Arial"/>
                <w:b/>
                <w:color w:val="000000"/>
                <w:sz w:val="18"/>
                <w:szCs w:val="18"/>
                <w:lang w:val="en-AU"/>
              </w:rPr>
              <w:t xml:space="preserve"> </w:t>
            </w:r>
          </w:p>
        </w:tc>
        <w:tc>
          <w:tcPr>
            <w:tcW w:w="1264" w:type="dxa"/>
            <w:tcBorders>
              <w:left w:val="nil"/>
              <w:right w:val="nil"/>
            </w:tcBorders>
            <w:shd w:val="clear" w:color="auto" w:fill="FFFFFF"/>
            <w:vAlign w:val="bottom"/>
          </w:tcPr>
          <w:p w14:paraId="2BF10ED1"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w:t>
            </w:r>
            <w:r w:rsidRPr="003F38ED">
              <w:rPr>
                <w:rFonts w:ascii="Arial" w:eastAsia="Calibri" w:hAnsi="Arial" w:cs="Arial"/>
                <w:b/>
                <w:color w:val="auto"/>
                <w:sz w:val="18"/>
                <w:szCs w:val="18"/>
                <w:lang w:val="en-AU" w:eastAsia="en-US"/>
              </w:rPr>
              <w:t>644</w:t>
            </w:r>
            <w:r w:rsidRPr="003F38ED">
              <w:rPr>
                <w:rFonts w:ascii="Arial" w:eastAsia="Times New Roman" w:hAnsi="Arial" w:cs="Arial"/>
                <w:b/>
                <w:color w:val="auto"/>
                <w:sz w:val="18"/>
                <w:szCs w:val="18"/>
                <w:lang w:val="en-AU"/>
              </w:rPr>
              <w:t>)</w:t>
            </w:r>
          </w:p>
        </w:tc>
      </w:tr>
      <w:tr w:rsidR="003F38ED" w:rsidRPr="003F38ED" w14:paraId="4AA8471D" w14:textId="77777777" w:rsidTr="003F38ED">
        <w:trPr>
          <w:trHeight w:val="227"/>
        </w:trPr>
        <w:tc>
          <w:tcPr>
            <w:tcW w:w="5407" w:type="dxa"/>
            <w:tcBorders>
              <w:top w:val="nil"/>
              <w:left w:val="nil"/>
              <w:bottom w:val="nil"/>
              <w:right w:val="nil"/>
            </w:tcBorders>
            <w:shd w:val="clear" w:color="auto" w:fill="FFFFFF"/>
            <w:vAlign w:val="bottom"/>
          </w:tcPr>
          <w:p w14:paraId="6DB9C158" w14:textId="77777777" w:rsidR="003F38ED" w:rsidRPr="003F38ED" w:rsidRDefault="003F38ED" w:rsidP="003F38ED">
            <w:pPr>
              <w:spacing w:after="0" w:line="240" w:lineRule="auto"/>
              <w:ind w:left="142" w:hanging="142"/>
              <w:rPr>
                <w:rFonts w:ascii="Arial" w:eastAsia="Times New Roman" w:hAnsi="Arial" w:cs="Arial"/>
                <w:b/>
                <w:color w:val="auto"/>
                <w:sz w:val="18"/>
                <w:szCs w:val="18"/>
                <w:lang w:val="en-AU"/>
              </w:rPr>
            </w:pPr>
            <w:r w:rsidRPr="003F38ED">
              <w:rPr>
                <w:rFonts w:ascii="Arial" w:eastAsia="Times New Roman" w:hAnsi="Arial" w:cs="Arial"/>
                <w:color w:val="auto"/>
                <w:sz w:val="18"/>
                <w:szCs w:val="18"/>
                <w:lang w:val="en-AU"/>
              </w:rPr>
              <w:t>Cash at the Beginning of the Reporting Period</w:t>
            </w:r>
          </w:p>
        </w:tc>
        <w:tc>
          <w:tcPr>
            <w:tcW w:w="836" w:type="dxa"/>
            <w:tcBorders>
              <w:top w:val="nil"/>
              <w:left w:val="nil"/>
              <w:bottom w:val="nil"/>
              <w:right w:val="nil"/>
            </w:tcBorders>
            <w:shd w:val="clear" w:color="auto" w:fill="FFFFFF"/>
            <w:vAlign w:val="bottom"/>
          </w:tcPr>
          <w:p w14:paraId="0A3B4349" w14:textId="77777777" w:rsidR="003F38ED" w:rsidRPr="003F38ED" w:rsidRDefault="003F38ED" w:rsidP="003F38ED">
            <w:pPr>
              <w:spacing w:after="0" w:line="240" w:lineRule="auto"/>
              <w:jc w:val="center"/>
              <w:rPr>
                <w:rFonts w:ascii="Arial" w:eastAsia="Times New Roman" w:hAnsi="Arial" w:cs="Arial"/>
                <w:b/>
                <w:color w:val="auto"/>
                <w:sz w:val="18"/>
                <w:szCs w:val="18"/>
                <w:lang w:val="en-AU"/>
              </w:rPr>
            </w:pPr>
          </w:p>
        </w:tc>
        <w:tc>
          <w:tcPr>
            <w:tcW w:w="1270" w:type="dxa"/>
            <w:tcBorders>
              <w:top w:val="nil"/>
              <w:left w:val="nil"/>
              <w:bottom w:val="single" w:sz="4" w:space="0" w:color="auto"/>
              <w:right w:val="nil"/>
            </w:tcBorders>
            <w:shd w:val="clear" w:color="auto" w:fill="FFFFFF"/>
            <w:vAlign w:val="bottom"/>
          </w:tcPr>
          <w:p w14:paraId="1E90F3CE" w14:textId="77777777" w:rsidR="003F38ED" w:rsidRPr="003F38ED" w:rsidRDefault="003F38ED" w:rsidP="003F38ED">
            <w:pPr>
              <w:spacing w:after="0" w:line="240" w:lineRule="auto"/>
              <w:jc w:val="right"/>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5,942</w:t>
            </w:r>
          </w:p>
        </w:tc>
        <w:tc>
          <w:tcPr>
            <w:tcW w:w="1276" w:type="dxa"/>
            <w:tcBorders>
              <w:top w:val="nil"/>
              <w:left w:val="nil"/>
              <w:bottom w:val="single" w:sz="4" w:space="0" w:color="auto"/>
              <w:right w:val="nil"/>
            </w:tcBorders>
            <w:shd w:val="clear" w:color="auto" w:fill="FFFFFF"/>
            <w:vAlign w:val="bottom"/>
          </w:tcPr>
          <w:p w14:paraId="39E5E6B9" w14:textId="77777777" w:rsidR="003F38ED" w:rsidRPr="003F38ED" w:rsidRDefault="003F38ED" w:rsidP="003F38ED">
            <w:pPr>
              <w:spacing w:after="0" w:line="240" w:lineRule="auto"/>
              <w:jc w:val="right"/>
              <w:rPr>
                <w:rFonts w:ascii="Arial" w:eastAsia="Calibri" w:hAnsi="Arial" w:cs="Arial"/>
                <w:color w:val="000000"/>
                <w:sz w:val="18"/>
                <w:szCs w:val="18"/>
                <w:lang w:val="en-AU" w:eastAsia="en-US"/>
              </w:rPr>
            </w:pPr>
            <w:r w:rsidRPr="003F38ED">
              <w:rPr>
                <w:rFonts w:ascii="Arial" w:eastAsia="Calibri" w:hAnsi="Arial" w:cs="Arial"/>
                <w:color w:val="000000"/>
                <w:sz w:val="18"/>
                <w:szCs w:val="18"/>
                <w:lang w:val="en-AU" w:eastAsia="en-US"/>
              </w:rPr>
              <w:t>8,741</w:t>
            </w:r>
          </w:p>
        </w:tc>
        <w:tc>
          <w:tcPr>
            <w:tcW w:w="1264" w:type="dxa"/>
            <w:tcBorders>
              <w:top w:val="nil"/>
              <w:left w:val="nil"/>
              <w:bottom w:val="single" w:sz="4" w:space="0" w:color="auto"/>
              <w:right w:val="nil"/>
            </w:tcBorders>
            <w:shd w:val="clear" w:color="auto" w:fill="FFFFFF"/>
            <w:vAlign w:val="bottom"/>
          </w:tcPr>
          <w:p w14:paraId="43D12C96"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color w:val="auto"/>
                <w:sz w:val="18"/>
                <w:szCs w:val="18"/>
                <w:lang w:val="en-AU"/>
              </w:rPr>
              <w:t>6,</w:t>
            </w:r>
            <w:r w:rsidRPr="003F38ED">
              <w:rPr>
                <w:rFonts w:ascii="Arial" w:eastAsia="Calibri" w:hAnsi="Arial" w:cs="Arial"/>
                <w:color w:val="auto"/>
                <w:sz w:val="18"/>
                <w:szCs w:val="18"/>
                <w:lang w:val="en-AU" w:eastAsia="en-US"/>
              </w:rPr>
              <w:t>586</w:t>
            </w:r>
          </w:p>
        </w:tc>
      </w:tr>
      <w:tr w:rsidR="003F38ED" w:rsidRPr="003F38ED" w14:paraId="0CB89D8D" w14:textId="77777777" w:rsidTr="00F0752D">
        <w:trPr>
          <w:trHeight w:val="227"/>
        </w:trPr>
        <w:tc>
          <w:tcPr>
            <w:tcW w:w="5407" w:type="dxa"/>
            <w:tcBorders>
              <w:left w:val="nil"/>
              <w:right w:val="nil"/>
            </w:tcBorders>
            <w:vAlign w:val="bottom"/>
          </w:tcPr>
          <w:p w14:paraId="34BD0E75" w14:textId="77777777" w:rsidR="003F38ED" w:rsidRPr="003F38ED" w:rsidRDefault="003F38ED" w:rsidP="003F38ED">
            <w:pPr>
              <w:spacing w:after="0" w:line="240" w:lineRule="auto"/>
              <w:ind w:left="142" w:hanging="142"/>
              <w:rPr>
                <w:rFonts w:ascii="Arial" w:eastAsia="Times New Roman" w:hAnsi="Arial" w:cs="Arial"/>
                <w:color w:val="auto"/>
                <w:sz w:val="18"/>
                <w:szCs w:val="18"/>
                <w:lang w:val="en-AU"/>
              </w:rPr>
            </w:pPr>
            <w:r w:rsidRPr="003F38ED">
              <w:rPr>
                <w:rFonts w:ascii="Arial" w:eastAsia="Times New Roman" w:hAnsi="Arial" w:cs="Arial"/>
                <w:b/>
                <w:color w:val="auto"/>
                <w:sz w:val="18"/>
                <w:szCs w:val="18"/>
                <w:lang w:val="en-AU"/>
              </w:rPr>
              <w:t>Cash at the End of the Reporting Period</w:t>
            </w:r>
          </w:p>
        </w:tc>
        <w:tc>
          <w:tcPr>
            <w:tcW w:w="836" w:type="dxa"/>
            <w:tcBorders>
              <w:left w:val="nil"/>
              <w:right w:val="nil"/>
            </w:tcBorders>
            <w:vAlign w:val="bottom"/>
          </w:tcPr>
          <w:p w14:paraId="53E0800F" w14:textId="77777777" w:rsidR="003F38ED" w:rsidRPr="003F38ED" w:rsidRDefault="003F38ED" w:rsidP="003F38ED">
            <w:pPr>
              <w:spacing w:after="0" w:line="240" w:lineRule="auto"/>
              <w:jc w:val="center"/>
              <w:rPr>
                <w:rFonts w:ascii="Arial" w:eastAsia="Times New Roman" w:hAnsi="Arial" w:cs="Arial"/>
                <w:color w:val="auto"/>
                <w:sz w:val="18"/>
                <w:szCs w:val="18"/>
                <w:lang w:val="en-AU"/>
              </w:rPr>
            </w:pPr>
            <w:r w:rsidRPr="003F38ED">
              <w:rPr>
                <w:rFonts w:ascii="Arial" w:eastAsia="Times New Roman" w:hAnsi="Arial" w:cs="Arial"/>
                <w:color w:val="auto"/>
                <w:sz w:val="18"/>
                <w:szCs w:val="18"/>
                <w:lang w:val="en-AU"/>
              </w:rPr>
              <w:t>11</w:t>
            </w:r>
          </w:p>
        </w:tc>
        <w:tc>
          <w:tcPr>
            <w:tcW w:w="1270" w:type="dxa"/>
            <w:tcBorders>
              <w:top w:val="single" w:sz="4" w:space="0" w:color="auto"/>
              <w:left w:val="nil"/>
              <w:bottom w:val="double" w:sz="4" w:space="0" w:color="auto"/>
              <w:right w:val="nil"/>
            </w:tcBorders>
            <w:noWrap/>
            <w:vAlign w:val="bottom"/>
          </w:tcPr>
          <w:p w14:paraId="669DAC51"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Times New Roman" w:hAnsi="Arial" w:cs="Arial"/>
                <w:b/>
                <w:color w:val="auto"/>
                <w:sz w:val="18"/>
                <w:szCs w:val="18"/>
                <w:lang w:val="en-AU"/>
              </w:rPr>
              <w:t>8,501</w:t>
            </w:r>
          </w:p>
        </w:tc>
        <w:tc>
          <w:tcPr>
            <w:tcW w:w="1276" w:type="dxa"/>
            <w:tcBorders>
              <w:top w:val="single" w:sz="4" w:space="0" w:color="auto"/>
              <w:left w:val="nil"/>
              <w:bottom w:val="double" w:sz="4" w:space="0" w:color="auto"/>
              <w:right w:val="nil"/>
            </w:tcBorders>
            <w:noWrap/>
            <w:vAlign w:val="bottom"/>
          </w:tcPr>
          <w:p w14:paraId="49E89CB5" w14:textId="77777777" w:rsidR="003F38ED" w:rsidRPr="003F38ED" w:rsidRDefault="003F38ED" w:rsidP="003F38ED">
            <w:pPr>
              <w:spacing w:after="0" w:line="240" w:lineRule="auto"/>
              <w:jc w:val="right"/>
              <w:rPr>
                <w:rFonts w:ascii="Arial" w:eastAsia="Calibri" w:hAnsi="Arial" w:cs="Arial"/>
                <w:b/>
                <w:color w:val="000000"/>
                <w:sz w:val="18"/>
                <w:szCs w:val="18"/>
                <w:lang w:val="en-AU" w:eastAsia="en-US"/>
              </w:rPr>
            </w:pPr>
            <w:r w:rsidRPr="003F38ED">
              <w:rPr>
                <w:rFonts w:ascii="Arial" w:eastAsia="Calibri" w:hAnsi="Arial" w:cs="Arial"/>
                <w:b/>
                <w:color w:val="000000"/>
                <w:sz w:val="18"/>
                <w:szCs w:val="18"/>
                <w:lang w:val="en-AU" w:eastAsia="en-US"/>
              </w:rPr>
              <w:t>10,665</w:t>
            </w:r>
          </w:p>
        </w:tc>
        <w:tc>
          <w:tcPr>
            <w:tcW w:w="1264" w:type="dxa"/>
            <w:tcBorders>
              <w:top w:val="single" w:sz="4" w:space="0" w:color="auto"/>
              <w:left w:val="nil"/>
              <w:bottom w:val="double" w:sz="4" w:space="0" w:color="auto"/>
              <w:right w:val="nil"/>
            </w:tcBorders>
            <w:noWrap/>
            <w:vAlign w:val="bottom"/>
          </w:tcPr>
          <w:p w14:paraId="7BD09A33" w14:textId="77777777" w:rsidR="003F38ED" w:rsidRPr="003F38ED" w:rsidRDefault="003F38ED" w:rsidP="003F38ED">
            <w:pPr>
              <w:spacing w:after="0" w:line="240" w:lineRule="auto"/>
              <w:jc w:val="right"/>
              <w:rPr>
                <w:rFonts w:ascii="Arial" w:eastAsia="Times New Roman" w:hAnsi="Arial" w:cs="Arial"/>
                <w:b/>
                <w:color w:val="auto"/>
                <w:sz w:val="18"/>
                <w:szCs w:val="18"/>
                <w:lang w:val="en-AU"/>
              </w:rPr>
            </w:pPr>
            <w:r w:rsidRPr="003F38ED">
              <w:rPr>
                <w:rFonts w:ascii="Arial" w:eastAsia="Calibri" w:hAnsi="Arial" w:cs="Arial"/>
                <w:b/>
                <w:color w:val="auto"/>
                <w:sz w:val="18"/>
                <w:szCs w:val="18"/>
                <w:lang w:val="en-AU" w:eastAsia="en-US"/>
              </w:rPr>
              <w:t>5,942</w:t>
            </w:r>
          </w:p>
        </w:tc>
      </w:tr>
    </w:tbl>
    <w:p w14:paraId="2180E9FD" w14:textId="77777777" w:rsidR="003F38ED" w:rsidRPr="003F38ED" w:rsidRDefault="003F38ED" w:rsidP="003F38ED">
      <w:pPr>
        <w:spacing w:after="0" w:line="240" w:lineRule="auto"/>
        <w:rPr>
          <w:rFonts w:ascii="Arial" w:eastAsia="Times New Roman" w:hAnsi="Arial" w:cs="Arial"/>
          <w:b/>
          <w:bCs/>
          <w:color w:val="auto"/>
          <w:sz w:val="16"/>
          <w:szCs w:val="16"/>
          <w:lang w:val="en-AU"/>
        </w:rPr>
        <w:sectPr w:rsidR="003F38ED" w:rsidRPr="003F38ED" w:rsidSect="003F38ED">
          <w:headerReference w:type="default" r:id="rId70"/>
          <w:footerReference w:type="default" r:id="rId71"/>
          <w:pgSz w:w="11906" w:h="16838"/>
          <w:pgMar w:top="851" w:right="1106" w:bottom="851" w:left="851" w:header="709" w:footer="709" w:gutter="0"/>
          <w:cols w:space="708"/>
          <w:docGrid w:linePitch="360"/>
        </w:sectPr>
      </w:pPr>
    </w:p>
    <w:p w14:paraId="699D587D" w14:textId="77777777" w:rsidR="003F38ED" w:rsidRPr="003F38ED" w:rsidRDefault="003F38ED" w:rsidP="003F38ED">
      <w:pPr>
        <w:adjustRightInd w:val="0"/>
        <w:snapToGrid w:val="0"/>
        <w:rPr>
          <w:rFonts w:ascii="Arial" w:eastAsia="Times New Roman" w:hAnsi="Arial" w:cs="Arial"/>
          <w:color w:val="auto"/>
          <w:lang w:val="en-AU"/>
        </w:rPr>
      </w:pPr>
      <w:r w:rsidRPr="003F38ED">
        <w:rPr>
          <w:rFonts w:ascii="Arial" w:eastAsia="Times New Roman" w:hAnsi="Arial" w:cs="Arial"/>
          <w:color w:val="auto"/>
          <w:lang w:val="en-AU"/>
        </w:rPr>
        <w:t>The above Statement of Cash Flows is to be read in conjunction with the accompanying notes.</w:t>
      </w:r>
    </w:p>
    <w:p w14:paraId="54589B7C" w14:textId="77777777" w:rsidR="003F38ED" w:rsidRPr="003F38ED" w:rsidRDefault="003F38ED" w:rsidP="003F38ED">
      <w:pPr>
        <w:adjustRightInd w:val="0"/>
        <w:snapToGrid w:val="0"/>
        <w:spacing w:before="240"/>
        <w:rPr>
          <w:rFonts w:ascii="Arial" w:eastAsia="Times New Roman" w:hAnsi="Arial" w:cs="Arial"/>
          <w:color w:val="auto"/>
          <w:lang w:val="en-AU"/>
        </w:rPr>
      </w:pPr>
      <w:r w:rsidRPr="003F38ED">
        <w:rPr>
          <w:rFonts w:ascii="Arial" w:eastAsia="Times New Roman" w:hAnsi="Arial" w:cs="Arial"/>
          <w:color w:val="auto"/>
          <w:lang w:val="en-AU"/>
        </w:rPr>
        <w:t>The information contained in this statement may not add up due to rounding.</w:t>
      </w:r>
    </w:p>
    <w:p w14:paraId="6651C959" w14:textId="3C4E3E8C" w:rsidR="003F38ED" w:rsidRPr="003F38ED" w:rsidRDefault="003F38ED" w:rsidP="003F38ED">
      <w:pPr>
        <w:adjustRightInd w:val="0"/>
        <w:snapToGrid w:val="0"/>
        <w:rPr>
          <w:rFonts w:ascii="Arial" w:eastAsia="Times New Roman" w:hAnsi="Arial" w:cs="Arial"/>
          <w:color w:val="auto"/>
          <w:lang w:val="en-AU"/>
        </w:rPr>
      </w:pPr>
      <w:r w:rsidRPr="003F38ED">
        <w:rPr>
          <w:rFonts w:ascii="Arial" w:eastAsia="Times New Roman" w:hAnsi="Arial" w:cs="Arial"/>
          <w:color w:val="auto"/>
          <w:lang w:val="en-AU"/>
        </w:rPr>
        <w:t xml:space="preserve">In 2025-26, ACT Leave directly reinvested Investment distributions and the Management fee rebate for additional units. Reinvestment does not result in cash inflows or outflows. The reinvestment is reported as a non-cash item in Note 11 – </w:t>
      </w:r>
      <w:r w:rsidRPr="003F38ED">
        <w:rPr>
          <w:rFonts w:ascii="Arial" w:eastAsia="Times New Roman" w:hAnsi="Arial" w:cs="Arial"/>
          <w:i/>
          <w:iCs/>
          <w:color w:val="auto"/>
          <w:lang w:val="en-AU"/>
        </w:rPr>
        <w:t>Cash and</w:t>
      </w:r>
      <w:r w:rsidRPr="003F38ED">
        <w:rPr>
          <w:rFonts w:ascii="Arial" w:eastAsia="Times New Roman" w:hAnsi="Arial" w:cs="Arial"/>
          <w:color w:val="auto"/>
          <w:lang w:val="en-AU"/>
        </w:rPr>
        <w:t xml:space="preserve"> </w:t>
      </w:r>
      <w:r w:rsidRPr="003F38ED">
        <w:rPr>
          <w:rFonts w:ascii="Arial" w:eastAsia="Times New Roman" w:hAnsi="Arial" w:cs="Arial"/>
          <w:i/>
          <w:iCs/>
          <w:color w:val="auto"/>
          <w:lang w:val="en-AU"/>
        </w:rPr>
        <w:t>Investments</w:t>
      </w:r>
      <w:r w:rsidRPr="003F38ED">
        <w:rPr>
          <w:rFonts w:ascii="Arial" w:eastAsia="Times New Roman" w:hAnsi="Arial" w:cs="Arial"/>
          <w:color w:val="auto"/>
          <w:lang w:val="en-AU"/>
        </w:rPr>
        <w:t>.</w:t>
      </w:r>
      <w:r w:rsidRPr="003F38ED">
        <w:rPr>
          <w:rFonts w:ascii="Arial" w:eastAsia="Times New Roman" w:hAnsi="Arial" w:cs="Arial"/>
          <w:b/>
          <w:noProof/>
          <w:color w:val="auto"/>
          <w:lang w:val="en-AU"/>
        </w:rPr>
        <mc:AlternateContent>
          <mc:Choice Requires="wps">
            <w:drawing>
              <wp:anchor distT="0" distB="0" distL="114300" distR="114300" simplePos="0" relativeHeight="251658254" behindDoc="0" locked="0" layoutInCell="1" allowOverlap="1" wp14:anchorId="09B97807" wp14:editId="2B3E5A6B">
                <wp:simplePos x="0" y="0"/>
                <wp:positionH relativeFrom="column">
                  <wp:posOffset>-222885</wp:posOffset>
                </wp:positionH>
                <wp:positionV relativeFrom="paragraph">
                  <wp:posOffset>6634480</wp:posOffset>
                </wp:positionV>
                <wp:extent cx="7058660" cy="895350"/>
                <wp:effectExtent l="0" t="0" r="3175" b="4445"/>
                <wp:wrapNone/>
                <wp:docPr id="1008929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866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417A92" w14:textId="77777777" w:rsidR="003F38ED" w:rsidRPr="0023449D" w:rsidRDefault="003F38ED" w:rsidP="003F38ED">
                            <w:pPr>
                              <w:spacing w:before="240"/>
                              <w:ind w:left="284"/>
                              <w:rPr>
                                <w:sz w:val="16"/>
                                <w:szCs w:val="16"/>
                              </w:rPr>
                            </w:pPr>
                            <w:r w:rsidRPr="0023449D">
                              <w:rPr>
                                <w:sz w:val="16"/>
                                <w:szCs w:val="16"/>
                              </w:rPr>
                              <w:t xml:space="preserve">The above Statement of Cash Flows </w:t>
                            </w:r>
                            <w:r>
                              <w:rPr>
                                <w:sz w:val="16"/>
                                <w:szCs w:val="16"/>
                              </w:rPr>
                              <w:t>is to be</w:t>
                            </w:r>
                            <w:r w:rsidRPr="0023449D">
                              <w:rPr>
                                <w:sz w:val="16"/>
                                <w:szCs w:val="16"/>
                              </w:rPr>
                              <w:t xml:space="preserve"> read in conjunction with the accompanying notes. </w:t>
                            </w:r>
                          </w:p>
                          <w:p w14:paraId="6F080682" w14:textId="77777777" w:rsidR="003F38ED" w:rsidRPr="00C205A3" w:rsidRDefault="003F38ED" w:rsidP="003F38ED">
                            <w:pPr>
                              <w:spacing w:before="240"/>
                              <w:ind w:left="284"/>
                              <w:rPr>
                                <w:sz w:val="16"/>
                                <w:szCs w:val="16"/>
                              </w:rPr>
                            </w:pPr>
                            <w:r w:rsidRPr="00C205A3">
                              <w:rPr>
                                <w:sz w:val="16"/>
                                <w:szCs w:val="16"/>
                              </w:rPr>
                              <w:t>In 202</w:t>
                            </w:r>
                            <w:r>
                              <w:rPr>
                                <w:sz w:val="16"/>
                                <w:szCs w:val="16"/>
                              </w:rPr>
                              <w:t>1</w:t>
                            </w:r>
                            <w:r w:rsidRPr="00C205A3">
                              <w:rPr>
                                <w:sz w:val="16"/>
                                <w:szCs w:val="16"/>
                              </w:rPr>
                              <w:t>-2</w:t>
                            </w:r>
                            <w:r>
                              <w:rPr>
                                <w:sz w:val="16"/>
                                <w:szCs w:val="16"/>
                              </w:rPr>
                              <w:t>2</w:t>
                            </w:r>
                            <w:r w:rsidRPr="00C205A3">
                              <w:rPr>
                                <w:sz w:val="16"/>
                                <w:szCs w:val="16"/>
                              </w:rPr>
                              <w:t xml:space="preserve">, </w:t>
                            </w:r>
                            <w:r>
                              <w:rPr>
                                <w:sz w:val="16"/>
                                <w:szCs w:val="16"/>
                              </w:rPr>
                              <w:t>The Authority reinvested directly I</w:t>
                            </w:r>
                            <w:r w:rsidRPr="00C205A3">
                              <w:rPr>
                                <w:sz w:val="16"/>
                                <w:szCs w:val="16"/>
                              </w:rPr>
                              <w:t>nvestment distributions</w:t>
                            </w:r>
                            <w:r>
                              <w:rPr>
                                <w:sz w:val="16"/>
                                <w:szCs w:val="16"/>
                              </w:rPr>
                              <w:t xml:space="preserve"> and Management fee rebate for additional units.  R</w:t>
                            </w:r>
                            <w:r w:rsidRPr="00C205A3">
                              <w:rPr>
                                <w:sz w:val="16"/>
                                <w:szCs w:val="16"/>
                              </w:rPr>
                              <w:t xml:space="preserve">einvestment does not result in </w:t>
                            </w:r>
                            <w:r>
                              <w:rPr>
                                <w:sz w:val="16"/>
                                <w:szCs w:val="16"/>
                              </w:rPr>
                              <w:t xml:space="preserve">cash </w:t>
                            </w:r>
                            <w:r w:rsidRPr="00C205A3">
                              <w:rPr>
                                <w:sz w:val="16"/>
                                <w:szCs w:val="16"/>
                              </w:rPr>
                              <w:t xml:space="preserve">inflows or outflows, </w:t>
                            </w:r>
                            <w:r>
                              <w:rPr>
                                <w:sz w:val="16"/>
                                <w:szCs w:val="16"/>
                              </w:rPr>
                              <w:t xml:space="preserve">therefore, </w:t>
                            </w:r>
                            <w:r w:rsidRPr="00C205A3">
                              <w:rPr>
                                <w:sz w:val="16"/>
                                <w:szCs w:val="16"/>
                              </w:rPr>
                              <w:t>it is not included in the Statement</w:t>
                            </w:r>
                            <w:r>
                              <w:rPr>
                                <w:sz w:val="16"/>
                                <w:szCs w:val="16"/>
                              </w:rPr>
                              <w:t xml:space="preserve"> of Cash Flows</w:t>
                            </w:r>
                            <w:r w:rsidRPr="00C205A3">
                              <w:rPr>
                                <w:sz w:val="16"/>
                                <w:szCs w:val="16"/>
                              </w:rPr>
                              <w:t>.</w:t>
                            </w:r>
                            <w:r>
                              <w:rPr>
                                <w:sz w:val="16"/>
                                <w:szCs w:val="16"/>
                              </w:rPr>
                              <w:t xml:space="preserve"> </w:t>
                            </w:r>
                            <w:r w:rsidRPr="00C205A3">
                              <w:rPr>
                                <w:sz w:val="16"/>
                                <w:szCs w:val="16"/>
                              </w:rPr>
                              <w:t xml:space="preserve">This income is shown as non-cash items in Note </w:t>
                            </w:r>
                            <w:r>
                              <w:rPr>
                                <w:sz w:val="16"/>
                                <w:szCs w:val="16"/>
                              </w:rPr>
                              <w:t>11</w:t>
                            </w:r>
                            <w:r w:rsidRPr="00C205A3">
                              <w:rPr>
                                <w:sz w:val="16"/>
                                <w:szCs w:val="16"/>
                              </w:rPr>
                              <w:t xml:space="preserve"> – </w:t>
                            </w:r>
                            <w:r w:rsidRPr="00C205A3">
                              <w:rPr>
                                <w:i/>
                                <w:sz w:val="16"/>
                                <w:szCs w:val="16"/>
                              </w:rPr>
                              <w:t xml:space="preserve">Cash </w:t>
                            </w:r>
                            <w:r>
                              <w:rPr>
                                <w:i/>
                                <w:sz w:val="16"/>
                                <w:szCs w:val="16"/>
                              </w:rPr>
                              <w:t>and Investments.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97807" id="Text Box 17" o:spid="_x0000_s1029" type="#_x0000_t202" style="position:absolute;margin-left:-17.55pt;margin-top:522.4pt;width:555.8pt;height:7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" stroked="f">
                <v:textbox>
                  <w:txbxContent>
                    <w:p w14:paraId="54417A92" w14:textId="77777777" w:rsidR="003F38ED" w:rsidRPr="0023449D" w:rsidRDefault="003F38ED" w:rsidP="003F38ED">
                      <w:pPr>
                        <w:spacing w:before="240"/>
                        <w:ind w:left="284"/>
                        <w:rPr>
                          <w:sz w:val="16"/>
                          <w:szCs w:val="16"/>
                        </w:rPr>
                      </w:pPr>
                      <w:r w:rsidRPr="0023449D">
                        <w:rPr>
                          <w:sz w:val="16"/>
                          <w:szCs w:val="16"/>
                        </w:rPr>
                        <w:t xml:space="preserve">The above Statement of Cash Flows </w:t>
                      </w:r>
                      <w:r>
                        <w:rPr>
                          <w:sz w:val="16"/>
                          <w:szCs w:val="16"/>
                        </w:rPr>
                        <w:t>is to be</w:t>
                      </w:r>
                      <w:r w:rsidRPr="0023449D">
                        <w:rPr>
                          <w:sz w:val="16"/>
                          <w:szCs w:val="16"/>
                        </w:rPr>
                        <w:t xml:space="preserve"> read in conjunction with the accompanying notes. </w:t>
                      </w:r>
                    </w:p>
                    <w:p w14:paraId="6F080682" w14:textId="77777777" w:rsidR="003F38ED" w:rsidRPr="00C205A3" w:rsidRDefault="003F38ED" w:rsidP="003F38ED">
                      <w:pPr>
                        <w:spacing w:before="240"/>
                        <w:ind w:left="284"/>
                        <w:rPr>
                          <w:sz w:val="16"/>
                          <w:szCs w:val="16"/>
                        </w:rPr>
                      </w:pPr>
                      <w:r w:rsidRPr="00C205A3">
                        <w:rPr>
                          <w:sz w:val="16"/>
                          <w:szCs w:val="16"/>
                        </w:rPr>
                        <w:t>In 202</w:t>
                      </w:r>
                      <w:r>
                        <w:rPr>
                          <w:sz w:val="16"/>
                          <w:szCs w:val="16"/>
                        </w:rPr>
                        <w:t>1</w:t>
                      </w:r>
                      <w:r w:rsidRPr="00C205A3">
                        <w:rPr>
                          <w:sz w:val="16"/>
                          <w:szCs w:val="16"/>
                        </w:rPr>
                        <w:t>-2</w:t>
                      </w:r>
                      <w:r>
                        <w:rPr>
                          <w:sz w:val="16"/>
                          <w:szCs w:val="16"/>
                        </w:rPr>
                        <w:t>2</w:t>
                      </w:r>
                      <w:r w:rsidRPr="00C205A3">
                        <w:rPr>
                          <w:sz w:val="16"/>
                          <w:szCs w:val="16"/>
                        </w:rPr>
                        <w:t xml:space="preserve">, </w:t>
                      </w:r>
                      <w:r>
                        <w:rPr>
                          <w:sz w:val="16"/>
                          <w:szCs w:val="16"/>
                        </w:rPr>
                        <w:t>The Authority reinvested directly I</w:t>
                      </w:r>
                      <w:r w:rsidRPr="00C205A3">
                        <w:rPr>
                          <w:sz w:val="16"/>
                          <w:szCs w:val="16"/>
                        </w:rPr>
                        <w:t>nvestment distributions</w:t>
                      </w:r>
                      <w:r>
                        <w:rPr>
                          <w:sz w:val="16"/>
                          <w:szCs w:val="16"/>
                        </w:rPr>
                        <w:t xml:space="preserve"> and Management fee rebate for additional units.  R</w:t>
                      </w:r>
                      <w:r w:rsidRPr="00C205A3">
                        <w:rPr>
                          <w:sz w:val="16"/>
                          <w:szCs w:val="16"/>
                        </w:rPr>
                        <w:t xml:space="preserve">einvestment does not result in </w:t>
                      </w:r>
                      <w:r>
                        <w:rPr>
                          <w:sz w:val="16"/>
                          <w:szCs w:val="16"/>
                        </w:rPr>
                        <w:t xml:space="preserve">cash </w:t>
                      </w:r>
                      <w:r w:rsidRPr="00C205A3">
                        <w:rPr>
                          <w:sz w:val="16"/>
                          <w:szCs w:val="16"/>
                        </w:rPr>
                        <w:t xml:space="preserve">inflows or outflows, </w:t>
                      </w:r>
                      <w:r>
                        <w:rPr>
                          <w:sz w:val="16"/>
                          <w:szCs w:val="16"/>
                        </w:rPr>
                        <w:t xml:space="preserve">therefore, </w:t>
                      </w:r>
                      <w:r w:rsidRPr="00C205A3">
                        <w:rPr>
                          <w:sz w:val="16"/>
                          <w:szCs w:val="16"/>
                        </w:rPr>
                        <w:t>it is not included in the Statement</w:t>
                      </w:r>
                      <w:r>
                        <w:rPr>
                          <w:sz w:val="16"/>
                          <w:szCs w:val="16"/>
                        </w:rPr>
                        <w:t xml:space="preserve"> of Cash Flows</w:t>
                      </w:r>
                      <w:r w:rsidRPr="00C205A3">
                        <w:rPr>
                          <w:sz w:val="16"/>
                          <w:szCs w:val="16"/>
                        </w:rPr>
                        <w:t>.</w:t>
                      </w:r>
                      <w:r>
                        <w:rPr>
                          <w:sz w:val="16"/>
                          <w:szCs w:val="16"/>
                        </w:rPr>
                        <w:t xml:space="preserve"> </w:t>
                      </w:r>
                      <w:r w:rsidRPr="00C205A3">
                        <w:rPr>
                          <w:sz w:val="16"/>
                          <w:szCs w:val="16"/>
                        </w:rPr>
                        <w:t xml:space="preserve">This income is shown as non-cash items in Note </w:t>
                      </w:r>
                      <w:r>
                        <w:rPr>
                          <w:sz w:val="16"/>
                          <w:szCs w:val="16"/>
                        </w:rPr>
                        <w:t>11</w:t>
                      </w:r>
                      <w:r w:rsidRPr="00C205A3">
                        <w:rPr>
                          <w:sz w:val="16"/>
                          <w:szCs w:val="16"/>
                        </w:rPr>
                        <w:t xml:space="preserve"> – </w:t>
                      </w:r>
                      <w:r w:rsidRPr="00C205A3">
                        <w:rPr>
                          <w:i/>
                          <w:sz w:val="16"/>
                          <w:szCs w:val="16"/>
                        </w:rPr>
                        <w:t xml:space="preserve">Cash </w:t>
                      </w:r>
                      <w:r>
                        <w:rPr>
                          <w:i/>
                          <w:sz w:val="16"/>
                          <w:szCs w:val="16"/>
                        </w:rPr>
                        <w:t>and Investments.</w:t>
                      </w:r>
                    </w:p>
                  </w:txbxContent>
                </v:textbox>
              </v:shape>
            </w:pict>
          </mc:Fallback>
        </mc:AlternateContent>
      </w:r>
    </w:p>
    <w:p w14:paraId="6AA64B59" w14:textId="77777777" w:rsidR="003F38ED" w:rsidRPr="003F38ED" w:rsidRDefault="003F38ED" w:rsidP="003F38ED">
      <w:pPr>
        <w:adjustRightInd w:val="0"/>
        <w:snapToGrid w:val="0"/>
        <w:rPr>
          <w:rFonts w:ascii="Arial" w:eastAsia="Times New Roman" w:hAnsi="Arial" w:cs="Arial"/>
          <w:b/>
          <w:color w:val="auto"/>
          <w:sz w:val="24"/>
          <w:szCs w:val="24"/>
          <w:lang w:val="en-AU"/>
        </w:rPr>
      </w:pPr>
      <w:r w:rsidRPr="003F38ED">
        <w:rPr>
          <w:rFonts w:ascii="Arial" w:eastAsia="Times New Roman" w:hAnsi="Arial" w:cs="Arial"/>
          <w:i/>
          <w:iCs/>
          <w:color w:val="auto"/>
          <w:sz w:val="24"/>
          <w:szCs w:val="24"/>
          <w:lang w:val="en-AU"/>
        </w:rPr>
        <w:br w:type="page"/>
      </w:r>
    </w:p>
    <w:p w14:paraId="08A58461" w14:textId="77777777" w:rsidR="00717BA5" w:rsidRPr="00856C0F" w:rsidRDefault="00717BA5" w:rsidP="00992D57">
      <w:pPr>
        <w:pStyle w:val="Heading5"/>
      </w:pPr>
      <w:r w:rsidRPr="00856C0F">
        <w:lastRenderedPageBreak/>
        <w:t>NOTE 1.   OBJECTIVES OF THE LONG SERVICE LEAVE AUTHORITY</w:t>
      </w:r>
    </w:p>
    <w:p w14:paraId="50D4380E"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The Long Service Leave Authority (ACT Leave) is a not-for-profit ACT Government Territory Authority in the General Government Sector, established under the </w:t>
      </w:r>
      <w:r w:rsidRPr="00717BA5">
        <w:rPr>
          <w:rFonts w:ascii="Arial" w:eastAsia="Times New Roman" w:hAnsi="Arial" w:cs="Arial"/>
          <w:i/>
          <w:color w:val="auto"/>
          <w:lang w:val="en-AU"/>
        </w:rPr>
        <w:t>Long Service Leave (Portable Schemes) Act 2009</w:t>
      </w:r>
      <w:r w:rsidRPr="00717BA5">
        <w:rPr>
          <w:rFonts w:ascii="Arial" w:eastAsia="Times New Roman" w:hAnsi="Arial" w:cs="Arial"/>
          <w:color w:val="auto"/>
          <w:lang w:val="en-AU"/>
        </w:rPr>
        <w:t xml:space="preserve"> (the Act) and commenced operations on 1 January 2010. ACT Leave administers four schemes which provide portability of long service leave benefits for registered workers in the Building and Construction Industry (Construction), the Services Industry (Services), the Community Sector Industry (Community), and the Security Industry (Security) in the ACT. On 29 March 2023, the ACT Legislative Assembly passed the </w:t>
      </w:r>
      <w:r w:rsidRPr="00717BA5">
        <w:rPr>
          <w:rFonts w:ascii="Arial" w:eastAsia="Times New Roman" w:hAnsi="Arial" w:cs="Arial"/>
          <w:i/>
          <w:color w:val="auto"/>
          <w:lang w:val="en-AU"/>
        </w:rPr>
        <w:t>Long Service Leave (Portable Schemes) Amendment Act 2023</w:t>
      </w:r>
      <w:r w:rsidRPr="00717BA5">
        <w:rPr>
          <w:rFonts w:ascii="Arial" w:eastAsia="Times New Roman" w:hAnsi="Arial" w:cs="Arial"/>
          <w:color w:val="auto"/>
          <w:lang w:val="en-AU"/>
        </w:rPr>
        <w:t>, which expands portable long service leave schemes in the ACT to additional industries. The new Services Industry Scheme, incorporating the previously existing Contract Cleaning Scheme, commenced on 1 April 2025, and will cover hairdressing and beauty, and accommodation and food services</w:t>
      </w:r>
      <w:r w:rsidRPr="00717BA5">
        <w:rPr>
          <w:rFonts w:ascii="Arial" w:eastAsia="Times New Roman" w:hAnsi="Arial" w:cs="Calibri"/>
          <w:color w:val="auto"/>
          <w:lang w:val="en-AU"/>
        </w:rPr>
        <w:t xml:space="preserve"> from 1 January 2027.</w:t>
      </w:r>
    </w:p>
    <w:p w14:paraId="7877617A"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SimSun" w:hAnsi="Arial" w:cs="Arial"/>
          <w:color w:val="auto"/>
          <w:lang w:val="en-AU"/>
        </w:rPr>
        <w:t>ACT Leave makes payments and keeps r</w:t>
      </w:r>
      <w:r w:rsidRPr="00717BA5">
        <w:rPr>
          <w:rFonts w:ascii="Arial" w:eastAsia="Times New Roman" w:hAnsi="Arial" w:cs="Calibri"/>
          <w:color w:val="auto"/>
          <w:lang w:val="en-AU"/>
        </w:rPr>
        <w:t xml:space="preserve">egisters of employers and workers for the covered industries in accordance with the Act. ACT Leave’s primary stakeholders are the employers, employees and independent contractors engaged in the industries covered in the ACT. ACT Leave's financial statements are a consolidation of financial statements of the administered schemes. ACT Leave established separate funds for each of the administered schemes and funds are not cross-subsidised. See Note 17 – </w:t>
      </w:r>
      <w:r w:rsidRPr="00717BA5">
        <w:rPr>
          <w:rFonts w:ascii="Arial" w:eastAsia="Times New Roman" w:hAnsi="Arial" w:cs="Calibri"/>
          <w:i/>
          <w:color w:val="auto"/>
          <w:lang w:val="en-AU"/>
        </w:rPr>
        <w:t xml:space="preserve">Operating Statement and Balance Sheet for Long Service Leave Schemes </w:t>
      </w:r>
      <w:r w:rsidRPr="00717BA5">
        <w:rPr>
          <w:rFonts w:ascii="Arial" w:eastAsia="Times New Roman" w:hAnsi="Arial" w:cs="Calibri"/>
          <w:color w:val="auto"/>
          <w:lang w:val="en-AU"/>
        </w:rPr>
        <w:t>for further details.</w:t>
      </w:r>
    </w:p>
    <w:p w14:paraId="16E370D8" w14:textId="77777777" w:rsidR="00717BA5" w:rsidRPr="00992D57" w:rsidRDefault="00717BA5" w:rsidP="00992D57">
      <w:pPr>
        <w:pStyle w:val="Heading5"/>
      </w:pPr>
      <w:r w:rsidRPr="00992D57">
        <w:t>NOTE 2.   BASIS OF PREPARATION OF THE FINANCIAL STATEMENTS</w:t>
      </w:r>
    </w:p>
    <w:p w14:paraId="2E6CDB1F" w14:textId="77777777" w:rsidR="00717BA5" w:rsidRPr="00717BA5" w:rsidRDefault="00717BA5" w:rsidP="00717BA5">
      <w:pPr>
        <w:spacing w:after="0"/>
        <w:rPr>
          <w:rFonts w:ascii="Arial" w:eastAsia="Times New Roman" w:hAnsi="Arial" w:cs="Arial"/>
          <w:b/>
          <w:bCs/>
          <w:color w:val="auto"/>
          <w:lang w:val="en-AU"/>
        </w:rPr>
      </w:pPr>
      <w:r w:rsidRPr="00717BA5">
        <w:rPr>
          <w:rFonts w:ascii="Arial" w:eastAsia="Times New Roman" w:hAnsi="Arial" w:cs="Arial"/>
          <w:b/>
          <w:bCs/>
          <w:color w:val="auto"/>
          <w:lang w:val="en-AU"/>
        </w:rPr>
        <w:t>Legislative Requirements</w:t>
      </w:r>
    </w:p>
    <w:p w14:paraId="211F0722"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The </w:t>
      </w:r>
      <w:r w:rsidRPr="00717BA5">
        <w:rPr>
          <w:rFonts w:ascii="Arial" w:eastAsia="Times New Roman" w:hAnsi="Arial" w:cs="Calibri"/>
          <w:i/>
          <w:color w:val="auto"/>
          <w:lang w:val="en-AU"/>
        </w:rPr>
        <w:t>Financial Management Act 1996</w:t>
      </w:r>
      <w:r w:rsidRPr="00717BA5">
        <w:rPr>
          <w:rFonts w:ascii="Arial" w:eastAsia="Times New Roman" w:hAnsi="Arial" w:cs="Calibri"/>
          <w:color w:val="auto"/>
          <w:lang w:val="en-AU"/>
        </w:rPr>
        <w:t xml:space="preserve"> (FMA) requires the preparation of annual financial statements for ACT Government territory authorities. The FMA</w:t>
      </w:r>
      <w:r w:rsidRPr="00717BA5">
        <w:rPr>
          <w:rFonts w:ascii="Arial" w:eastAsia="Times New Roman" w:hAnsi="Arial" w:cs="Calibri"/>
          <w:i/>
          <w:color w:val="auto"/>
          <w:lang w:val="en-AU"/>
        </w:rPr>
        <w:t xml:space="preserve"> </w:t>
      </w:r>
      <w:r w:rsidRPr="00717BA5">
        <w:rPr>
          <w:rFonts w:ascii="Arial" w:eastAsia="Times New Roman" w:hAnsi="Arial" w:cs="Calibri"/>
          <w:color w:val="auto"/>
          <w:lang w:val="en-AU"/>
        </w:rPr>
        <w:t xml:space="preserve">and the </w:t>
      </w:r>
      <w:r w:rsidRPr="00717BA5">
        <w:rPr>
          <w:rFonts w:ascii="Arial" w:eastAsia="Times New Roman" w:hAnsi="Arial" w:cs="Calibri"/>
          <w:i/>
          <w:color w:val="auto"/>
          <w:lang w:val="en-AU"/>
        </w:rPr>
        <w:t xml:space="preserve">Financial Management Guidelines </w:t>
      </w:r>
      <w:r w:rsidRPr="00717BA5">
        <w:rPr>
          <w:rFonts w:ascii="Arial" w:eastAsia="Times New Roman" w:hAnsi="Arial" w:cs="Calibri"/>
          <w:color w:val="auto"/>
          <w:lang w:val="en-AU"/>
        </w:rPr>
        <w:t>issued under the Act</w:t>
      </w:r>
      <w:r w:rsidRPr="00717BA5">
        <w:rPr>
          <w:rFonts w:ascii="Arial" w:eastAsia="Times New Roman" w:hAnsi="Arial" w:cs="Calibri"/>
          <w:i/>
          <w:color w:val="auto"/>
          <w:lang w:val="en-AU"/>
        </w:rPr>
        <w:t xml:space="preserve">, </w:t>
      </w:r>
      <w:r w:rsidRPr="00717BA5">
        <w:rPr>
          <w:rFonts w:ascii="Arial" w:eastAsia="Times New Roman" w:hAnsi="Arial" w:cs="Calibri"/>
          <w:color w:val="auto"/>
          <w:lang w:val="en-AU"/>
        </w:rPr>
        <w:t>require a territory authority’s financial statements to include:</w:t>
      </w:r>
    </w:p>
    <w:p w14:paraId="3E617925" w14:textId="77777777" w:rsidR="00717BA5" w:rsidRPr="00717BA5" w:rsidRDefault="00717BA5" w:rsidP="002A61DF">
      <w:pPr>
        <w:numPr>
          <w:ilvl w:val="0"/>
          <w:numId w:val="98"/>
        </w:numPr>
        <w:adjustRightInd w:val="0"/>
        <w:snapToGrid w:val="0"/>
        <w:spacing w:after="120"/>
        <w:ind w:left="284" w:hanging="284"/>
        <w:rPr>
          <w:rFonts w:ascii="Arial" w:eastAsia="Calibri" w:hAnsi="Arial" w:cs="Arial"/>
          <w:color w:val="000000"/>
          <w:lang w:val="en-AU" w:eastAsia="en-US"/>
        </w:rPr>
      </w:pPr>
      <w:r w:rsidRPr="00717BA5">
        <w:rPr>
          <w:rFonts w:ascii="Arial" w:eastAsia="Calibri" w:hAnsi="Arial" w:cs="Arial"/>
          <w:color w:val="000000"/>
          <w:lang w:val="en-AU" w:eastAsia="en-US"/>
        </w:rPr>
        <w:t>an Operating Statement for the year</w:t>
      </w:r>
    </w:p>
    <w:p w14:paraId="3C715975" w14:textId="77777777" w:rsidR="00717BA5" w:rsidRPr="00717BA5" w:rsidRDefault="00717BA5" w:rsidP="002A61DF">
      <w:pPr>
        <w:numPr>
          <w:ilvl w:val="0"/>
          <w:numId w:val="98"/>
        </w:numPr>
        <w:adjustRightInd w:val="0"/>
        <w:snapToGrid w:val="0"/>
        <w:spacing w:after="120"/>
        <w:ind w:left="340" w:hanging="340"/>
        <w:rPr>
          <w:rFonts w:ascii="Arial" w:eastAsia="Calibri" w:hAnsi="Arial" w:cs="Arial"/>
          <w:color w:val="000000"/>
          <w:lang w:val="en-AU" w:eastAsia="en-US"/>
        </w:rPr>
      </w:pPr>
      <w:r w:rsidRPr="00717BA5">
        <w:rPr>
          <w:rFonts w:ascii="Arial" w:eastAsia="Calibri" w:hAnsi="Arial" w:cs="Arial"/>
          <w:color w:val="000000"/>
          <w:lang w:val="en-AU" w:eastAsia="en-US"/>
        </w:rPr>
        <w:t>a Balance Sheet at the end of the year</w:t>
      </w:r>
    </w:p>
    <w:p w14:paraId="6381AF40" w14:textId="77777777" w:rsidR="00717BA5" w:rsidRPr="00717BA5" w:rsidRDefault="00717BA5" w:rsidP="002A61DF">
      <w:pPr>
        <w:numPr>
          <w:ilvl w:val="0"/>
          <w:numId w:val="98"/>
        </w:numPr>
        <w:adjustRightInd w:val="0"/>
        <w:snapToGrid w:val="0"/>
        <w:spacing w:after="120"/>
        <w:ind w:left="340" w:hanging="340"/>
        <w:rPr>
          <w:rFonts w:ascii="Arial" w:eastAsia="Calibri" w:hAnsi="Arial" w:cs="Arial"/>
          <w:color w:val="000000"/>
          <w:lang w:val="en-AU" w:eastAsia="en-US"/>
        </w:rPr>
      </w:pPr>
      <w:r w:rsidRPr="00717BA5">
        <w:rPr>
          <w:rFonts w:ascii="Arial" w:eastAsia="Calibri" w:hAnsi="Arial" w:cs="Arial"/>
          <w:color w:val="000000"/>
          <w:lang w:val="en-AU" w:eastAsia="en-US"/>
        </w:rPr>
        <w:t>a Statement of Changes in Equity for the year</w:t>
      </w:r>
    </w:p>
    <w:p w14:paraId="012D0A9D" w14:textId="77777777" w:rsidR="00717BA5" w:rsidRPr="00717BA5" w:rsidRDefault="00717BA5" w:rsidP="002A61DF">
      <w:pPr>
        <w:numPr>
          <w:ilvl w:val="0"/>
          <w:numId w:val="98"/>
        </w:numPr>
        <w:adjustRightInd w:val="0"/>
        <w:snapToGrid w:val="0"/>
        <w:spacing w:after="120"/>
        <w:ind w:left="340" w:hanging="340"/>
        <w:rPr>
          <w:rFonts w:ascii="Arial" w:eastAsia="Calibri" w:hAnsi="Arial" w:cs="Arial"/>
          <w:color w:val="000000"/>
          <w:lang w:val="en-AU" w:eastAsia="en-US"/>
        </w:rPr>
      </w:pPr>
      <w:r w:rsidRPr="00717BA5">
        <w:rPr>
          <w:rFonts w:ascii="Arial" w:eastAsia="Calibri" w:hAnsi="Arial" w:cs="Arial"/>
          <w:color w:val="000000"/>
          <w:lang w:val="en-AU" w:eastAsia="en-US"/>
        </w:rPr>
        <w:t>a Statement of Cash Flows for the year and</w:t>
      </w:r>
    </w:p>
    <w:p w14:paraId="37FCCCC7" w14:textId="77777777" w:rsidR="00717BA5" w:rsidRPr="00717BA5" w:rsidRDefault="00717BA5" w:rsidP="008E248E">
      <w:pPr>
        <w:numPr>
          <w:ilvl w:val="0"/>
          <w:numId w:val="98"/>
        </w:numPr>
        <w:adjustRightInd w:val="0"/>
        <w:snapToGrid w:val="0"/>
        <w:ind w:left="340" w:hanging="340"/>
        <w:rPr>
          <w:rFonts w:ascii="Calibri Light" w:eastAsia="Times New Roman" w:hAnsi="Calibri Light" w:cs="Calibri"/>
          <w:color w:val="000000"/>
          <w:lang w:val="en-AU"/>
        </w:rPr>
      </w:pPr>
      <w:r w:rsidRPr="00717BA5">
        <w:rPr>
          <w:rFonts w:ascii="Arial" w:eastAsia="Calibri" w:hAnsi="Arial" w:cs="Arial"/>
          <w:color w:val="000000"/>
          <w:lang w:val="en-AU" w:eastAsia="en-US"/>
        </w:rPr>
        <w:t>other statements as necessary to fairly reflect the financial operations of the agency during the year and its financial position at the end of the year.</w:t>
      </w:r>
    </w:p>
    <w:p w14:paraId="7848BA6B" w14:textId="77777777" w:rsidR="00717BA5" w:rsidRPr="00717BA5" w:rsidRDefault="00717BA5" w:rsidP="00717BA5">
      <w:pPr>
        <w:spacing w:after="120" w:line="240" w:lineRule="auto"/>
        <w:jc w:val="both"/>
        <w:rPr>
          <w:rFonts w:ascii="Arial" w:eastAsia="Times New Roman" w:hAnsi="Arial" w:cs="Arial"/>
          <w:color w:val="auto"/>
          <w:lang w:val="en-AU"/>
        </w:rPr>
      </w:pPr>
      <w:r w:rsidRPr="00717BA5">
        <w:rPr>
          <w:rFonts w:ascii="Arial" w:eastAsia="Times New Roman" w:hAnsi="Arial" w:cs="Arial"/>
          <w:color w:val="auto"/>
          <w:lang w:val="en-AU"/>
        </w:rPr>
        <w:t xml:space="preserve">These general-purpose financial statements have been prepared in accordance with: </w:t>
      </w:r>
    </w:p>
    <w:p w14:paraId="19249528" w14:textId="77777777" w:rsidR="00717BA5" w:rsidRPr="00717BA5" w:rsidRDefault="00717BA5" w:rsidP="002A61DF">
      <w:pPr>
        <w:numPr>
          <w:ilvl w:val="0"/>
          <w:numId w:val="100"/>
        </w:numPr>
        <w:adjustRightInd w:val="0"/>
        <w:snapToGrid w:val="0"/>
        <w:spacing w:after="120" w:line="240" w:lineRule="auto"/>
        <w:ind w:left="284" w:hanging="284"/>
        <w:rPr>
          <w:rFonts w:ascii="Arial" w:eastAsia="Calibri" w:hAnsi="Arial" w:cs="Arial"/>
          <w:color w:val="000000"/>
          <w:lang w:val="en-AU" w:eastAsia="en-US"/>
        </w:rPr>
      </w:pPr>
      <w:r w:rsidRPr="00717BA5">
        <w:rPr>
          <w:rFonts w:ascii="Arial" w:eastAsia="Calibri" w:hAnsi="Arial" w:cs="Arial"/>
          <w:color w:val="000000"/>
          <w:lang w:val="en-AU" w:eastAsia="en-US"/>
        </w:rPr>
        <w:t>Australian Accounting Standards (as required by the FMA) and</w:t>
      </w:r>
    </w:p>
    <w:p w14:paraId="2B7AE3CB" w14:textId="77777777" w:rsidR="00717BA5" w:rsidRPr="002A61DF" w:rsidRDefault="00717BA5" w:rsidP="002A61DF">
      <w:pPr>
        <w:numPr>
          <w:ilvl w:val="0"/>
          <w:numId w:val="100"/>
        </w:numPr>
        <w:adjustRightInd w:val="0"/>
        <w:snapToGrid w:val="0"/>
        <w:spacing w:after="120" w:line="240" w:lineRule="auto"/>
        <w:ind w:left="284" w:hanging="284"/>
        <w:rPr>
          <w:rFonts w:ascii="Arial" w:eastAsia="Calibri" w:hAnsi="Arial" w:cs="Arial"/>
          <w:color w:val="000000"/>
          <w:lang w:val="en-AU" w:eastAsia="en-US"/>
        </w:rPr>
      </w:pPr>
      <w:r w:rsidRPr="002A61DF">
        <w:rPr>
          <w:rFonts w:ascii="Arial" w:eastAsia="Calibri" w:hAnsi="Arial" w:cs="Arial"/>
          <w:color w:val="000000"/>
          <w:lang w:val="en-AU" w:eastAsia="en-US"/>
        </w:rPr>
        <w:t>supplemented by the ACT Accounting and Disclosure Policies.</w:t>
      </w:r>
    </w:p>
    <w:p w14:paraId="2481A86E" w14:textId="77777777" w:rsidR="00717BA5" w:rsidRPr="00717BA5" w:rsidRDefault="00717BA5" w:rsidP="00717BA5">
      <w:pPr>
        <w:spacing w:after="0"/>
        <w:rPr>
          <w:rFonts w:ascii="Arial" w:eastAsia="Times New Roman" w:hAnsi="Arial" w:cs="Arial"/>
          <w:b/>
          <w:bCs/>
          <w:color w:val="auto"/>
          <w:lang w:val="en-AU"/>
        </w:rPr>
      </w:pPr>
      <w:r w:rsidRPr="00717BA5">
        <w:rPr>
          <w:rFonts w:ascii="Arial" w:eastAsia="Times New Roman" w:hAnsi="Arial" w:cs="Arial"/>
          <w:b/>
          <w:bCs/>
          <w:color w:val="auto"/>
          <w:lang w:val="en-AU"/>
        </w:rPr>
        <w:t>Accrual Accounting</w:t>
      </w:r>
    </w:p>
    <w:p w14:paraId="1D275AF5"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 xml:space="preserve">The </w:t>
      </w:r>
      <w:bookmarkStart w:id="93" w:name="_Hlk101362729"/>
      <w:r w:rsidRPr="00717BA5">
        <w:rPr>
          <w:rFonts w:ascii="Arial" w:eastAsia="Times New Roman" w:hAnsi="Arial" w:cs="Arial"/>
          <w:color w:val="auto"/>
          <w:lang w:val="en-AU"/>
        </w:rPr>
        <w:t>financial statements have been prepared using the accrual basis of accounting. The financial statements are prepared according to historical cost convention, except for non-current assets held for sale, property, plant and equipment and financial instruments which are valued at fair value in accordance with (re)valuation policies applicable to ACT Leave during the reporting period.</w:t>
      </w:r>
      <w:bookmarkEnd w:id="93"/>
    </w:p>
    <w:p w14:paraId="09D91810" w14:textId="77777777" w:rsidR="00717BA5" w:rsidRPr="00717BA5" w:rsidRDefault="00717BA5" w:rsidP="00717BA5">
      <w:pPr>
        <w:spacing w:after="0"/>
        <w:rPr>
          <w:rFonts w:ascii="Arial" w:eastAsia="Times New Roman" w:hAnsi="Arial" w:cs="Arial"/>
          <w:b/>
          <w:bCs/>
          <w:color w:val="auto"/>
          <w:lang w:val="en-AU"/>
        </w:rPr>
      </w:pPr>
      <w:r w:rsidRPr="00717BA5">
        <w:rPr>
          <w:rFonts w:ascii="Arial" w:eastAsia="Times New Roman" w:hAnsi="Arial" w:cs="Arial"/>
          <w:b/>
          <w:bCs/>
          <w:color w:val="auto"/>
          <w:lang w:val="en-AU"/>
        </w:rPr>
        <w:t>Currency</w:t>
      </w:r>
    </w:p>
    <w:p w14:paraId="687CD3FC" w14:textId="77777777" w:rsidR="00717BA5" w:rsidRPr="00717BA5" w:rsidRDefault="00717BA5" w:rsidP="00717BA5">
      <w:pPr>
        <w:adjustRightInd w:val="0"/>
        <w:snapToGrid w:val="0"/>
        <w:rPr>
          <w:rFonts w:ascii="Arial" w:eastAsia="Times New Roman" w:hAnsi="Arial" w:cs="Calibri"/>
          <w:b/>
          <w:color w:val="auto"/>
          <w:lang w:val="en-AU"/>
        </w:rPr>
      </w:pPr>
      <w:r w:rsidRPr="00717BA5">
        <w:rPr>
          <w:rFonts w:ascii="Arial" w:eastAsia="Times New Roman" w:hAnsi="Arial" w:cs="Arial"/>
          <w:color w:val="auto"/>
          <w:lang w:val="en-AU"/>
        </w:rPr>
        <w:t>These financial statements are presented in Australian dollars</w:t>
      </w:r>
      <w:r w:rsidRPr="00717BA5">
        <w:rPr>
          <w:rFonts w:ascii="Arial" w:eastAsia="Times New Roman" w:hAnsi="Arial" w:cs="Calibri"/>
          <w:color w:val="auto"/>
          <w:lang w:val="en-AU"/>
        </w:rPr>
        <w:t>, which is ACT Leave’s functional currency.</w:t>
      </w:r>
    </w:p>
    <w:p w14:paraId="17DD50E7" w14:textId="77777777" w:rsidR="00717BA5" w:rsidRPr="00717BA5" w:rsidRDefault="00717BA5" w:rsidP="00717BA5">
      <w:pPr>
        <w:spacing w:after="0"/>
        <w:rPr>
          <w:rFonts w:ascii="Arial" w:eastAsia="Times New Roman" w:hAnsi="Arial" w:cs="Arial"/>
          <w:b/>
          <w:bCs/>
          <w:color w:val="auto"/>
          <w:lang w:val="en-AU"/>
        </w:rPr>
      </w:pPr>
      <w:r w:rsidRPr="00717BA5">
        <w:rPr>
          <w:rFonts w:ascii="Arial" w:eastAsia="Times New Roman" w:hAnsi="Arial" w:cs="Arial"/>
          <w:b/>
          <w:bCs/>
          <w:color w:val="auto"/>
          <w:lang w:val="en-AU"/>
        </w:rPr>
        <w:t>Reporting Period</w:t>
      </w:r>
    </w:p>
    <w:p w14:paraId="2075660B"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These financial statements state the financial performance, changes in equity and cash flows of ACT Leave for the year ended 30 June 2026 together with the financial position of ACT Leave as at 30 June 2026.</w:t>
      </w:r>
    </w:p>
    <w:p w14:paraId="4727B303" w14:textId="77777777" w:rsidR="00856C0F" w:rsidRDefault="00856C0F">
      <w:pPr>
        <w:spacing w:before="120" w:after="120" w:line="240" w:lineRule="auto"/>
        <w:rPr>
          <w:rFonts w:ascii="Arial" w:eastAsia="Times New Roman" w:hAnsi="Arial" w:cs="Arial"/>
          <w:b/>
          <w:bCs/>
          <w:color w:val="auto"/>
          <w:sz w:val="24"/>
          <w:szCs w:val="24"/>
          <w:lang w:val="en-AU" w:eastAsia="en-US"/>
        </w:rPr>
      </w:pPr>
      <w:r>
        <w:rPr>
          <w:rFonts w:ascii="Arial" w:eastAsia="Times New Roman" w:hAnsi="Arial" w:cs="Arial"/>
          <w:b/>
          <w:bCs/>
          <w:color w:val="auto"/>
          <w:sz w:val="24"/>
          <w:szCs w:val="24"/>
          <w:lang w:val="en-AU" w:eastAsia="en-US"/>
        </w:rPr>
        <w:br w:type="page"/>
      </w:r>
    </w:p>
    <w:p w14:paraId="52D86958" w14:textId="77777777" w:rsidR="00717BA5" w:rsidRPr="00992D57" w:rsidRDefault="00717BA5" w:rsidP="00992D57">
      <w:pPr>
        <w:pStyle w:val="Heading5"/>
      </w:pPr>
      <w:r w:rsidRPr="00992D57">
        <w:lastRenderedPageBreak/>
        <w:t>NOTE 2.   BASIS OF PREPARATION OF THE FINANCIAL STATEMENTS - CONTINUED</w:t>
      </w:r>
    </w:p>
    <w:p w14:paraId="534E3B65" w14:textId="77777777" w:rsidR="00717BA5" w:rsidRPr="00717BA5" w:rsidRDefault="00717BA5" w:rsidP="00717BA5">
      <w:pPr>
        <w:spacing w:after="0"/>
        <w:rPr>
          <w:rFonts w:ascii="Arial" w:eastAsia="Times New Roman" w:hAnsi="Arial" w:cs="Arial"/>
          <w:b/>
          <w:bCs/>
          <w:color w:val="auto"/>
          <w:lang w:val="en-AU"/>
        </w:rPr>
      </w:pPr>
      <w:r w:rsidRPr="00717BA5">
        <w:rPr>
          <w:rFonts w:ascii="Arial" w:eastAsia="Times New Roman" w:hAnsi="Arial" w:cs="Arial"/>
          <w:b/>
          <w:bCs/>
          <w:color w:val="auto"/>
          <w:lang w:val="en-AU"/>
        </w:rPr>
        <w:t>Comparative Figures</w:t>
      </w:r>
    </w:p>
    <w:p w14:paraId="7B497724"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Budget Figures</w:t>
      </w:r>
    </w:p>
    <w:p w14:paraId="4C6C9E08" w14:textId="77777777" w:rsidR="00717BA5" w:rsidRPr="00717BA5" w:rsidRDefault="00717BA5" w:rsidP="00717BA5">
      <w:pPr>
        <w:adjustRightInd w:val="0"/>
        <w:snapToGrid w:val="0"/>
        <w:rPr>
          <w:rFonts w:ascii="Arial" w:eastAsia="Times New Roman" w:hAnsi="Arial" w:cs="Calibri"/>
          <w:b/>
          <w:caps/>
          <w:color w:val="auto"/>
          <w:lang w:val="en-AU"/>
        </w:rPr>
      </w:pPr>
      <w:r w:rsidRPr="00717BA5">
        <w:rPr>
          <w:rFonts w:ascii="Arial" w:eastAsia="Times New Roman" w:hAnsi="Arial" w:cs="Arial"/>
          <w:color w:val="auto"/>
          <w:lang w:val="en-AU"/>
        </w:rPr>
        <w:t>To facilitate a comparison with the Budget Papers, as required by the FMA, budget information for 2025-26 has been presented in the financial statements. Budget numbers in the financial statements are the original budget numbers that appear in the Statement of Intent.</w:t>
      </w:r>
    </w:p>
    <w:p w14:paraId="7DF77FC8"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Prior Year Comparatives</w:t>
      </w:r>
    </w:p>
    <w:p w14:paraId="1AEE048F"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Comparative information has been disclosed in respect of the previous period for amounts reported in the financial statements, except where an Australian Accounting Standard does not require comparative information to be disclosed.</w:t>
      </w:r>
    </w:p>
    <w:p w14:paraId="3831A0D1" w14:textId="77777777" w:rsidR="00717BA5" w:rsidRPr="00717BA5" w:rsidRDefault="00717BA5" w:rsidP="00717BA5">
      <w:pPr>
        <w:adjustRightInd w:val="0"/>
        <w:snapToGrid w:val="0"/>
        <w:rPr>
          <w:rFonts w:ascii="Arial" w:eastAsia="Times New Roman" w:hAnsi="Arial" w:cs="Calibri"/>
          <w:b/>
          <w:caps/>
          <w:color w:val="auto"/>
          <w:lang w:val="en-AU"/>
        </w:rPr>
      </w:pPr>
      <w:r w:rsidRPr="00717BA5">
        <w:rPr>
          <w:rFonts w:ascii="Arial" w:eastAsia="Times New Roman" w:hAnsi="Arial" w:cs="Arial"/>
          <w:color w:val="auto"/>
          <w:lang w:val="en-AU"/>
        </w:rPr>
        <w:t>Where the presentation or classification of items in the financial statements is amended, the comparative amounts have been reclassified where practical. Where a reclassification has occurred, the nature, amount and reason for the reclassification is provided.</w:t>
      </w:r>
    </w:p>
    <w:p w14:paraId="62F3349C" w14:textId="77777777" w:rsidR="00717BA5" w:rsidRPr="00717BA5" w:rsidRDefault="00717BA5" w:rsidP="00717BA5">
      <w:pPr>
        <w:spacing w:after="0"/>
        <w:rPr>
          <w:rFonts w:ascii="Arial" w:eastAsia="Times New Roman" w:hAnsi="Arial" w:cs="Arial"/>
          <w:b/>
          <w:bCs/>
          <w:color w:val="auto"/>
          <w:lang w:val="en-AU"/>
        </w:rPr>
      </w:pPr>
      <w:r w:rsidRPr="00717BA5">
        <w:rPr>
          <w:rFonts w:ascii="Arial" w:eastAsia="Times New Roman" w:hAnsi="Arial" w:cs="Arial"/>
          <w:b/>
          <w:bCs/>
          <w:color w:val="auto"/>
          <w:lang w:val="en-AU"/>
        </w:rPr>
        <w:t>Rounding</w:t>
      </w:r>
    </w:p>
    <w:p w14:paraId="273637D7"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All amounts in the financial statements have been rounded to the nearest thousand dollars ($’000). Use of “</w:t>
      </w:r>
      <w:r w:rsidRPr="00717BA5">
        <w:rPr>
          <w:rFonts w:ascii="Arial" w:eastAsia="Times New Roman" w:hAnsi="Arial" w:cs="Arial"/>
          <w:color w:val="auto"/>
          <w:lang w:val="en-AU"/>
        </w:rPr>
        <w:noBreakHyphen/>
        <w:t>” represents zero amounts or amounts rounded down to zero.</w:t>
      </w:r>
    </w:p>
    <w:p w14:paraId="6608ED8C" w14:textId="77777777" w:rsidR="00717BA5" w:rsidRPr="00717BA5" w:rsidRDefault="00717BA5" w:rsidP="00717BA5">
      <w:pPr>
        <w:spacing w:after="0"/>
        <w:rPr>
          <w:rFonts w:ascii="Arial" w:eastAsia="Times New Roman" w:hAnsi="Arial" w:cs="Arial"/>
          <w:b/>
          <w:bCs/>
          <w:color w:val="auto"/>
          <w:lang w:val="en-AU"/>
        </w:rPr>
      </w:pPr>
      <w:r w:rsidRPr="00717BA5">
        <w:rPr>
          <w:rFonts w:ascii="Arial" w:eastAsia="Times New Roman" w:hAnsi="Arial" w:cs="Arial"/>
          <w:b/>
          <w:bCs/>
          <w:color w:val="auto"/>
          <w:lang w:val="en-AU"/>
        </w:rPr>
        <w:t>Going Concern</w:t>
      </w:r>
    </w:p>
    <w:p w14:paraId="7F8E07C5" w14:textId="77777777" w:rsidR="00717BA5" w:rsidRPr="00717BA5" w:rsidRDefault="00717BA5" w:rsidP="00717BA5">
      <w:pPr>
        <w:adjustRightInd w:val="0"/>
        <w:snapToGrid w:val="0"/>
        <w:rPr>
          <w:rFonts w:ascii="Arial" w:eastAsia="Times New Roman" w:hAnsi="Arial" w:cs="Calibri"/>
          <w:b/>
          <w:caps/>
          <w:color w:val="auto"/>
          <w:highlight w:val="yellow"/>
          <w:lang w:val="en-AU"/>
        </w:rPr>
      </w:pPr>
      <w:r w:rsidRPr="00717BA5">
        <w:rPr>
          <w:rFonts w:ascii="Arial" w:eastAsia="Times New Roman" w:hAnsi="Arial" w:cs="Arial"/>
          <w:color w:val="auto"/>
          <w:lang w:val="en-AU"/>
        </w:rPr>
        <w:t xml:space="preserve">The </w:t>
      </w:r>
      <w:r w:rsidRPr="00717BA5">
        <w:rPr>
          <w:rFonts w:ascii="Arial" w:eastAsia="Times New Roman" w:hAnsi="Arial" w:cs="Calibri"/>
          <w:color w:val="auto"/>
          <w:lang w:val="en-AU"/>
        </w:rPr>
        <w:t>2025-26 financial statements have been prepared on a going concern basis as the ongoing functions, activities and funding of ACT Leave</w:t>
      </w:r>
      <w:r w:rsidRPr="00717BA5" w:rsidDel="007648DC">
        <w:rPr>
          <w:rFonts w:ascii="Arial" w:eastAsia="Times New Roman" w:hAnsi="Arial" w:cs="Calibri"/>
          <w:color w:val="auto"/>
          <w:lang w:val="en-AU"/>
        </w:rPr>
        <w:t xml:space="preserve"> </w:t>
      </w:r>
      <w:r w:rsidRPr="00717BA5">
        <w:rPr>
          <w:rFonts w:ascii="Arial" w:eastAsia="Times New Roman" w:hAnsi="Arial" w:cs="Calibri"/>
          <w:color w:val="auto"/>
          <w:lang w:val="en-AU"/>
        </w:rPr>
        <w:t>are set out in the 2026-27 Statement of Intent. The Statement of Intent includes forward estimates for ACT Leave. There are reasonable grounds to believe that ACT Leave will be able to pay its liabilities as and when these amounts fall due.</w:t>
      </w:r>
    </w:p>
    <w:p w14:paraId="06CD10B3" w14:textId="77777777" w:rsidR="00717BA5" w:rsidRPr="00717BA5" w:rsidRDefault="00717BA5" w:rsidP="00717BA5">
      <w:pPr>
        <w:spacing w:after="0"/>
        <w:rPr>
          <w:rFonts w:ascii="Arial" w:eastAsia="Times New Roman" w:hAnsi="Arial" w:cs="Arial"/>
          <w:b/>
          <w:bCs/>
          <w:color w:val="auto"/>
          <w:lang w:val="en-AU"/>
        </w:rPr>
      </w:pPr>
      <w:r w:rsidRPr="00717BA5">
        <w:rPr>
          <w:rFonts w:ascii="Arial" w:eastAsia="Times New Roman" w:hAnsi="Arial" w:cs="Arial"/>
          <w:b/>
          <w:bCs/>
          <w:color w:val="auto"/>
          <w:lang w:val="en-AU"/>
        </w:rPr>
        <w:t>Taxation</w:t>
      </w:r>
    </w:p>
    <w:p w14:paraId="04064785" w14:textId="77777777" w:rsidR="00717BA5" w:rsidRPr="00717BA5" w:rsidRDefault="00717BA5" w:rsidP="00717BA5">
      <w:pPr>
        <w:adjustRightInd w:val="0"/>
        <w:snapToGrid w:val="0"/>
        <w:spacing w:after="240"/>
        <w:rPr>
          <w:rFonts w:ascii="Arial" w:eastAsia="Times New Roman" w:hAnsi="Arial" w:cs="Calibri"/>
          <w:color w:val="auto"/>
          <w:lang w:val="en-AU"/>
        </w:rPr>
      </w:pPr>
      <w:r w:rsidRPr="00717BA5">
        <w:rPr>
          <w:rFonts w:ascii="Arial" w:eastAsia="Times New Roman" w:hAnsi="Arial" w:cs="Arial"/>
          <w:color w:val="auto"/>
          <w:lang w:val="en-AU"/>
        </w:rPr>
        <w:t>ACT Leave is an exempt organisation under income tax legislation and therefore is not subject to Income Tax under section 50-25 of the</w:t>
      </w:r>
      <w:r w:rsidRPr="00717BA5">
        <w:rPr>
          <w:rFonts w:ascii="Arial" w:eastAsia="Times New Roman" w:hAnsi="Arial" w:cs="Arial"/>
          <w:i/>
          <w:iCs/>
          <w:color w:val="auto"/>
          <w:lang w:val="en-AU"/>
        </w:rPr>
        <w:t xml:space="preserve"> Income Tax Assessment Act 1997</w:t>
      </w:r>
      <w:r w:rsidRPr="00717BA5">
        <w:rPr>
          <w:rFonts w:ascii="Arial" w:eastAsia="Times New Roman" w:hAnsi="Arial" w:cs="Arial"/>
          <w:color w:val="auto"/>
          <w:lang w:val="en-AU"/>
        </w:rPr>
        <w:t>. ACT Leave</w:t>
      </w:r>
      <w:r w:rsidRPr="00717BA5">
        <w:rPr>
          <w:rFonts w:ascii="Arial" w:eastAsia="Times New Roman" w:hAnsi="Arial" w:cs="Calibri"/>
          <w:color w:val="auto"/>
          <w:lang w:val="en-AU"/>
        </w:rPr>
        <w:t xml:space="preserve"> is liable to pay Fringe Benefits Tax and Goods and Services Tax.</w:t>
      </w:r>
    </w:p>
    <w:p w14:paraId="7FF27E66" w14:textId="77777777" w:rsidR="00717BA5" w:rsidRPr="00717BA5" w:rsidRDefault="00717BA5" w:rsidP="00717BA5">
      <w:pPr>
        <w:adjustRightInd w:val="0"/>
        <w:snapToGrid w:val="0"/>
        <w:spacing w:after="240"/>
        <w:rPr>
          <w:rFonts w:ascii="Arial" w:eastAsia="Times New Roman" w:hAnsi="Arial" w:cs="Arial"/>
          <w:color w:val="auto"/>
          <w:lang w:val="en-AU"/>
        </w:rPr>
      </w:pPr>
    </w:p>
    <w:p w14:paraId="14E7FB08" w14:textId="77777777" w:rsidR="00717BA5" w:rsidRPr="00717BA5" w:rsidRDefault="00717BA5" w:rsidP="00717BA5">
      <w:pPr>
        <w:adjustRightInd w:val="0"/>
        <w:snapToGrid w:val="0"/>
        <w:spacing w:after="240"/>
        <w:rPr>
          <w:rFonts w:ascii="Arial" w:eastAsia="Times New Roman" w:hAnsi="Arial" w:cs="Arial"/>
          <w:color w:val="auto"/>
          <w:lang w:val="en-AU"/>
        </w:rPr>
      </w:pPr>
    </w:p>
    <w:p w14:paraId="22960BA5" w14:textId="77777777" w:rsidR="00717BA5" w:rsidRPr="00717BA5" w:rsidRDefault="00717BA5" w:rsidP="00717BA5">
      <w:pPr>
        <w:adjustRightInd w:val="0"/>
        <w:snapToGrid w:val="0"/>
        <w:spacing w:after="240"/>
        <w:rPr>
          <w:rFonts w:ascii="Arial" w:eastAsia="Times New Roman" w:hAnsi="Arial" w:cs="Arial"/>
          <w:color w:val="auto"/>
          <w:lang w:val="en-AU"/>
        </w:rPr>
      </w:pPr>
    </w:p>
    <w:p w14:paraId="71497315" w14:textId="77777777" w:rsidR="00717BA5" w:rsidRPr="00717BA5" w:rsidRDefault="00717BA5" w:rsidP="00717BA5">
      <w:pPr>
        <w:adjustRightInd w:val="0"/>
        <w:snapToGrid w:val="0"/>
        <w:spacing w:after="240"/>
        <w:rPr>
          <w:rFonts w:ascii="Arial" w:eastAsia="Times New Roman" w:hAnsi="Arial" w:cs="Arial"/>
          <w:color w:val="auto"/>
          <w:lang w:val="en-AU"/>
        </w:rPr>
      </w:pPr>
    </w:p>
    <w:p w14:paraId="29D0EB09" w14:textId="77777777" w:rsidR="00717BA5" w:rsidRPr="00717BA5" w:rsidRDefault="00717BA5" w:rsidP="00717BA5">
      <w:pPr>
        <w:adjustRightInd w:val="0"/>
        <w:snapToGrid w:val="0"/>
        <w:spacing w:after="240"/>
        <w:rPr>
          <w:rFonts w:ascii="Arial" w:eastAsia="Times New Roman" w:hAnsi="Arial" w:cs="Arial"/>
          <w:color w:val="auto"/>
          <w:lang w:val="en-AU"/>
        </w:rPr>
      </w:pPr>
    </w:p>
    <w:p w14:paraId="4ED57C3B" w14:textId="77777777" w:rsidR="00717BA5" w:rsidRPr="00717BA5" w:rsidRDefault="00717BA5" w:rsidP="00717BA5">
      <w:pPr>
        <w:adjustRightInd w:val="0"/>
        <w:snapToGrid w:val="0"/>
        <w:spacing w:after="240"/>
        <w:rPr>
          <w:rFonts w:ascii="Arial" w:eastAsia="Times New Roman" w:hAnsi="Arial" w:cs="Arial"/>
          <w:color w:val="auto"/>
          <w:lang w:val="en-AU"/>
        </w:rPr>
      </w:pPr>
    </w:p>
    <w:p w14:paraId="6F0BB39B" w14:textId="77777777" w:rsidR="00717BA5" w:rsidRPr="00717BA5" w:rsidRDefault="00717BA5" w:rsidP="00717BA5">
      <w:pPr>
        <w:adjustRightInd w:val="0"/>
        <w:snapToGrid w:val="0"/>
        <w:spacing w:after="240"/>
        <w:rPr>
          <w:rFonts w:ascii="Arial" w:eastAsia="Times New Roman" w:hAnsi="Arial" w:cs="Arial"/>
          <w:color w:val="auto"/>
          <w:lang w:val="en-AU"/>
        </w:rPr>
      </w:pPr>
    </w:p>
    <w:p w14:paraId="2EF628C9" w14:textId="77777777" w:rsidR="00717BA5" w:rsidRPr="00717BA5" w:rsidRDefault="00717BA5" w:rsidP="00717BA5">
      <w:pPr>
        <w:adjustRightInd w:val="0"/>
        <w:snapToGrid w:val="0"/>
        <w:spacing w:after="240"/>
        <w:rPr>
          <w:rFonts w:ascii="Arial" w:eastAsia="Times New Roman" w:hAnsi="Arial" w:cs="Arial"/>
          <w:color w:val="auto"/>
          <w:lang w:val="en-AU"/>
        </w:rPr>
      </w:pPr>
    </w:p>
    <w:p w14:paraId="34877B04" w14:textId="77777777" w:rsidR="00717BA5" w:rsidRPr="00717BA5" w:rsidRDefault="00717BA5" w:rsidP="00717BA5">
      <w:pPr>
        <w:adjustRightInd w:val="0"/>
        <w:snapToGrid w:val="0"/>
        <w:spacing w:after="240"/>
        <w:rPr>
          <w:rFonts w:ascii="Arial" w:eastAsia="Times New Roman" w:hAnsi="Arial" w:cs="Arial"/>
          <w:color w:val="auto"/>
          <w:lang w:val="en-AU"/>
        </w:rPr>
      </w:pPr>
    </w:p>
    <w:p w14:paraId="4C8713AE" w14:textId="77777777" w:rsidR="00717BA5" w:rsidRPr="00717BA5" w:rsidRDefault="00717BA5" w:rsidP="00717BA5">
      <w:pPr>
        <w:adjustRightInd w:val="0"/>
        <w:snapToGrid w:val="0"/>
        <w:spacing w:after="240"/>
        <w:rPr>
          <w:rFonts w:ascii="Arial" w:eastAsia="Times New Roman" w:hAnsi="Arial" w:cs="Arial"/>
          <w:color w:val="auto"/>
          <w:lang w:val="en-AU"/>
        </w:rPr>
      </w:pPr>
    </w:p>
    <w:p w14:paraId="750AE222" w14:textId="77777777" w:rsidR="00717BA5" w:rsidRPr="00717BA5" w:rsidRDefault="00717BA5" w:rsidP="00992D57">
      <w:pPr>
        <w:pStyle w:val="Heading5"/>
      </w:pPr>
      <w:r w:rsidRPr="00717BA5">
        <w:lastRenderedPageBreak/>
        <w:t>NOTE 3.   IMPACT OF ACCOUNTING STANDARDS ISSUED BUT YET TO BE APPLIED</w:t>
      </w:r>
    </w:p>
    <w:p w14:paraId="3D923015"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 xml:space="preserve">All Australian Accounting Standards and Interpretations issued but yet to be applied are applicable to future reporting periods and will be adopted from their application date.  </w:t>
      </w:r>
    </w:p>
    <w:p w14:paraId="2C4B67AD" w14:textId="77777777" w:rsidR="00717BA5" w:rsidRPr="00717BA5" w:rsidRDefault="00717BA5" w:rsidP="00717BA5">
      <w:pPr>
        <w:adjustRightInd w:val="0"/>
        <w:snapToGrid w:val="0"/>
        <w:rPr>
          <w:rFonts w:ascii="Calibri" w:eastAsia="SimSun" w:hAnsi="Calibri" w:cs="Arial"/>
          <w:b/>
          <w:i/>
          <w:color w:val="auto"/>
          <w:lang w:val="en-AU"/>
        </w:rPr>
      </w:pPr>
      <w:r w:rsidRPr="00717BA5">
        <w:rPr>
          <w:rFonts w:ascii="Arial" w:eastAsia="SimSun" w:hAnsi="Arial" w:cs="Arial"/>
          <w:color w:val="auto"/>
          <w:lang w:val="en-AU"/>
        </w:rPr>
        <w:t xml:space="preserve">Standards and Interpretations issued but yet to be applied have been assessed as not being relevant to </w:t>
      </w:r>
      <w:r w:rsidRPr="00717BA5">
        <w:rPr>
          <w:rFonts w:ascii="Calibri" w:eastAsia="SimSun" w:hAnsi="Calibri" w:cs="Arial"/>
          <w:color w:val="auto"/>
          <w:lang w:val="en-AU"/>
        </w:rPr>
        <w:t xml:space="preserve">ACT </w:t>
      </w:r>
      <w:r w:rsidRPr="00717BA5">
        <w:rPr>
          <w:rFonts w:ascii="Arial" w:eastAsia="SimSun" w:hAnsi="Arial" w:cs="Arial"/>
          <w:color w:val="auto"/>
          <w:lang w:val="en-AU"/>
        </w:rPr>
        <w:t xml:space="preserve">Leave or will have an immaterial financial impact on ACT Leave. However, AASB 18 </w:t>
      </w:r>
      <w:r w:rsidRPr="00717BA5">
        <w:rPr>
          <w:rFonts w:ascii="Arial" w:eastAsia="SimSun" w:hAnsi="Arial" w:cs="Arial"/>
          <w:i/>
          <w:iCs/>
          <w:color w:val="auto"/>
          <w:lang w:val="en-AU"/>
        </w:rPr>
        <w:t xml:space="preserve">Presentation and Disclosure in Financial Statements </w:t>
      </w:r>
      <w:r w:rsidRPr="00717BA5">
        <w:rPr>
          <w:rFonts w:ascii="Arial" w:eastAsia="SimSun" w:hAnsi="Arial" w:cs="Arial"/>
          <w:color w:val="auto"/>
          <w:lang w:val="en-AU"/>
        </w:rPr>
        <w:t>(applicable 1 January 2027 for for-profit public sector entities or applicable 1 January 2028 for not-for-profit public sector entities) does contain some major presentation/disclosure changes that will impact ACT Leave including:</w:t>
      </w:r>
      <w:r w:rsidRPr="00717BA5">
        <w:rPr>
          <w:rFonts w:ascii="Calibri" w:eastAsia="SimSun" w:hAnsi="Calibri" w:cs="Arial"/>
          <w:color w:val="auto"/>
          <w:lang w:val="en-AU"/>
        </w:rPr>
        <w:t xml:space="preserve"> </w:t>
      </w:r>
    </w:p>
    <w:p w14:paraId="63D52DB7" w14:textId="77777777" w:rsidR="00717BA5" w:rsidRPr="00717BA5" w:rsidRDefault="00717BA5" w:rsidP="005A54BC">
      <w:pPr>
        <w:pStyle w:val="ListBullet"/>
      </w:pPr>
      <w:r w:rsidRPr="00717BA5">
        <w:t>that operating, investing and financing categories as well as additional subtotals have to be included in ACT Leave’s operating statement</w:t>
      </w:r>
    </w:p>
    <w:p w14:paraId="0447A578" w14:textId="77777777" w:rsidR="00717BA5" w:rsidRPr="00717BA5" w:rsidRDefault="00717BA5" w:rsidP="005A54BC">
      <w:pPr>
        <w:pStyle w:val="ListBullet"/>
        <w:rPr>
          <w:rFonts w:ascii="Calibri" w:hAnsi="Calibri"/>
          <w:b/>
          <w:i/>
        </w:rPr>
      </w:pPr>
      <w:r w:rsidRPr="00717BA5">
        <w:t xml:space="preserve">the disclosure of management-defined performance measures and reconciliations of these measures with the subtotals required by AASB Standards and </w:t>
      </w:r>
    </w:p>
    <w:p w14:paraId="4BA393DB" w14:textId="77777777" w:rsidR="00717BA5" w:rsidRPr="00717BA5" w:rsidRDefault="00717BA5" w:rsidP="005A54BC">
      <w:pPr>
        <w:pStyle w:val="ListBullet"/>
        <w:rPr>
          <w:rFonts w:ascii="Calibri" w:hAnsi="Calibri"/>
          <w:b/>
          <w:i/>
        </w:rPr>
      </w:pPr>
      <w:r w:rsidRPr="00717BA5">
        <w:t>enhanced requirements for the grouping (aggregation and disaggregation) of information in the financial statements and in the notes.</w:t>
      </w:r>
    </w:p>
    <w:p w14:paraId="5D6C194A"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 xml:space="preserve">The AASB has issued an exposure draft </w:t>
      </w:r>
      <w:r w:rsidRPr="00717BA5">
        <w:rPr>
          <w:rFonts w:ascii="Arial" w:eastAsia="Times New Roman" w:hAnsi="Arial" w:cs="Arial"/>
          <w:i/>
          <w:color w:val="auto"/>
          <w:lang w:val="en-AU"/>
        </w:rPr>
        <w:t>(</w:t>
      </w:r>
      <w:r w:rsidRPr="00717BA5">
        <w:rPr>
          <w:rFonts w:ascii="Arial" w:eastAsia="Times New Roman" w:hAnsi="Arial" w:cs="Arial"/>
          <w:color w:val="auto"/>
          <w:lang w:val="en-AU"/>
        </w:rPr>
        <w:t>ED 338 Application of AASB 18 and AASB 107 by Superannuation and Not-</w:t>
      </w:r>
      <w:r w:rsidRPr="00717BA5">
        <w:rPr>
          <w:rFonts w:ascii="Arial" w:eastAsia="Times New Roman" w:hAnsi="Arial" w:cs="Arial"/>
          <w:iCs/>
          <w:color w:val="auto"/>
          <w:lang w:val="en-AU"/>
        </w:rPr>
        <w:t>for-</w:t>
      </w:r>
      <w:r w:rsidRPr="00717BA5">
        <w:rPr>
          <w:rFonts w:ascii="Arial" w:eastAsia="Times New Roman" w:hAnsi="Arial" w:cs="Arial"/>
          <w:color w:val="auto"/>
          <w:lang w:val="en-AU"/>
        </w:rPr>
        <w:t>Profit Entities and Operating Cash Flow Reconciliation</w:t>
      </w:r>
      <w:r w:rsidRPr="00717BA5">
        <w:rPr>
          <w:rFonts w:ascii="Arial" w:eastAsia="Times New Roman" w:hAnsi="Arial" w:cs="Arial"/>
          <w:i/>
          <w:color w:val="auto"/>
          <w:lang w:val="en-AU"/>
        </w:rPr>
        <w:t>)</w:t>
      </w:r>
      <w:r w:rsidRPr="00717BA5">
        <w:rPr>
          <w:rFonts w:ascii="Arial" w:eastAsia="Times New Roman" w:hAnsi="Arial" w:cs="Arial"/>
          <w:color w:val="auto"/>
          <w:lang w:val="en-AU"/>
        </w:rPr>
        <w:t xml:space="preserve"> that outlines modifications to AASB 18 for not-for-profit public sector entities. If these modifications in the exposure draft are adopted, they will effectively enable ACT Leave to continue to broadly apply the existing disclosure requirements contained in AASB 101 </w:t>
      </w:r>
      <w:r w:rsidRPr="00717BA5">
        <w:rPr>
          <w:rFonts w:ascii="Arial" w:eastAsia="Times New Roman" w:hAnsi="Arial" w:cs="Arial"/>
          <w:i/>
          <w:color w:val="auto"/>
          <w:lang w:val="en-AU"/>
        </w:rPr>
        <w:t>Presentation of Financial Statements</w:t>
      </w:r>
      <w:r w:rsidRPr="00717BA5">
        <w:rPr>
          <w:rFonts w:ascii="Arial" w:eastAsia="Times New Roman" w:hAnsi="Arial" w:cs="Arial"/>
          <w:color w:val="auto"/>
          <w:lang w:val="en-AU"/>
        </w:rPr>
        <w:t>. However, as this exposure draft is not yet finalised, the impact on ACT Leave’s financial statements from the adoption of AASB 18 cannot be determined at this time.</w:t>
      </w:r>
    </w:p>
    <w:p w14:paraId="171318D5" w14:textId="77777777" w:rsidR="00717BA5" w:rsidRPr="00717BA5" w:rsidRDefault="00717BA5" w:rsidP="00992D57">
      <w:pPr>
        <w:pStyle w:val="Heading5"/>
      </w:pPr>
      <w:r w:rsidRPr="00717BA5">
        <w:t>NOTE 4.   CHANGE IN ACCOUNTING ESTIMATES</w:t>
      </w:r>
    </w:p>
    <w:p w14:paraId="52AC5AE6"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ACT Leave had the following changes in accounting estimates during the reporting period.</w:t>
      </w:r>
    </w:p>
    <w:p w14:paraId="39281A3F" w14:textId="77777777" w:rsidR="00717BA5" w:rsidRPr="00717BA5" w:rsidRDefault="00717BA5" w:rsidP="00717BA5">
      <w:pPr>
        <w:adjustRightInd w:val="0"/>
        <w:snapToGrid w:val="0"/>
        <w:rPr>
          <w:rFonts w:ascii="Arial" w:eastAsia="Times New Roman" w:hAnsi="Arial" w:cs="Arial"/>
          <w:i/>
          <w:iCs/>
          <w:color w:val="auto"/>
          <w:lang w:val="en-AU"/>
        </w:rPr>
      </w:pPr>
      <w:r w:rsidRPr="00717BA5">
        <w:rPr>
          <w:rFonts w:ascii="Arial" w:eastAsia="Times New Roman" w:hAnsi="Arial" w:cs="Arial"/>
          <w:i/>
          <w:iCs/>
          <w:color w:val="auto"/>
          <w:lang w:val="en-AU"/>
        </w:rPr>
        <w:t>Change in discount rate to value scheme liabilities</w:t>
      </w:r>
    </w:p>
    <w:p w14:paraId="5283C3EB" w14:textId="108F87B4"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 xml:space="preserve">ACT Leave recognises a total liability for accrued long service leave benefits based on an assessment performed by an independent actuary – PricewaterhouseCoopers Securities Ltd. The actuary estimates the liability using a complex model and a large number of assumptions that are based on historical information and the current profile of the registered scheme participants. In 2025-26 the discount rate used to value the scheme liabilities was reduced from 6% to 5.6%, consequently the effect of the change in an accounting estimate was $8.425 million. For the detail of assumptions used in 2025-26 see Note 15 – </w:t>
      </w:r>
      <w:r w:rsidRPr="00717BA5">
        <w:rPr>
          <w:rFonts w:ascii="Arial" w:eastAsia="Times New Roman" w:hAnsi="Arial" w:cs="Arial"/>
          <w:i/>
          <w:iCs/>
          <w:color w:val="auto"/>
          <w:lang w:val="en-AU"/>
        </w:rPr>
        <w:t>Provision for Long Service Leave Benefits</w:t>
      </w:r>
      <w:r w:rsidRPr="00717BA5">
        <w:rPr>
          <w:rFonts w:ascii="Arial" w:eastAsia="Times New Roman" w:hAnsi="Arial" w:cs="Arial"/>
          <w:color w:val="auto"/>
          <w:lang w:val="en-AU"/>
        </w:rPr>
        <w:t xml:space="preserve">. </w:t>
      </w:r>
    </w:p>
    <w:p w14:paraId="23FFF0D4" w14:textId="77777777" w:rsidR="00717BA5" w:rsidRPr="00717BA5" w:rsidRDefault="00717BA5" w:rsidP="00717BA5">
      <w:pPr>
        <w:spacing w:before="240" w:after="240" w:line="240" w:lineRule="auto"/>
        <w:outlineLvl w:val="0"/>
        <w:rPr>
          <w:rFonts w:ascii="Arial" w:eastAsia="Times New Roman" w:hAnsi="Arial" w:cs="Arial"/>
          <w:b/>
          <w:bCs/>
          <w:color w:val="auto"/>
          <w:kern w:val="32"/>
          <w:sz w:val="24"/>
          <w:szCs w:val="24"/>
          <w:lang w:val="en-AU"/>
        </w:rPr>
      </w:pPr>
      <w:bookmarkStart w:id="94" w:name="_Toc240533515"/>
      <w:r w:rsidRPr="00717BA5">
        <w:rPr>
          <w:rFonts w:ascii="Arial" w:eastAsia="Times New Roman" w:hAnsi="Arial" w:cs="Arial"/>
          <w:b/>
          <w:bCs/>
          <w:color w:val="auto"/>
          <w:kern w:val="32"/>
          <w:sz w:val="24"/>
          <w:szCs w:val="24"/>
          <w:lang w:val="en-AU"/>
        </w:rPr>
        <w:t>INCOME NOTES</w:t>
      </w:r>
      <w:bookmarkEnd w:id="94"/>
    </w:p>
    <w:p w14:paraId="2CC6C26B" w14:textId="77777777" w:rsidR="00717BA5" w:rsidRPr="00717BA5" w:rsidRDefault="00717BA5" w:rsidP="00717BA5">
      <w:pPr>
        <w:spacing w:after="0"/>
        <w:rPr>
          <w:rFonts w:ascii="Arial" w:eastAsia="Times New Roman" w:hAnsi="Arial" w:cs="Arial"/>
          <w:b/>
          <w:bCs/>
          <w:color w:val="auto"/>
          <w:lang w:val="en-AU"/>
        </w:rPr>
      </w:pPr>
      <w:r w:rsidRPr="00717BA5">
        <w:rPr>
          <w:rFonts w:ascii="Arial" w:eastAsia="Times New Roman" w:hAnsi="Arial" w:cs="Arial"/>
          <w:b/>
          <w:bCs/>
          <w:color w:val="auto"/>
          <w:lang w:val="en-AU"/>
        </w:rPr>
        <w:t>Material Accounting Policies - Income</w:t>
      </w:r>
    </w:p>
    <w:p w14:paraId="601D4EB2"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Income Recognition</w:t>
      </w:r>
    </w:p>
    <w:p w14:paraId="5F60FBF9" w14:textId="77777777" w:rsidR="00717BA5" w:rsidRPr="00717BA5" w:rsidRDefault="00717BA5" w:rsidP="00717BA5">
      <w:pPr>
        <w:adjustRightInd w:val="0"/>
        <w:snapToGrid w:val="0"/>
        <w:spacing w:after="240"/>
        <w:rPr>
          <w:rFonts w:ascii="Arial" w:eastAsia="Times New Roman" w:hAnsi="Arial" w:cs="Calibri"/>
          <w:color w:val="auto"/>
          <w:lang w:val="en-AU"/>
        </w:rPr>
      </w:pPr>
      <w:r w:rsidRPr="00717BA5">
        <w:rPr>
          <w:rFonts w:ascii="Arial" w:eastAsia="Times New Roman" w:hAnsi="Arial" w:cs="Arial"/>
          <w:color w:val="auto"/>
          <w:lang w:val="en-AU"/>
        </w:rPr>
        <w:t xml:space="preserve">Revenue is recognised in accordance with AASB 15 </w:t>
      </w:r>
      <w:r w:rsidRPr="00717BA5">
        <w:rPr>
          <w:rFonts w:ascii="Arial" w:eastAsia="Times New Roman" w:hAnsi="Arial" w:cs="Calibri"/>
          <w:i/>
          <w:color w:val="auto"/>
          <w:lang w:val="en-AU"/>
        </w:rPr>
        <w:t>Revenue from Contracts with Customers</w:t>
      </w:r>
      <w:r w:rsidRPr="00717BA5">
        <w:rPr>
          <w:rFonts w:ascii="Arial" w:eastAsia="Times New Roman" w:hAnsi="Arial" w:cs="Calibri"/>
          <w:color w:val="auto"/>
          <w:lang w:val="en-AU"/>
        </w:rPr>
        <w:t xml:space="preserve"> where the contract is enforceable and contains sufficiently specific performance obligations, otherwise income is in the scope of AASB 1058 </w:t>
      </w:r>
      <w:r w:rsidRPr="00717BA5">
        <w:rPr>
          <w:rFonts w:ascii="Arial" w:eastAsia="Times New Roman" w:hAnsi="Arial" w:cs="Calibri"/>
          <w:i/>
          <w:color w:val="auto"/>
          <w:lang w:val="en-AU"/>
        </w:rPr>
        <w:t>Income of not-for-profit entities</w:t>
      </w:r>
      <w:r w:rsidRPr="00717BA5">
        <w:rPr>
          <w:rFonts w:ascii="Arial" w:eastAsia="Times New Roman" w:hAnsi="Arial" w:cs="Calibri"/>
          <w:color w:val="auto"/>
          <w:lang w:val="en-AU"/>
        </w:rPr>
        <w:t>.</w:t>
      </w:r>
    </w:p>
    <w:p w14:paraId="26AF5C38" w14:textId="77777777" w:rsidR="00717BA5" w:rsidRPr="00717BA5" w:rsidRDefault="00717BA5" w:rsidP="00717BA5">
      <w:pPr>
        <w:adjustRightInd w:val="0"/>
        <w:snapToGrid w:val="0"/>
        <w:spacing w:after="240"/>
        <w:rPr>
          <w:rFonts w:ascii="Arial" w:eastAsia="Times New Roman" w:hAnsi="Arial" w:cs="Arial"/>
          <w:color w:val="auto"/>
          <w:lang w:val="en-AU"/>
        </w:rPr>
      </w:pPr>
    </w:p>
    <w:p w14:paraId="3071A53D" w14:textId="77777777" w:rsidR="00717BA5" w:rsidRPr="00717BA5" w:rsidRDefault="00717BA5" w:rsidP="00717BA5">
      <w:pPr>
        <w:adjustRightInd w:val="0"/>
        <w:snapToGrid w:val="0"/>
        <w:spacing w:after="240"/>
        <w:rPr>
          <w:rFonts w:ascii="Arial" w:eastAsia="Times New Roman" w:hAnsi="Arial" w:cs="Arial"/>
          <w:color w:val="auto"/>
          <w:lang w:val="en-AU"/>
        </w:rPr>
      </w:pPr>
    </w:p>
    <w:p w14:paraId="12DCE749" w14:textId="77777777" w:rsidR="00717BA5" w:rsidRPr="00717BA5" w:rsidRDefault="00717BA5" w:rsidP="00717BA5">
      <w:pPr>
        <w:adjustRightInd w:val="0"/>
        <w:snapToGrid w:val="0"/>
        <w:spacing w:after="240"/>
        <w:rPr>
          <w:rFonts w:ascii="Arial" w:eastAsia="Times New Roman" w:hAnsi="Arial" w:cs="Arial"/>
          <w:color w:val="auto"/>
          <w:lang w:val="en-AU"/>
        </w:rPr>
      </w:pPr>
    </w:p>
    <w:p w14:paraId="3FA191FE" w14:textId="77777777" w:rsidR="00717BA5" w:rsidRPr="00717BA5" w:rsidRDefault="00717BA5" w:rsidP="00717BA5">
      <w:pPr>
        <w:keepNext/>
        <w:spacing w:after="0" w:line="240" w:lineRule="auto"/>
        <w:contextualSpacing/>
        <w:outlineLvl w:val="7"/>
        <w:rPr>
          <w:rFonts w:ascii="Arial" w:eastAsia="Times New Roman" w:hAnsi="Arial" w:cs="Arial"/>
          <w:b/>
          <w:bCs/>
          <w:color w:val="auto"/>
          <w:sz w:val="12"/>
          <w:szCs w:val="12"/>
          <w:lang w:val="en-AU" w:eastAsia="en-US"/>
        </w:rPr>
      </w:pPr>
    </w:p>
    <w:p w14:paraId="346A9923" w14:textId="77777777" w:rsidR="00717BA5" w:rsidRPr="00717BA5" w:rsidRDefault="00717BA5" w:rsidP="00992D57">
      <w:pPr>
        <w:pStyle w:val="Heading5"/>
      </w:pPr>
      <w:r w:rsidRPr="00717BA5">
        <w:t>NOTE 5.   CONTRIBUTIONS FROM EMPLOYERS AND CONTRACTORS</w:t>
      </w:r>
    </w:p>
    <w:p w14:paraId="7881A1B6"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Description and Material Accounting Policies Relating to Contributions from Employers and Contractors</w:t>
      </w:r>
    </w:p>
    <w:p w14:paraId="2025C6B2"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Contribution revenue is derived from employers and contractors</w:t>
      </w:r>
      <w:r w:rsidRPr="00717BA5">
        <w:rPr>
          <w:rFonts w:ascii="Arial" w:eastAsia="Times New Roman" w:hAnsi="Arial" w:cs="Calibri"/>
          <w:color w:val="auto"/>
          <w:lang w:val="en-AU"/>
        </w:rPr>
        <w:t xml:space="preserve"> (voluntary members) as part of ACT Leave's statutory role of providing portable long service leave benefits to registered employees and contractors. The contributions are paid by registered employers and contractors in accordance with the Act.</w:t>
      </w:r>
    </w:p>
    <w:p w14:paraId="64444CA4"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In relation</w:t>
      </w:r>
      <w:r w:rsidRPr="00717BA5">
        <w:rPr>
          <w:rFonts w:ascii="Arial" w:eastAsia="Times New Roman" w:hAnsi="Arial" w:cs="Calibri"/>
          <w:color w:val="auto"/>
          <w:lang w:val="en-AU"/>
        </w:rPr>
        <w:t xml:space="preserve"> to Contributions from Employers and Contractors, the Act does not require ACT Leave to provide an equal amount in return for the consideration received. As such, AASB 1058 </w:t>
      </w:r>
      <w:r w:rsidRPr="00717BA5">
        <w:rPr>
          <w:rFonts w:ascii="Arial" w:eastAsia="Times New Roman" w:hAnsi="Arial" w:cs="Calibri"/>
          <w:i/>
          <w:color w:val="auto"/>
          <w:lang w:val="en-AU"/>
        </w:rPr>
        <w:t>Income of Not-for-Profit entities</w:t>
      </w:r>
      <w:r w:rsidRPr="00717BA5">
        <w:rPr>
          <w:rFonts w:ascii="Arial" w:eastAsia="Times New Roman" w:hAnsi="Arial" w:cs="Calibri"/>
          <w:color w:val="auto"/>
          <w:lang w:val="en-AU"/>
        </w:rPr>
        <w:t xml:space="preserve"> has been applied for recognising contribution revenue. This revenue is recognised at the time when the quarterly contribution levy is payable from external employers and contractors.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0"/>
        <w:gridCol w:w="1817"/>
        <w:gridCol w:w="416"/>
        <w:gridCol w:w="1056"/>
      </w:tblGrid>
      <w:tr w:rsidR="00717BA5" w:rsidRPr="00717BA5" w14:paraId="72758247" w14:textId="77777777" w:rsidTr="00F0752D">
        <w:trPr>
          <w:trHeight w:val="272"/>
        </w:trPr>
        <w:tc>
          <w:tcPr>
            <w:tcW w:w="3443" w:type="pct"/>
            <w:tcBorders>
              <w:top w:val="nil"/>
              <w:left w:val="nil"/>
              <w:bottom w:val="nil"/>
              <w:right w:val="nil"/>
            </w:tcBorders>
            <w:shd w:val="clear" w:color="000000" w:fill="FFFFFF"/>
          </w:tcPr>
          <w:p w14:paraId="2B3D0F5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nil"/>
              <w:left w:val="nil"/>
              <w:bottom w:val="nil"/>
              <w:right w:val="nil"/>
            </w:tcBorders>
            <w:shd w:val="clear" w:color="000000" w:fill="FFFFFF"/>
            <w:vAlign w:val="bottom"/>
          </w:tcPr>
          <w:p w14:paraId="6082355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top w:val="nil"/>
              <w:left w:val="nil"/>
              <w:bottom w:val="nil"/>
              <w:right w:val="nil"/>
            </w:tcBorders>
            <w:shd w:val="clear" w:color="000000" w:fill="FFFFFF"/>
            <w:vAlign w:val="bottom"/>
          </w:tcPr>
          <w:p w14:paraId="7E449E3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nil"/>
              <w:left w:val="nil"/>
              <w:bottom w:val="nil"/>
              <w:right w:val="nil"/>
            </w:tcBorders>
            <w:shd w:val="clear" w:color="000000" w:fill="FFFFFF"/>
            <w:vAlign w:val="bottom"/>
          </w:tcPr>
          <w:p w14:paraId="2977C2B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332F72CB" w14:textId="77777777" w:rsidTr="00F0752D">
        <w:trPr>
          <w:trHeight w:val="272"/>
        </w:trPr>
        <w:tc>
          <w:tcPr>
            <w:tcW w:w="3443" w:type="pct"/>
            <w:tcBorders>
              <w:top w:val="nil"/>
              <w:left w:val="nil"/>
              <w:bottom w:val="nil"/>
              <w:right w:val="nil"/>
            </w:tcBorders>
            <w:shd w:val="clear" w:color="000000" w:fill="FFFFFF"/>
          </w:tcPr>
          <w:p w14:paraId="2113C68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nil"/>
              <w:left w:val="nil"/>
              <w:bottom w:val="single" w:sz="4" w:space="0" w:color="auto"/>
              <w:right w:val="nil"/>
            </w:tcBorders>
            <w:shd w:val="clear" w:color="000000" w:fill="FFFFFF"/>
            <w:noWrap/>
            <w:vAlign w:val="bottom"/>
          </w:tcPr>
          <w:p w14:paraId="0EB499F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305" w:type="pct"/>
            <w:tcBorders>
              <w:top w:val="nil"/>
              <w:left w:val="nil"/>
              <w:bottom w:val="nil"/>
              <w:right w:val="nil"/>
            </w:tcBorders>
            <w:shd w:val="clear" w:color="000000" w:fill="FFFFFF"/>
            <w:vAlign w:val="bottom"/>
          </w:tcPr>
          <w:p w14:paraId="4182650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nil"/>
              <w:left w:val="nil"/>
              <w:bottom w:val="single" w:sz="4" w:space="0" w:color="auto"/>
              <w:right w:val="nil"/>
            </w:tcBorders>
            <w:shd w:val="clear" w:color="000000" w:fill="FFFFFF"/>
            <w:vAlign w:val="bottom"/>
          </w:tcPr>
          <w:p w14:paraId="426B8DE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49D2ECFB" w14:textId="77777777" w:rsidTr="00F0752D">
        <w:trPr>
          <w:trHeight w:val="272"/>
        </w:trPr>
        <w:tc>
          <w:tcPr>
            <w:tcW w:w="3443" w:type="pct"/>
            <w:tcBorders>
              <w:top w:val="nil"/>
              <w:left w:val="nil"/>
              <w:bottom w:val="nil"/>
              <w:right w:val="nil"/>
            </w:tcBorders>
            <w:shd w:val="clear" w:color="000000" w:fill="FFFFFF"/>
            <w:vAlign w:val="bottom"/>
          </w:tcPr>
          <w:p w14:paraId="3E539F1A"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Contributions from Employers and Contractors</w:t>
            </w:r>
          </w:p>
        </w:tc>
        <w:tc>
          <w:tcPr>
            <w:tcW w:w="626" w:type="pct"/>
            <w:tcBorders>
              <w:top w:val="single" w:sz="4" w:space="0" w:color="auto"/>
              <w:left w:val="nil"/>
              <w:bottom w:val="nil"/>
              <w:right w:val="nil"/>
            </w:tcBorders>
            <w:shd w:val="clear" w:color="000000" w:fill="FFFFFF"/>
            <w:noWrap/>
            <w:vAlign w:val="bottom"/>
          </w:tcPr>
          <w:p w14:paraId="290B7B9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305" w:type="pct"/>
            <w:tcBorders>
              <w:top w:val="nil"/>
              <w:left w:val="nil"/>
              <w:bottom w:val="nil"/>
              <w:right w:val="nil"/>
            </w:tcBorders>
            <w:shd w:val="clear" w:color="000000" w:fill="FFFFFF"/>
            <w:vAlign w:val="bottom"/>
          </w:tcPr>
          <w:p w14:paraId="389227B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single" w:sz="4" w:space="0" w:color="auto"/>
              <w:left w:val="nil"/>
              <w:bottom w:val="nil"/>
              <w:right w:val="nil"/>
            </w:tcBorders>
            <w:shd w:val="clear" w:color="000000" w:fill="FFFFFF"/>
            <w:vAlign w:val="bottom"/>
          </w:tcPr>
          <w:p w14:paraId="5A09ECE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1E4A6854" w14:textId="77777777" w:rsidTr="00F0752D">
        <w:trPr>
          <w:trHeight w:val="272"/>
        </w:trPr>
        <w:tc>
          <w:tcPr>
            <w:tcW w:w="3443" w:type="pct"/>
            <w:tcBorders>
              <w:top w:val="nil"/>
              <w:left w:val="nil"/>
              <w:bottom w:val="nil"/>
              <w:right w:val="nil"/>
            </w:tcBorders>
            <w:shd w:val="clear" w:color="000000" w:fill="FFFFFF"/>
            <w:vAlign w:val="bottom"/>
          </w:tcPr>
          <w:p w14:paraId="3BDA2B75"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Building and Construction Industry</w:t>
            </w:r>
          </w:p>
        </w:tc>
        <w:tc>
          <w:tcPr>
            <w:tcW w:w="626" w:type="pct"/>
            <w:tcBorders>
              <w:top w:val="nil"/>
              <w:left w:val="nil"/>
              <w:bottom w:val="nil"/>
              <w:right w:val="nil"/>
            </w:tcBorders>
            <w:shd w:val="clear" w:color="000000" w:fill="FFFFFF"/>
            <w:noWrap/>
            <w:vAlign w:val="bottom"/>
          </w:tcPr>
          <w:p w14:paraId="3BC1EBE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23,393 </w:t>
            </w:r>
          </w:p>
        </w:tc>
        <w:tc>
          <w:tcPr>
            <w:tcW w:w="305" w:type="pct"/>
            <w:tcBorders>
              <w:top w:val="nil"/>
              <w:left w:val="nil"/>
              <w:bottom w:val="nil"/>
              <w:right w:val="nil"/>
            </w:tcBorders>
            <w:shd w:val="clear" w:color="000000" w:fill="FFFFFF"/>
            <w:vAlign w:val="bottom"/>
          </w:tcPr>
          <w:p w14:paraId="198443A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shd w:val="clear" w:color="000000" w:fill="FFFFFF"/>
            <w:vAlign w:val="bottom"/>
          </w:tcPr>
          <w:p w14:paraId="0223463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22,170</w:t>
            </w:r>
          </w:p>
        </w:tc>
      </w:tr>
      <w:tr w:rsidR="00717BA5" w:rsidRPr="00717BA5" w14:paraId="108350EB" w14:textId="77777777" w:rsidTr="00F0752D">
        <w:trPr>
          <w:trHeight w:val="272"/>
        </w:trPr>
        <w:tc>
          <w:tcPr>
            <w:tcW w:w="3443" w:type="pct"/>
            <w:tcBorders>
              <w:top w:val="nil"/>
              <w:left w:val="nil"/>
              <w:bottom w:val="nil"/>
              <w:right w:val="nil"/>
            </w:tcBorders>
            <w:shd w:val="clear" w:color="000000" w:fill="FFFFFF"/>
            <w:vAlign w:val="bottom"/>
          </w:tcPr>
          <w:p w14:paraId="27913403"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Services Industry</w:t>
            </w:r>
          </w:p>
        </w:tc>
        <w:tc>
          <w:tcPr>
            <w:tcW w:w="626" w:type="pct"/>
            <w:tcBorders>
              <w:top w:val="nil"/>
              <w:left w:val="nil"/>
              <w:bottom w:val="nil"/>
              <w:right w:val="nil"/>
            </w:tcBorders>
            <w:shd w:val="clear" w:color="000000" w:fill="FFFFFF"/>
            <w:noWrap/>
            <w:vAlign w:val="bottom"/>
          </w:tcPr>
          <w:p w14:paraId="08852B3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1,577 </w:t>
            </w:r>
          </w:p>
        </w:tc>
        <w:tc>
          <w:tcPr>
            <w:tcW w:w="305" w:type="pct"/>
            <w:tcBorders>
              <w:top w:val="nil"/>
              <w:left w:val="nil"/>
              <w:bottom w:val="nil"/>
              <w:right w:val="nil"/>
            </w:tcBorders>
            <w:shd w:val="clear" w:color="000000" w:fill="FFFFFF"/>
            <w:vAlign w:val="bottom"/>
          </w:tcPr>
          <w:p w14:paraId="77D875F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shd w:val="clear" w:color="000000" w:fill="FFFFFF"/>
            <w:vAlign w:val="bottom"/>
          </w:tcPr>
          <w:p w14:paraId="46323E0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1,560</w:t>
            </w:r>
          </w:p>
        </w:tc>
      </w:tr>
      <w:tr w:rsidR="00717BA5" w:rsidRPr="00717BA5" w14:paraId="0CA76461" w14:textId="77777777" w:rsidTr="00F0752D">
        <w:trPr>
          <w:trHeight w:val="272"/>
        </w:trPr>
        <w:tc>
          <w:tcPr>
            <w:tcW w:w="3443" w:type="pct"/>
            <w:tcBorders>
              <w:top w:val="nil"/>
              <w:left w:val="nil"/>
              <w:bottom w:val="nil"/>
              <w:right w:val="nil"/>
            </w:tcBorders>
            <w:shd w:val="clear" w:color="000000" w:fill="FFFFFF"/>
            <w:vAlign w:val="bottom"/>
          </w:tcPr>
          <w:p w14:paraId="18C3F2D5" w14:textId="5850F0D2" w:rsidR="00717BA5" w:rsidRPr="00717BA5" w:rsidRDefault="00717BA5" w:rsidP="00717BA5">
            <w:pPr>
              <w:numPr>
                <w:ilvl w:val="0"/>
                <w:numId w:val="74"/>
              </w:numPr>
              <w:spacing w:after="0" w:line="240" w:lineRule="auto"/>
              <w:ind w:left="402" w:hanging="357"/>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Community Sector Industry</w:t>
            </w:r>
            <w:r w:rsidR="00162A48">
              <w:rPr>
                <w:rFonts w:ascii="ZWAdobeF" w:eastAsia="Times New Roman" w:hAnsi="ZWAdobeF" w:cs="ZWAdobeF"/>
                <w:color w:val="auto"/>
                <w:sz w:val="2"/>
                <w:szCs w:val="2"/>
                <w:lang w:val="en-AU"/>
              </w:rPr>
              <w:t>1F</w:t>
            </w:r>
            <w:r w:rsidRPr="00717BA5">
              <w:rPr>
                <w:rFonts w:ascii="Arial" w:eastAsia="Times New Roman" w:hAnsi="Arial" w:cs="Arial"/>
                <w:color w:val="auto"/>
                <w:sz w:val="18"/>
                <w:szCs w:val="18"/>
                <w:vertAlign w:val="superscript"/>
                <w:lang w:val="en-AU"/>
              </w:rPr>
              <w:footnoteReference w:id="3"/>
            </w:r>
          </w:p>
        </w:tc>
        <w:tc>
          <w:tcPr>
            <w:tcW w:w="626" w:type="pct"/>
            <w:tcBorders>
              <w:top w:val="nil"/>
              <w:left w:val="nil"/>
              <w:bottom w:val="nil"/>
              <w:right w:val="nil"/>
            </w:tcBorders>
            <w:shd w:val="clear" w:color="000000" w:fill="FFFFFF"/>
            <w:vAlign w:val="bottom"/>
          </w:tcPr>
          <w:p w14:paraId="3047965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24,510 </w:t>
            </w:r>
          </w:p>
        </w:tc>
        <w:tc>
          <w:tcPr>
            <w:tcW w:w="305" w:type="pct"/>
            <w:tcBorders>
              <w:top w:val="nil"/>
              <w:left w:val="nil"/>
              <w:bottom w:val="nil"/>
              <w:right w:val="nil"/>
            </w:tcBorders>
            <w:shd w:val="clear" w:color="000000" w:fill="FFFFFF"/>
            <w:vAlign w:val="bottom"/>
          </w:tcPr>
          <w:p w14:paraId="455F73F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shd w:val="clear" w:color="000000" w:fill="FFFFFF"/>
            <w:vAlign w:val="bottom"/>
          </w:tcPr>
          <w:p w14:paraId="79F0242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21,723</w:t>
            </w:r>
          </w:p>
        </w:tc>
      </w:tr>
      <w:tr w:rsidR="00717BA5" w:rsidRPr="00717BA5" w14:paraId="60F531C3" w14:textId="77777777" w:rsidTr="00F0752D">
        <w:trPr>
          <w:trHeight w:val="272"/>
        </w:trPr>
        <w:tc>
          <w:tcPr>
            <w:tcW w:w="3443" w:type="pct"/>
            <w:tcBorders>
              <w:top w:val="nil"/>
              <w:left w:val="nil"/>
              <w:bottom w:val="nil"/>
              <w:right w:val="nil"/>
            </w:tcBorders>
            <w:shd w:val="clear" w:color="000000" w:fill="FFFFFF"/>
            <w:vAlign w:val="bottom"/>
          </w:tcPr>
          <w:p w14:paraId="0CC294EA"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Security Industry</w:t>
            </w:r>
          </w:p>
        </w:tc>
        <w:tc>
          <w:tcPr>
            <w:tcW w:w="626" w:type="pct"/>
            <w:tcBorders>
              <w:top w:val="nil"/>
              <w:left w:val="nil"/>
              <w:bottom w:val="single" w:sz="4" w:space="0" w:color="auto"/>
              <w:right w:val="nil"/>
            </w:tcBorders>
            <w:shd w:val="clear" w:color="000000" w:fill="FFFFFF"/>
            <w:vAlign w:val="bottom"/>
          </w:tcPr>
          <w:p w14:paraId="1FD786E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1,577 </w:t>
            </w:r>
          </w:p>
        </w:tc>
        <w:tc>
          <w:tcPr>
            <w:tcW w:w="305" w:type="pct"/>
            <w:tcBorders>
              <w:top w:val="nil"/>
              <w:left w:val="nil"/>
              <w:bottom w:val="nil"/>
              <w:right w:val="nil"/>
            </w:tcBorders>
            <w:shd w:val="clear" w:color="000000" w:fill="FFFFFF"/>
            <w:vAlign w:val="bottom"/>
          </w:tcPr>
          <w:p w14:paraId="2A5F717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single" w:sz="4" w:space="0" w:color="auto"/>
              <w:right w:val="nil"/>
            </w:tcBorders>
            <w:shd w:val="clear" w:color="000000" w:fill="FFFFFF"/>
            <w:vAlign w:val="bottom"/>
          </w:tcPr>
          <w:p w14:paraId="2A8F928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1,507</w:t>
            </w:r>
          </w:p>
        </w:tc>
      </w:tr>
      <w:tr w:rsidR="00717BA5" w:rsidRPr="00717BA5" w14:paraId="473D60A7" w14:textId="77777777" w:rsidTr="00F0752D">
        <w:trPr>
          <w:trHeight w:val="272"/>
        </w:trPr>
        <w:tc>
          <w:tcPr>
            <w:tcW w:w="3443" w:type="pct"/>
            <w:tcBorders>
              <w:top w:val="nil"/>
              <w:left w:val="nil"/>
              <w:bottom w:val="nil"/>
              <w:right w:val="nil"/>
            </w:tcBorders>
            <w:shd w:val="clear" w:color="000000" w:fill="FFFFFF"/>
            <w:vAlign w:val="bottom"/>
          </w:tcPr>
          <w:p w14:paraId="3982F52F"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Contributions from Employers and Contractors</w:t>
            </w:r>
          </w:p>
        </w:tc>
        <w:tc>
          <w:tcPr>
            <w:tcW w:w="626" w:type="pct"/>
            <w:tcBorders>
              <w:left w:val="nil"/>
              <w:bottom w:val="double" w:sz="4" w:space="0" w:color="auto"/>
              <w:right w:val="nil"/>
            </w:tcBorders>
            <w:shd w:val="clear" w:color="000000" w:fill="FFFFFF"/>
            <w:noWrap/>
            <w:vAlign w:val="bottom"/>
          </w:tcPr>
          <w:p w14:paraId="7004E2C3" w14:textId="77777777" w:rsidR="00717BA5" w:rsidRPr="00717BA5" w:rsidRDefault="00717BA5" w:rsidP="00717BA5">
            <w:pPr>
              <w:spacing w:after="0" w:line="240" w:lineRule="auto"/>
              <w:jc w:val="right"/>
              <w:rPr>
                <w:rFonts w:ascii="Arial" w:eastAsia="SimSun" w:hAnsi="Arial" w:cs="Arial"/>
                <w:b/>
                <w:color w:val="auto"/>
                <w:sz w:val="18"/>
                <w:szCs w:val="18"/>
                <w:lang w:val="en-AU"/>
              </w:rPr>
            </w:pPr>
            <w:r w:rsidRPr="00717BA5">
              <w:rPr>
                <w:rFonts w:ascii="Arial" w:eastAsia="SimSun" w:hAnsi="Arial" w:cs="Arial"/>
                <w:b/>
                <w:bCs/>
                <w:color w:val="auto"/>
                <w:sz w:val="18"/>
                <w:szCs w:val="18"/>
                <w:lang w:val="en-AU" w:eastAsia="en-US"/>
              </w:rPr>
              <w:t xml:space="preserve">                     51,057 </w:t>
            </w:r>
          </w:p>
        </w:tc>
        <w:tc>
          <w:tcPr>
            <w:tcW w:w="305" w:type="pct"/>
            <w:tcBorders>
              <w:top w:val="nil"/>
              <w:left w:val="nil"/>
              <w:bottom w:val="nil"/>
              <w:right w:val="nil"/>
            </w:tcBorders>
            <w:shd w:val="clear" w:color="000000" w:fill="FFFFFF"/>
            <w:vAlign w:val="bottom"/>
          </w:tcPr>
          <w:p w14:paraId="067C591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left w:val="nil"/>
              <w:bottom w:val="double" w:sz="4" w:space="0" w:color="auto"/>
              <w:right w:val="nil"/>
            </w:tcBorders>
            <w:shd w:val="clear" w:color="000000" w:fill="FFFFFF"/>
            <w:vAlign w:val="bottom"/>
          </w:tcPr>
          <w:p w14:paraId="6B73743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46,960</w:t>
            </w:r>
          </w:p>
        </w:tc>
      </w:tr>
    </w:tbl>
    <w:p w14:paraId="18B1D364" w14:textId="77777777" w:rsidR="00717BA5" w:rsidRPr="00717BA5" w:rsidRDefault="00717BA5" w:rsidP="00717BA5">
      <w:pPr>
        <w:spacing w:after="0" w:line="240" w:lineRule="auto"/>
        <w:jc w:val="both"/>
        <w:rPr>
          <w:rFonts w:ascii="Arial" w:eastAsia="Times New Roman" w:hAnsi="Arial" w:cs="Arial"/>
          <w:color w:val="auto"/>
          <w:sz w:val="18"/>
          <w:szCs w:val="18"/>
          <w:lang w:val="en-AU"/>
        </w:rPr>
      </w:pPr>
    </w:p>
    <w:tbl>
      <w:tblPr>
        <w:tblW w:w="5000" w:type="pct"/>
        <w:tblLook w:val="04A0" w:firstRow="1" w:lastRow="0" w:firstColumn="1" w:lastColumn="0" w:noHBand="0" w:noVBand="1"/>
      </w:tblPr>
      <w:tblGrid>
        <w:gridCol w:w="6850"/>
        <w:gridCol w:w="1614"/>
        <w:gridCol w:w="239"/>
        <w:gridCol w:w="1246"/>
      </w:tblGrid>
      <w:tr w:rsidR="00717BA5" w:rsidRPr="00717BA5" w14:paraId="5096EBAB" w14:textId="77777777" w:rsidTr="00F0752D">
        <w:trPr>
          <w:trHeight w:val="272"/>
        </w:trPr>
        <w:tc>
          <w:tcPr>
            <w:tcW w:w="3443" w:type="pct"/>
            <w:vAlign w:val="bottom"/>
          </w:tcPr>
          <w:p w14:paraId="79076C4E" w14:textId="77777777" w:rsidR="00717BA5" w:rsidRPr="00717BA5" w:rsidRDefault="00717BA5" w:rsidP="00717BA5">
            <w:pPr>
              <w:spacing w:after="0" w:line="240" w:lineRule="auto"/>
              <w:rPr>
                <w:rFonts w:ascii="Arial" w:eastAsia="Times New Roman" w:hAnsi="Arial" w:cs="Arial"/>
                <w:bCs/>
                <w:color w:val="auto"/>
                <w:sz w:val="18"/>
                <w:szCs w:val="18"/>
                <w:lang w:val="en-AU"/>
              </w:rPr>
            </w:pPr>
          </w:p>
        </w:tc>
        <w:tc>
          <w:tcPr>
            <w:tcW w:w="811" w:type="pct"/>
            <w:tcBorders>
              <w:top w:val="nil"/>
              <w:left w:val="nil"/>
              <w:bottom w:val="nil"/>
              <w:right w:val="nil"/>
            </w:tcBorders>
            <w:shd w:val="clear" w:color="000000" w:fill="FFFFFF"/>
            <w:vAlign w:val="bottom"/>
          </w:tcPr>
          <w:p w14:paraId="2CD2E96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120" w:type="pct"/>
            <w:tcBorders>
              <w:top w:val="nil"/>
              <w:left w:val="nil"/>
              <w:bottom w:val="nil"/>
              <w:right w:val="nil"/>
            </w:tcBorders>
            <w:shd w:val="clear" w:color="000000" w:fill="FFFFFF"/>
            <w:vAlign w:val="bottom"/>
          </w:tcPr>
          <w:p w14:paraId="3250815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26" w:type="pct"/>
            <w:tcBorders>
              <w:top w:val="nil"/>
              <w:left w:val="nil"/>
              <w:bottom w:val="nil"/>
              <w:right w:val="nil"/>
            </w:tcBorders>
            <w:shd w:val="clear" w:color="000000" w:fill="FFFFFF"/>
            <w:vAlign w:val="bottom"/>
          </w:tcPr>
          <w:p w14:paraId="557DA7B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5411F0A0" w14:textId="77777777" w:rsidTr="00F0752D">
        <w:trPr>
          <w:trHeight w:val="272"/>
        </w:trPr>
        <w:tc>
          <w:tcPr>
            <w:tcW w:w="3443" w:type="pct"/>
            <w:vAlign w:val="bottom"/>
          </w:tcPr>
          <w:p w14:paraId="48DBEC11" w14:textId="77777777" w:rsidR="00717BA5" w:rsidRPr="00717BA5" w:rsidRDefault="00717BA5" w:rsidP="00717BA5">
            <w:pPr>
              <w:spacing w:after="0" w:line="240" w:lineRule="auto"/>
              <w:rPr>
                <w:rFonts w:ascii="Arial" w:eastAsia="Times New Roman" w:hAnsi="Arial" w:cs="Arial"/>
                <w:bCs/>
                <w:color w:val="auto"/>
                <w:sz w:val="18"/>
                <w:szCs w:val="18"/>
                <w:lang w:val="en-AU"/>
              </w:rPr>
            </w:pPr>
          </w:p>
        </w:tc>
        <w:tc>
          <w:tcPr>
            <w:tcW w:w="811" w:type="pct"/>
            <w:tcBorders>
              <w:bottom w:val="single" w:sz="4" w:space="0" w:color="auto"/>
            </w:tcBorders>
            <w:vAlign w:val="bottom"/>
          </w:tcPr>
          <w:p w14:paraId="37FC261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20" w:type="pct"/>
            <w:vAlign w:val="bottom"/>
          </w:tcPr>
          <w:p w14:paraId="5F4CFE2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26" w:type="pct"/>
            <w:tcBorders>
              <w:bottom w:val="single" w:sz="4" w:space="0" w:color="auto"/>
            </w:tcBorders>
            <w:vAlign w:val="bottom"/>
          </w:tcPr>
          <w:p w14:paraId="27BE8C1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534C0206" w14:textId="77777777" w:rsidTr="00F0752D">
        <w:trPr>
          <w:trHeight w:val="272"/>
        </w:trPr>
        <w:tc>
          <w:tcPr>
            <w:tcW w:w="3443" w:type="pct"/>
            <w:vAlign w:val="bottom"/>
          </w:tcPr>
          <w:p w14:paraId="4F491DE3"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Gross Contributions from Employers and Contractors</w:t>
            </w:r>
          </w:p>
        </w:tc>
        <w:tc>
          <w:tcPr>
            <w:tcW w:w="811" w:type="pct"/>
            <w:tcBorders>
              <w:top w:val="single" w:sz="4" w:space="0" w:color="auto"/>
            </w:tcBorders>
            <w:vAlign w:val="bottom"/>
          </w:tcPr>
          <w:p w14:paraId="430C7FA8"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 xml:space="preserve"> 51,286 </w:t>
            </w:r>
          </w:p>
        </w:tc>
        <w:tc>
          <w:tcPr>
            <w:tcW w:w="120" w:type="pct"/>
            <w:vAlign w:val="bottom"/>
          </w:tcPr>
          <w:p w14:paraId="518A22FA"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26" w:type="pct"/>
            <w:tcBorders>
              <w:top w:val="single" w:sz="4" w:space="0" w:color="auto"/>
            </w:tcBorders>
            <w:vAlign w:val="bottom"/>
          </w:tcPr>
          <w:p w14:paraId="3B6CAD95"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47,181</w:t>
            </w:r>
          </w:p>
        </w:tc>
      </w:tr>
      <w:tr w:rsidR="00717BA5" w:rsidRPr="00717BA5" w14:paraId="5A150883" w14:textId="77777777" w:rsidTr="00F0752D">
        <w:trPr>
          <w:trHeight w:val="272"/>
        </w:trPr>
        <w:tc>
          <w:tcPr>
            <w:tcW w:w="3443" w:type="pct"/>
            <w:vAlign w:val="bottom"/>
          </w:tcPr>
          <w:p w14:paraId="25F6724E"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(Employer Levy Refunds)</w:t>
            </w:r>
          </w:p>
        </w:tc>
        <w:tc>
          <w:tcPr>
            <w:tcW w:w="811" w:type="pct"/>
            <w:tcBorders>
              <w:bottom w:val="single" w:sz="4" w:space="0" w:color="auto"/>
            </w:tcBorders>
            <w:vAlign w:val="bottom"/>
          </w:tcPr>
          <w:p w14:paraId="7A8BD0CE"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 xml:space="preserve"> (229) </w:t>
            </w:r>
          </w:p>
        </w:tc>
        <w:tc>
          <w:tcPr>
            <w:tcW w:w="120" w:type="pct"/>
            <w:vAlign w:val="bottom"/>
          </w:tcPr>
          <w:p w14:paraId="60D6710F"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26" w:type="pct"/>
            <w:tcBorders>
              <w:bottom w:val="single" w:sz="4" w:space="0" w:color="auto"/>
            </w:tcBorders>
            <w:vAlign w:val="bottom"/>
          </w:tcPr>
          <w:p w14:paraId="1DBC40F7"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(221)</w:t>
            </w:r>
          </w:p>
        </w:tc>
      </w:tr>
      <w:tr w:rsidR="00717BA5" w:rsidRPr="00717BA5" w14:paraId="779C1C75" w14:textId="77777777" w:rsidTr="00F0752D">
        <w:trPr>
          <w:trHeight w:val="283"/>
        </w:trPr>
        <w:tc>
          <w:tcPr>
            <w:tcW w:w="3443" w:type="pct"/>
            <w:vAlign w:val="bottom"/>
          </w:tcPr>
          <w:p w14:paraId="73F4800C"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
                <w:bCs/>
                <w:color w:val="auto"/>
                <w:sz w:val="18"/>
                <w:szCs w:val="18"/>
                <w:lang w:val="en-AU"/>
              </w:rPr>
              <w:t>Total Contributions from Employers and Contractors</w:t>
            </w:r>
          </w:p>
        </w:tc>
        <w:tc>
          <w:tcPr>
            <w:tcW w:w="811" w:type="pct"/>
            <w:tcBorders>
              <w:top w:val="single" w:sz="4" w:space="0" w:color="auto"/>
              <w:bottom w:val="double" w:sz="4" w:space="0" w:color="auto"/>
            </w:tcBorders>
            <w:vAlign w:val="bottom"/>
          </w:tcPr>
          <w:p w14:paraId="05E1533C" w14:textId="77777777" w:rsidR="00717BA5" w:rsidRPr="00717BA5" w:rsidRDefault="00717BA5" w:rsidP="00717BA5">
            <w:pPr>
              <w:spacing w:after="0" w:line="240" w:lineRule="auto"/>
              <w:jc w:val="right"/>
              <w:rPr>
                <w:rFonts w:ascii="Arial" w:eastAsia="SimSun" w:hAnsi="Arial" w:cs="Arial"/>
                <w:b/>
                <w:color w:val="auto"/>
                <w:sz w:val="18"/>
                <w:szCs w:val="18"/>
                <w:lang w:val="en-AU"/>
              </w:rPr>
            </w:pPr>
            <w:r w:rsidRPr="00717BA5">
              <w:rPr>
                <w:rFonts w:ascii="Arial" w:eastAsia="SimSun" w:hAnsi="Arial" w:cs="Arial"/>
                <w:b/>
                <w:bCs/>
                <w:color w:val="auto"/>
                <w:sz w:val="18"/>
                <w:szCs w:val="18"/>
                <w:lang w:val="en-AU" w:eastAsia="en-US"/>
              </w:rPr>
              <w:t xml:space="preserve">                     51,057 </w:t>
            </w:r>
          </w:p>
        </w:tc>
        <w:tc>
          <w:tcPr>
            <w:tcW w:w="120" w:type="pct"/>
            <w:vAlign w:val="bottom"/>
          </w:tcPr>
          <w:p w14:paraId="3042D67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626" w:type="pct"/>
            <w:tcBorders>
              <w:top w:val="single" w:sz="4" w:space="0" w:color="auto"/>
              <w:bottom w:val="double" w:sz="4" w:space="0" w:color="auto"/>
            </w:tcBorders>
            <w:vAlign w:val="bottom"/>
          </w:tcPr>
          <w:p w14:paraId="0F2ACA3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46,960</w:t>
            </w:r>
          </w:p>
        </w:tc>
      </w:tr>
    </w:tbl>
    <w:p w14:paraId="3AFCA01A" w14:textId="77777777" w:rsidR="00717BA5" w:rsidRPr="00717BA5" w:rsidRDefault="00717BA5" w:rsidP="00717BA5">
      <w:pPr>
        <w:keepNext/>
        <w:spacing w:after="160" w:line="240" w:lineRule="auto"/>
        <w:contextualSpacing/>
        <w:jc w:val="both"/>
        <w:outlineLvl w:val="7"/>
        <w:rPr>
          <w:rFonts w:ascii="Arial" w:eastAsia="Times New Roman" w:hAnsi="Arial" w:cs="Arial"/>
          <w:b/>
          <w:bCs/>
          <w:color w:val="auto"/>
          <w:sz w:val="24"/>
          <w:szCs w:val="24"/>
          <w:lang w:val="en-AU" w:eastAsia="en-US"/>
        </w:rPr>
      </w:pPr>
    </w:p>
    <w:p w14:paraId="0896D8FE" w14:textId="77777777" w:rsidR="00717BA5" w:rsidRPr="00717BA5" w:rsidRDefault="00717BA5" w:rsidP="00717BA5">
      <w:pPr>
        <w:spacing w:after="0" w:line="240" w:lineRule="auto"/>
        <w:rPr>
          <w:rFonts w:ascii="Arial" w:eastAsia="Times New Roman" w:hAnsi="Arial" w:cs="Arial"/>
          <w:b/>
          <w:bCs/>
          <w:color w:val="auto"/>
          <w:sz w:val="24"/>
          <w:szCs w:val="24"/>
          <w:lang w:val="en-AU" w:eastAsia="en-US"/>
        </w:rPr>
      </w:pPr>
      <w:r w:rsidRPr="00717BA5">
        <w:rPr>
          <w:rFonts w:ascii="Calibri" w:eastAsia="SimSun" w:hAnsi="Calibri"/>
          <w:color w:val="auto"/>
          <w:sz w:val="22"/>
          <w:szCs w:val="22"/>
          <w:lang w:val="en-AU" w:eastAsia="en-US"/>
        </w:rPr>
        <w:br w:type="page"/>
      </w:r>
    </w:p>
    <w:p w14:paraId="1E0F500F" w14:textId="77777777" w:rsidR="00717BA5" w:rsidRPr="00717BA5" w:rsidRDefault="00717BA5" w:rsidP="00992D57">
      <w:pPr>
        <w:pStyle w:val="Heading5"/>
        <w:rPr>
          <w:rFonts w:ascii="Calibri" w:hAnsi="Calibri" w:cs="Calibri"/>
          <w:i/>
        </w:rPr>
      </w:pPr>
      <w:r w:rsidRPr="00717BA5">
        <w:lastRenderedPageBreak/>
        <w:t>NOTE 6.   GAINS FROM REMEASUREMENT OF ASSETS</w:t>
      </w:r>
    </w:p>
    <w:p w14:paraId="4C7F0360"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Description and Material Accounting Policies Relating to Gains from Remeasurement of Assets</w:t>
      </w:r>
    </w:p>
    <w:p w14:paraId="3FB14EFE" w14:textId="0C7B9153"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Gain</w:t>
      </w:r>
      <w:r w:rsidRPr="00717BA5">
        <w:rPr>
          <w:rFonts w:ascii="Arial" w:eastAsia="Times New Roman" w:hAnsi="Arial" w:cs="Calibri"/>
          <w:color w:val="auto"/>
          <w:lang w:val="en-AU"/>
        </w:rPr>
        <w:t>s on investments are measured at value through profit or less. Gains are included in the operating statement for the period in which they arise and represent the net change in value of investments excluding revenue from distributions and fee rebates.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7"/>
        <w:gridCol w:w="1546"/>
        <w:gridCol w:w="257"/>
        <w:gridCol w:w="1329"/>
      </w:tblGrid>
      <w:tr w:rsidR="00717BA5" w:rsidRPr="00717BA5" w14:paraId="1A386252" w14:textId="77777777" w:rsidTr="00F0752D">
        <w:trPr>
          <w:trHeight w:val="272"/>
        </w:trPr>
        <w:tc>
          <w:tcPr>
            <w:tcW w:w="3426" w:type="pct"/>
            <w:tcBorders>
              <w:top w:val="nil"/>
              <w:left w:val="nil"/>
              <w:bottom w:val="nil"/>
              <w:right w:val="nil"/>
            </w:tcBorders>
            <w:shd w:val="clear" w:color="000000" w:fill="FFFFFF"/>
          </w:tcPr>
          <w:p w14:paraId="10304D4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777" w:type="pct"/>
            <w:tcBorders>
              <w:top w:val="nil"/>
              <w:left w:val="nil"/>
              <w:bottom w:val="nil"/>
              <w:right w:val="nil"/>
            </w:tcBorders>
            <w:shd w:val="clear" w:color="000000" w:fill="FFFFFF"/>
            <w:vAlign w:val="bottom"/>
          </w:tcPr>
          <w:p w14:paraId="2812537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129" w:type="pct"/>
            <w:tcBorders>
              <w:top w:val="nil"/>
              <w:left w:val="nil"/>
              <w:bottom w:val="nil"/>
              <w:right w:val="nil"/>
            </w:tcBorders>
            <w:shd w:val="clear" w:color="000000" w:fill="FFFFFF"/>
            <w:vAlign w:val="bottom"/>
          </w:tcPr>
          <w:p w14:paraId="6218196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68" w:type="pct"/>
            <w:tcBorders>
              <w:top w:val="nil"/>
              <w:left w:val="nil"/>
              <w:bottom w:val="nil"/>
              <w:right w:val="nil"/>
            </w:tcBorders>
            <w:shd w:val="clear" w:color="000000" w:fill="FFFFFF"/>
            <w:vAlign w:val="bottom"/>
          </w:tcPr>
          <w:p w14:paraId="519347D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310255AE" w14:textId="77777777" w:rsidTr="00F0752D">
        <w:trPr>
          <w:trHeight w:val="272"/>
        </w:trPr>
        <w:tc>
          <w:tcPr>
            <w:tcW w:w="3426" w:type="pct"/>
            <w:tcBorders>
              <w:top w:val="nil"/>
              <w:left w:val="nil"/>
              <w:bottom w:val="nil"/>
              <w:right w:val="nil"/>
            </w:tcBorders>
            <w:shd w:val="clear" w:color="000000" w:fill="FFFFFF"/>
            <w:vAlign w:val="bottom"/>
          </w:tcPr>
          <w:p w14:paraId="00209B64"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Gains from Investments</w:t>
            </w:r>
          </w:p>
        </w:tc>
        <w:tc>
          <w:tcPr>
            <w:tcW w:w="777" w:type="pct"/>
            <w:tcBorders>
              <w:top w:val="nil"/>
              <w:left w:val="nil"/>
              <w:bottom w:val="single" w:sz="4" w:space="0" w:color="auto"/>
              <w:right w:val="nil"/>
            </w:tcBorders>
            <w:shd w:val="clear" w:color="000000" w:fill="FFFFFF"/>
            <w:vAlign w:val="bottom"/>
          </w:tcPr>
          <w:p w14:paraId="7DF5F64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29" w:type="pct"/>
            <w:tcBorders>
              <w:top w:val="nil"/>
              <w:left w:val="nil"/>
              <w:bottom w:val="nil"/>
              <w:right w:val="nil"/>
            </w:tcBorders>
            <w:shd w:val="clear" w:color="000000" w:fill="FFFFFF"/>
            <w:vAlign w:val="bottom"/>
          </w:tcPr>
          <w:p w14:paraId="5FF5454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68" w:type="pct"/>
            <w:tcBorders>
              <w:top w:val="nil"/>
              <w:left w:val="nil"/>
              <w:bottom w:val="single" w:sz="4" w:space="0" w:color="auto"/>
              <w:right w:val="nil"/>
            </w:tcBorders>
            <w:shd w:val="clear" w:color="000000" w:fill="FFFFFF"/>
            <w:noWrap/>
            <w:vAlign w:val="bottom"/>
          </w:tcPr>
          <w:p w14:paraId="5F6E997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$’000 </w:t>
            </w:r>
          </w:p>
        </w:tc>
      </w:tr>
      <w:tr w:rsidR="00717BA5" w:rsidRPr="00717BA5" w14:paraId="328D9CAF" w14:textId="77777777" w:rsidTr="00F0752D">
        <w:trPr>
          <w:trHeight w:val="20"/>
        </w:trPr>
        <w:tc>
          <w:tcPr>
            <w:tcW w:w="3426" w:type="pct"/>
            <w:tcBorders>
              <w:top w:val="nil"/>
              <w:left w:val="nil"/>
              <w:bottom w:val="nil"/>
              <w:right w:val="nil"/>
            </w:tcBorders>
            <w:shd w:val="clear" w:color="000000" w:fill="FFFFFF"/>
            <w:vAlign w:val="bottom"/>
          </w:tcPr>
          <w:p w14:paraId="419DB9D2"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Building and Construction Industry</w:t>
            </w:r>
          </w:p>
        </w:tc>
        <w:tc>
          <w:tcPr>
            <w:tcW w:w="777" w:type="pct"/>
            <w:tcBorders>
              <w:top w:val="nil"/>
              <w:left w:val="nil"/>
              <w:bottom w:val="nil"/>
              <w:right w:val="nil"/>
            </w:tcBorders>
            <w:shd w:val="clear" w:color="000000" w:fill="FFFFFF"/>
            <w:vAlign w:val="bottom"/>
          </w:tcPr>
          <w:p w14:paraId="5AEE7D50" w14:textId="77777777" w:rsidR="00717BA5" w:rsidRPr="00717BA5" w:rsidRDefault="00717BA5" w:rsidP="00717BA5">
            <w:pPr>
              <w:widowControl w:val="0"/>
              <w:spacing w:before="100" w:beforeAutospacing="1" w:after="100" w:afterAutospacing="1" w:line="240" w:lineRule="auto"/>
              <w:contextualSpacing/>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5,180 </w:t>
            </w:r>
          </w:p>
        </w:tc>
        <w:tc>
          <w:tcPr>
            <w:tcW w:w="129" w:type="pct"/>
            <w:tcBorders>
              <w:top w:val="nil"/>
              <w:left w:val="nil"/>
              <w:bottom w:val="nil"/>
              <w:right w:val="nil"/>
            </w:tcBorders>
            <w:shd w:val="clear" w:color="000000" w:fill="FFFFFF"/>
            <w:vAlign w:val="bottom"/>
          </w:tcPr>
          <w:p w14:paraId="0A4A3F9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68" w:type="pct"/>
            <w:tcBorders>
              <w:top w:val="nil"/>
              <w:left w:val="nil"/>
              <w:bottom w:val="nil"/>
              <w:right w:val="nil"/>
            </w:tcBorders>
            <w:shd w:val="clear" w:color="000000" w:fill="FFFFFF"/>
            <w:noWrap/>
            <w:vAlign w:val="bottom"/>
          </w:tcPr>
          <w:p w14:paraId="5D76D31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17,428</w:t>
            </w:r>
          </w:p>
        </w:tc>
      </w:tr>
      <w:tr w:rsidR="00717BA5" w:rsidRPr="00717BA5" w14:paraId="50476A8D" w14:textId="77777777" w:rsidTr="00F0752D">
        <w:trPr>
          <w:trHeight w:val="20"/>
        </w:trPr>
        <w:tc>
          <w:tcPr>
            <w:tcW w:w="3426" w:type="pct"/>
            <w:tcBorders>
              <w:top w:val="nil"/>
              <w:left w:val="nil"/>
              <w:bottom w:val="nil"/>
              <w:right w:val="nil"/>
            </w:tcBorders>
            <w:shd w:val="clear" w:color="000000" w:fill="FFFFFF"/>
            <w:vAlign w:val="bottom"/>
          </w:tcPr>
          <w:p w14:paraId="7DC0B24C"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Services Industry </w:t>
            </w:r>
          </w:p>
        </w:tc>
        <w:tc>
          <w:tcPr>
            <w:tcW w:w="777" w:type="pct"/>
            <w:tcBorders>
              <w:top w:val="nil"/>
              <w:left w:val="nil"/>
              <w:bottom w:val="nil"/>
              <w:right w:val="nil"/>
            </w:tcBorders>
            <w:shd w:val="clear" w:color="000000" w:fill="FFFFFF"/>
            <w:vAlign w:val="bottom"/>
          </w:tcPr>
          <w:p w14:paraId="64850DCF" w14:textId="77777777" w:rsidR="00717BA5" w:rsidRPr="00717BA5" w:rsidRDefault="00717BA5" w:rsidP="00717BA5">
            <w:pPr>
              <w:widowControl w:val="0"/>
              <w:spacing w:before="100" w:beforeAutospacing="1" w:after="100" w:afterAutospacing="1" w:line="240" w:lineRule="auto"/>
              <w:contextualSpacing/>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575 </w:t>
            </w:r>
          </w:p>
        </w:tc>
        <w:tc>
          <w:tcPr>
            <w:tcW w:w="129" w:type="pct"/>
            <w:tcBorders>
              <w:top w:val="nil"/>
              <w:left w:val="nil"/>
              <w:bottom w:val="nil"/>
              <w:right w:val="nil"/>
            </w:tcBorders>
            <w:shd w:val="clear" w:color="000000" w:fill="FFFFFF"/>
            <w:vAlign w:val="bottom"/>
          </w:tcPr>
          <w:p w14:paraId="5F6FB64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68" w:type="pct"/>
            <w:tcBorders>
              <w:top w:val="nil"/>
              <w:left w:val="nil"/>
              <w:bottom w:val="nil"/>
              <w:right w:val="nil"/>
            </w:tcBorders>
            <w:shd w:val="clear" w:color="000000" w:fill="FFFFFF"/>
            <w:noWrap/>
            <w:vAlign w:val="bottom"/>
          </w:tcPr>
          <w:p w14:paraId="5BB1D50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2,084</w:t>
            </w:r>
          </w:p>
        </w:tc>
      </w:tr>
      <w:tr w:rsidR="00717BA5" w:rsidRPr="00717BA5" w14:paraId="31BFA129" w14:textId="77777777" w:rsidTr="00F0752D">
        <w:trPr>
          <w:trHeight w:val="20"/>
        </w:trPr>
        <w:tc>
          <w:tcPr>
            <w:tcW w:w="3426" w:type="pct"/>
            <w:tcBorders>
              <w:top w:val="nil"/>
              <w:left w:val="nil"/>
              <w:bottom w:val="nil"/>
              <w:right w:val="nil"/>
            </w:tcBorders>
            <w:shd w:val="clear" w:color="000000" w:fill="FFFFFF"/>
            <w:vAlign w:val="bottom"/>
          </w:tcPr>
          <w:p w14:paraId="5ECF95B6"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Community Sector Industry</w:t>
            </w:r>
          </w:p>
        </w:tc>
        <w:tc>
          <w:tcPr>
            <w:tcW w:w="777" w:type="pct"/>
            <w:tcBorders>
              <w:top w:val="nil"/>
              <w:left w:val="nil"/>
              <w:bottom w:val="nil"/>
              <w:right w:val="nil"/>
            </w:tcBorders>
            <w:shd w:val="clear" w:color="000000" w:fill="FFFFFF"/>
            <w:vAlign w:val="bottom"/>
          </w:tcPr>
          <w:p w14:paraId="5CAF55EF" w14:textId="77777777" w:rsidR="00717BA5" w:rsidRPr="00717BA5" w:rsidRDefault="00717BA5" w:rsidP="00717BA5">
            <w:pPr>
              <w:widowControl w:val="0"/>
              <w:spacing w:before="100" w:beforeAutospacing="1" w:after="100" w:afterAutospacing="1" w:line="240" w:lineRule="auto"/>
              <w:contextualSpacing/>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3,050 </w:t>
            </w:r>
          </w:p>
        </w:tc>
        <w:tc>
          <w:tcPr>
            <w:tcW w:w="129" w:type="pct"/>
            <w:tcBorders>
              <w:top w:val="nil"/>
              <w:left w:val="nil"/>
              <w:bottom w:val="nil"/>
              <w:right w:val="nil"/>
            </w:tcBorders>
            <w:shd w:val="clear" w:color="000000" w:fill="FFFFFF"/>
            <w:vAlign w:val="bottom"/>
          </w:tcPr>
          <w:p w14:paraId="4D80A47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68" w:type="pct"/>
            <w:tcBorders>
              <w:top w:val="nil"/>
              <w:left w:val="nil"/>
              <w:bottom w:val="nil"/>
              <w:right w:val="nil"/>
            </w:tcBorders>
            <w:shd w:val="clear" w:color="000000" w:fill="FFFFFF"/>
            <w:vAlign w:val="bottom"/>
          </w:tcPr>
          <w:p w14:paraId="5B323F9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9,643</w:t>
            </w:r>
          </w:p>
        </w:tc>
      </w:tr>
      <w:tr w:rsidR="00717BA5" w:rsidRPr="00717BA5" w14:paraId="7CD9ADE5" w14:textId="77777777" w:rsidTr="00F0752D">
        <w:trPr>
          <w:trHeight w:val="20"/>
        </w:trPr>
        <w:tc>
          <w:tcPr>
            <w:tcW w:w="3426" w:type="pct"/>
            <w:tcBorders>
              <w:top w:val="nil"/>
              <w:left w:val="nil"/>
              <w:bottom w:val="nil"/>
              <w:right w:val="nil"/>
            </w:tcBorders>
            <w:shd w:val="clear" w:color="000000" w:fill="FFFFFF"/>
            <w:vAlign w:val="bottom"/>
          </w:tcPr>
          <w:p w14:paraId="1F96790A"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Security Industry</w:t>
            </w:r>
          </w:p>
        </w:tc>
        <w:tc>
          <w:tcPr>
            <w:tcW w:w="777" w:type="pct"/>
            <w:tcBorders>
              <w:top w:val="nil"/>
              <w:left w:val="nil"/>
              <w:bottom w:val="single" w:sz="4" w:space="0" w:color="auto"/>
              <w:right w:val="nil"/>
            </w:tcBorders>
            <w:shd w:val="clear" w:color="000000" w:fill="FFFFFF"/>
            <w:vAlign w:val="bottom"/>
          </w:tcPr>
          <w:p w14:paraId="6AAE319F" w14:textId="77777777" w:rsidR="00717BA5" w:rsidRPr="00717BA5" w:rsidRDefault="00717BA5" w:rsidP="00717BA5">
            <w:pPr>
              <w:widowControl w:val="0"/>
              <w:spacing w:before="100" w:beforeAutospacing="1" w:after="100" w:afterAutospacing="1" w:line="240" w:lineRule="auto"/>
              <w:contextualSpacing/>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256 </w:t>
            </w:r>
          </w:p>
        </w:tc>
        <w:tc>
          <w:tcPr>
            <w:tcW w:w="129" w:type="pct"/>
            <w:tcBorders>
              <w:top w:val="nil"/>
              <w:left w:val="nil"/>
              <w:bottom w:val="nil"/>
              <w:right w:val="nil"/>
            </w:tcBorders>
            <w:shd w:val="clear" w:color="000000" w:fill="FFFFFF"/>
            <w:vAlign w:val="bottom"/>
          </w:tcPr>
          <w:p w14:paraId="37B29B6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68" w:type="pct"/>
            <w:tcBorders>
              <w:top w:val="nil"/>
              <w:left w:val="nil"/>
              <w:bottom w:val="single" w:sz="4" w:space="0" w:color="auto"/>
              <w:right w:val="nil"/>
            </w:tcBorders>
            <w:shd w:val="clear" w:color="000000" w:fill="FFFFFF"/>
            <w:vAlign w:val="bottom"/>
          </w:tcPr>
          <w:p w14:paraId="5A013EF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850</w:t>
            </w:r>
          </w:p>
        </w:tc>
      </w:tr>
      <w:tr w:rsidR="00717BA5" w:rsidRPr="00717BA5" w14:paraId="69D43EC3" w14:textId="77777777" w:rsidTr="00F0752D">
        <w:trPr>
          <w:cantSplit/>
          <w:trHeight w:val="20"/>
        </w:trPr>
        <w:tc>
          <w:tcPr>
            <w:tcW w:w="3426" w:type="pct"/>
            <w:tcBorders>
              <w:top w:val="nil"/>
              <w:left w:val="nil"/>
              <w:bottom w:val="nil"/>
              <w:right w:val="nil"/>
            </w:tcBorders>
            <w:shd w:val="clear" w:color="000000" w:fill="FFFFFF"/>
            <w:vAlign w:val="bottom"/>
          </w:tcPr>
          <w:p w14:paraId="45F1296B" w14:textId="34337C0F"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Gains from Investments</w:t>
            </w:r>
            <w:r w:rsidR="00162A48">
              <w:rPr>
                <w:rFonts w:ascii="ZWAdobeF" w:eastAsia="Times New Roman" w:hAnsi="ZWAdobeF" w:cs="ZWAdobeF"/>
                <w:bCs/>
                <w:color w:val="auto"/>
                <w:sz w:val="2"/>
                <w:szCs w:val="2"/>
                <w:lang w:val="en-AU"/>
              </w:rPr>
              <w:t>2F</w:t>
            </w:r>
            <w:r w:rsidRPr="00717BA5">
              <w:rPr>
                <w:rFonts w:ascii="Arial" w:eastAsia="Times New Roman" w:hAnsi="Arial" w:cs="Arial"/>
                <w:b/>
                <w:bCs/>
                <w:color w:val="auto"/>
                <w:sz w:val="18"/>
                <w:szCs w:val="18"/>
                <w:vertAlign w:val="superscript"/>
                <w:lang w:val="en-AU"/>
              </w:rPr>
              <w:footnoteReference w:id="4"/>
            </w:r>
          </w:p>
        </w:tc>
        <w:tc>
          <w:tcPr>
            <w:tcW w:w="777" w:type="pct"/>
            <w:tcBorders>
              <w:top w:val="single" w:sz="4" w:space="0" w:color="auto"/>
              <w:left w:val="nil"/>
              <w:bottom w:val="double" w:sz="4" w:space="0" w:color="auto"/>
              <w:right w:val="nil"/>
            </w:tcBorders>
            <w:shd w:val="clear" w:color="000000" w:fill="FFFFFF"/>
            <w:vAlign w:val="bottom"/>
          </w:tcPr>
          <w:p w14:paraId="4FCED832" w14:textId="77777777" w:rsidR="00717BA5" w:rsidRPr="00717BA5" w:rsidRDefault="00717BA5" w:rsidP="00717BA5">
            <w:pPr>
              <w:keepNext/>
              <w:spacing w:after="0" w:line="240" w:lineRule="auto"/>
              <w:jc w:val="right"/>
              <w:rPr>
                <w:rFonts w:ascii="Arial" w:eastAsia="SimSun" w:hAnsi="Arial" w:cs="Arial"/>
                <w:b/>
                <w:color w:val="auto"/>
                <w:sz w:val="18"/>
                <w:szCs w:val="18"/>
                <w:lang w:val="en-AU" w:eastAsia="en-US"/>
              </w:rPr>
            </w:pPr>
            <w:r w:rsidRPr="00717BA5">
              <w:rPr>
                <w:rFonts w:ascii="Arial" w:eastAsia="SimSun" w:hAnsi="Arial" w:cs="Arial"/>
                <w:b/>
                <w:bCs/>
                <w:color w:val="auto"/>
                <w:sz w:val="18"/>
                <w:szCs w:val="18"/>
                <w:lang w:val="en-AU" w:eastAsia="en-US"/>
              </w:rPr>
              <w:t xml:space="preserve">           </w:t>
            </w:r>
            <w:r w:rsidRPr="00717BA5">
              <w:rPr>
                <w:rFonts w:ascii="Arial" w:eastAsia="Times New Roman" w:hAnsi="Arial" w:cs="Arial"/>
                <w:b/>
                <w:bCs/>
                <w:color w:val="auto"/>
                <w:sz w:val="18"/>
                <w:szCs w:val="18"/>
                <w:lang w:val="en-AU"/>
              </w:rPr>
              <w:t xml:space="preserve">  9,060</w:t>
            </w:r>
            <w:r w:rsidRPr="00717BA5">
              <w:rPr>
                <w:rFonts w:ascii="Arial" w:eastAsia="SimSun" w:hAnsi="Arial" w:cs="Arial"/>
                <w:color w:val="auto"/>
                <w:sz w:val="18"/>
                <w:szCs w:val="18"/>
                <w:lang w:val="en-AU" w:eastAsia="en-US"/>
              </w:rPr>
              <w:t xml:space="preserve">                     </w:t>
            </w:r>
          </w:p>
        </w:tc>
        <w:tc>
          <w:tcPr>
            <w:tcW w:w="129" w:type="pct"/>
            <w:tcBorders>
              <w:top w:val="nil"/>
              <w:left w:val="nil"/>
              <w:bottom w:val="nil"/>
              <w:right w:val="nil"/>
            </w:tcBorders>
            <w:shd w:val="clear" w:color="000000" w:fill="FFFFFF"/>
            <w:vAlign w:val="bottom"/>
          </w:tcPr>
          <w:p w14:paraId="4D48C656" w14:textId="77777777" w:rsidR="00717BA5" w:rsidRPr="00717BA5" w:rsidRDefault="00717BA5" w:rsidP="00717BA5">
            <w:pPr>
              <w:keepNext/>
              <w:spacing w:after="0" w:line="240" w:lineRule="auto"/>
              <w:jc w:val="right"/>
              <w:rPr>
                <w:rFonts w:ascii="Arial" w:eastAsia="Times New Roman" w:hAnsi="Arial" w:cs="Arial"/>
                <w:b/>
                <w:bCs/>
                <w:color w:val="auto"/>
                <w:sz w:val="18"/>
                <w:szCs w:val="18"/>
                <w:lang w:val="en-AU"/>
              </w:rPr>
            </w:pPr>
          </w:p>
        </w:tc>
        <w:tc>
          <w:tcPr>
            <w:tcW w:w="668" w:type="pct"/>
            <w:tcBorders>
              <w:top w:val="single" w:sz="4" w:space="0" w:color="auto"/>
              <w:left w:val="nil"/>
              <w:bottom w:val="double" w:sz="4" w:space="0" w:color="auto"/>
              <w:right w:val="nil"/>
            </w:tcBorders>
            <w:shd w:val="clear" w:color="000000" w:fill="FFFFFF"/>
            <w:noWrap/>
            <w:vAlign w:val="bottom"/>
          </w:tcPr>
          <w:p w14:paraId="7BEDB8B7" w14:textId="77777777" w:rsidR="00717BA5" w:rsidRPr="00717BA5" w:rsidRDefault="00717BA5" w:rsidP="00717BA5">
            <w:pPr>
              <w:keepNext/>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30,005</w:t>
            </w:r>
          </w:p>
        </w:tc>
      </w:tr>
    </w:tbl>
    <w:p w14:paraId="0E78A977" w14:textId="77777777" w:rsidR="00717BA5" w:rsidRPr="00717BA5" w:rsidRDefault="00717BA5" w:rsidP="00717BA5">
      <w:pPr>
        <w:spacing w:after="0" w:line="240" w:lineRule="auto"/>
        <w:rPr>
          <w:rFonts w:ascii="Arial" w:eastAsia="SimSun" w:hAnsi="Arial" w:cs="Arial"/>
          <w:color w:val="auto"/>
          <w:lang w:val="en-AU" w:eastAsia="en-US"/>
        </w:rPr>
      </w:pPr>
    </w:p>
    <w:p w14:paraId="4609FFEA" w14:textId="77777777" w:rsidR="00717BA5" w:rsidRPr="00717BA5" w:rsidRDefault="00717BA5" w:rsidP="00717BA5">
      <w:pPr>
        <w:spacing w:after="0" w:line="240" w:lineRule="auto"/>
        <w:rPr>
          <w:rFonts w:ascii="Arial" w:eastAsia="SimSun" w:hAnsi="Arial" w:cs="Arial"/>
          <w:color w:val="auto"/>
          <w:lang w:val="en-AU" w:eastAsia="en-US"/>
        </w:rPr>
      </w:pPr>
    </w:p>
    <w:p w14:paraId="08AB8B01" w14:textId="77777777" w:rsidR="00717BA5" w:rsidRPr="00717BA5" w:rsidRDefault="00717BA5" w:rsidP="00992D57">
      <w:pPr>
        <w:pStyle w:val="Heading5"/>
      </w:pPr>
      <w:r w:rsidRPr="00717BA5">
        <w:t>NOTE 7.   INVESTMENT REVENUE</w:t>
      </w:r>
    </w:p>
    <w:p w14:paraId="3800546B"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Description and Material Accounting Policies Relating to Investment Revenue</w:t>
      </w:r>
    </w:p>
    <w:p w14:paraId="7FB36967"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Investment revenue comprises quarterly investment distribution and management fee rebate. </w:t>
      </w:r>
      <w:r w:rsidRPr="00717BA5">
        <w:rPr>
          <w:rFonts w:ascii="Arial" w:eastAsia="Times New Roman" w:hAnsi="Arial" w:cs="Calibri"/>
          <w:color w:val="auto"/>
          <w:lang w:val="en-AU"/>
        </w:rPr>
        <w:t>It is recognised by ACT Leave on an accrual basis and when ACT Leave’s right to receive the payment is established.</w:t>
      </w:r>
    </w:p>
    <w:p w14:paraId="20DFA123" w14:textId="77777777" w:rsidR="00717BA5" w:rsidRPr="00717BA5" w:rsidRDefault="00717BA5" w:rsidP="00717BA5">
      <w:pPr>
        <w:keepNext/>
        <w:spacing w:after="120" w:line="240" w:lineRule="auto"/>
        <w:jc w:val="both"/>
        <w:rPr>
          <w:rFonts w:ascii="Arial" w:eastAsia="Times New Roman" w:hAnsi="Arial" w:cs="Arial"/>
          <w:b/>
          <w:bCs/>
          <w:color w:val="auto"/>
          <w:sz w:val="18"/>
          <w:szCs w:val="18"/>
          <w:lang w:val="en-AU"/>
        </w:rPr>
      </w:pPr>
    </w:p>
    <w:tbl>
      <w:tblPr>
        <w:tblW w:w="5000" w:type="pct"/>
        <w:tblLook w:val="04A0" w:firstRow="1" w:lastRow="0" w:firstColumn="1" w:lastColumn="0" w:noHBand="0" w:noVBand="1"/>
      </w:tblPr>
      <w:tblGrid>
        <w:gridCol w:w="6856"/>
        <w:gridCol w:w="1244"/>
        <w:gridCol w:w="607"/>
        <w:gridCol w:w="1242"/>
      </w:tblGrid>
      <w:tr w:rsidR="00717BA5" w:rsidRPr="00717BA5" w14:paraId="2886A452" w14:textId="77777777" w:rsidTr="00F0752D">
        <w:trPr>
          <w:trHeight w:val="272"/>
        </w:trPr>
        <w:tc>
          <w:tcPr>
            <w:tcW w:w="3446" w:type="pct"/>
            <w:tcBorders>
              <w:top w:val="nil"/>
              <w:left w:val="nil"/>
              <w:right w:val="nil"/>
            </w:tcBorders>
            <w:shd w:val="clear" w:color="000000" w:fill="FFFFFF"/>
          </w:tcPr>
          <w:p w14:paraId="3E3573FD" w14:textId="77777777" w:rsidR="00717BA5" w:rsidRPr="00717BA5" w:rsidRDefault="00717BA5" w:rsidP="00717BA5">
            <w:pPr>
              <w:keepNext/>
              <w:spacing w:after="0" w:line="240" w:lineRule="auto"/>
              <w:rPr>
                <w:rFonts w:ascii="Arial" w:eastAsia="Times New Roman" w:hAnsi="Arial" w:cs="Arial"/>
                <w:b/>
                <w:bCs/>
                <w:color w:val="auto"/>
                <w:sz w:val="18"/>
                <w:szCs w:val="18"/>
                <w:lang w:val="en-AU"/>
              </w:rPr>
            </w:pPr>
          </w:p>
        </w:tc>
        <w:tc>
          <w:tcPr>
            <w:tcW w:w="625" w:type="pct"/>
            <w:tcBorders>
              <w:top w:val="nil"/>
              <w:left w:val="nil"/>
              <w:bottom w:val="nil"/>
              <w:right w:val="nil"/>
            </w:tcBorders>
            <w:shd w:val="clear" w:color="000000" w:fill="FFFFFF"/>
            <w:vAlign w:val="bottom"/>
          </w:tcPr>
          <w:p w14:paraId="23AF7433" w14:textId="77777777" w:rsidR="00717BA5" w:rsidRPr="00717BA5" w:rsidRDefault="00717BA5" w:rsidP="00717BA5">
            <w:pPr>
              <w:keepNext/>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top w:val="nil"/>
              <w:left w:val="nil"/>
              <w:bottom w:val="nil"/>
              <w:right w:val="nil"/>
            </w:tcBorders>
            <w:shd w:val="clear" w:color="000000" w:fill="FFFFFF"/>
            <w:vAlign w:val="bottom"/>
          </w:tcPr>
          <w:p w14:paraId="1D09805A" w14:textId="77777777" w:rsidR="00717BA5" w:rsidRPr="00717BA5" w:rsidRDefault="00717BA5" w:rsidP="00717BA5">
            <w:pPr>
              <w:keepNext/>
              <w:spacing w:after="0" w:line="240" w:lineRule="auto"/>
              <w:jc w:val="right"/>
              <w:rPr>
                <w:rFonts w:ascii="Arial" w:eastAsia="Times New Roman" w:hAnsi="Arial" w:cs="Arial"/>
                <w:b/>
                <w:bCs/>
                <w:color w:val="auto"/>
                <w:sz w:val="18"/>
                <w:szCs w:val="18"/>
                <w:lang w:val="en-AU"/>
              </w:rPr>
            </w:pPr>
          </w:p>
        </w:tc>
        <w:tc>
          <w:tcPr>
            <w:tcW w:w="624" w:type="pct"/>
            <w:tcBorders>
              <w:top w:val="nil"/>
              <w:left w:val="nil"/>
              <w:bottom w:val="nil"/>
              <w:right w:val="nil"/>
            </w:tcBorders>
            <w:shd w:val="clear" w:color="000000" w:fill="FFFFFF"/>
            <w:noWrap/>
            <w:vAlign w:val="bottom"/>
          </w:tcPr>
          <w:p w14:paraId="108DBC8A" w14:textId="77777777" w:rsidR="00717BA5" w:rsidRPr="00717BA5" w:rsidRDefault="00717BA5" w:rsidP="00717BA5">
            <w:pPr>
              <w:keepNext/>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5408D607" w14:textId="77777777" w:rsidTr="00F0752D">
        <w:trPr>
          <w:trHeight w:val="272"/>
        </w:trPr>
        <w:tc>
          <w:tcPr>
            <w:tcW w:w="3446" w:type="pct"/>
            <w:tcBorders>
              <w:top w:val="nil"/>
              <w:left w:val="nil"/>
              <w:right w:val="nil"/>
            </w:tcBorders>
            <w:shd w:val="clear" w:color="000000" w:fill="FFFFFF"/>
          </w:tcPr>
          <w:p w14:paraId="505A9B61" w14:textId="77777777" w:rsidR="00717BA5" w:rsidRPr="00717BA5" w:rsidRDefault="00717BA5" w:rsidP="00717BA5">
            <w:pPr>
              <w:keepNext/>
              <w:spacing w:after="0" w:line="240" w:lineRule="auto"/>
              <w:rPr>
                <w:rFonts w:ascii="Arial" w:eastAsia="Times New Roman" w:hAnsi="Arial" w:cs="Arial"/>
                <w:b/>
                <w:bCs/>
                <w:color w:val="auto"/>
                <w:sz w:val="18"/>
                <w:szCs w:val="18"/>
                <w:lang w:val="en-AU"/>
              </w:rPr>
            </w:pPr>
          </w:p>
        </w:tc>
        <w:tc>
          <w:tcPr>
            <w:tcW w:w="625" w:type="pct"/>
            <w:tcBorders>
              <w:top w:val="nil"/>
              <w:left w:val="nil"/>
              <w:bottom w:val="single" w:sz="4" w:space="0" w:color="auto"/>
              <w:right w:val="nil"/>
            </w:tcBorders>
            <w:shd w:val="clear" w:color="000000" w:fill="FFFFFF"/>
            <w:vAlign w:val="bottom"/>
          </w:tcPr>
          <w:p w14:paraId="3F07BDEB" w14:textId="77777777" w:rsidR="00717BA5" w:rsidRPr="00717BA5" w:rsidRDefault="00717BA5" w:rsidP="00717BA5">
            <w:pPr>
              <w:keepNext/>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305" w:type="pct"/>
            <w:tcBorders>
              <w:top w:val="nil"/>
              <w:left w:val="nil"/>
              <w:right w:val="nil"/>
            </w:tcBorders>
            <w:shd w:val="clear" w:color="000000" w:fill="FFFFFF"/>
            <w:vAlign w:val="bottom"/>
          </w:tcPr>
          <w:p w14:paraId="270DA681" w14:textId="77777777" w:rsidR="00717BA5" w:rsidRPr="00717BA5" w:rsidRDefault="00717BA5" w:rsidP="00717BA5">
            <w:pPr>
              <w:keepNext/>
              <w:spacing w:after="0" w:line="240" w:lineRule="auto"/>
              <w:jc w:val="right"/>
              <w:rPr>
                <w:rFonts w:ascii="Arial" w:eastAsia="Times New Roman" w:hAnsi="Arial" w:cs="Arial"/>
                <w:b/>
                <w:bCs/>
                <w:color w:val="auto"/>
                <w:sz w:val="18"/>
                <w:szCs w:val="18"/>
                <w:lang w:val="en-AU"/>
              </w:rPr>
            </w:pPr>
          </w:p>
        </w:tc>
        <w:tc>
          <w:tcPr>
            <w:tcW w:w="624" w:type="pct"/>
            <w:tcBorders>
              <w:top w:val="nil"/>
              <w:left w:val="nil"/>
              <w:bottom w:val="single" w:sz="4" w:space="0" w:color="auto"/>
              <w:right w:val="nil"/>
            </w:tcBorders>
            <w:shd w:val="clear" w:color="000000" w:fill="FFFFFF"/>
            <w:noWrap/>
            <w:vAlign w:val="bottom"/>
          </w:tcPr>
          <w:p w14:paraId="51B97D4D" w14:textId="77777777" w:rsidR="00717BA5" w:rsidRPr="00717BA5" w:rsidRDefault="00717BA5" w:rsidP="00717BA5">
            <w:pPr>
              <w:keepNext/>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$’000 </w:t>
            </w:r>
          </w:p>
        </w:tc>
      </w:tr>
      <w:tr w:rsidR="00717BA5" w:rsidRPr="00717BA5" w14:paraId="6E6C7735" w14:textId="77777777" w:rsidTr="00F0752D">
        <w:trPr>
          <w:trHeight w:val="20"/>
        </w:trPr>
        <w:tc>
          <w:tcPr>
            <w:tcW w:w="3446" w:type="pct"/>
            <w:tcBorders>
              <w:top w:val="nil"/>
              <w:left w:val="nil"/>
              <w:bottom w:val="nil"/>
              <w:right w:val="nil"/>
            </w:tcBorders>
            <w:shd w:val="clear" w:color="000000" w:fill="FFFFFF"/>
            <w:vAlign w:val="bottom"/>
          </w:tcPr>
          <w:p w14:paraId="7207A953" w14:textId="362B2823" w:rsidR="00717BA5" w:rsidRPr="00717BA5" w:rsidRDefault="00717BA5" w:rsidP="00717BA5">
            <w:pPr>
              <w:keepNext/>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Investment Distribution and Management Fee Rebate</w:t>
            </w:r>
            <w:r w:rsidR="00162A48">
              <w:rPr>
                <w:rFonts w:ascii="ZWAdobeF" w:eastAsia="Times New Roman" w:hAnsi="ZWAdobeF" w:cs="ZWAdobeF"/>
                <w:color w:val="auto"/>
                <w:sz w:val="2"/>
                <w:szCs w:val="2"/>
                <w:lang w:val="en-AU"/>
              </w:rPr>
              <w:t>3F</w:t>
            </w:r>
            <w:r w:rsidRPr="00717BA5">
              <w:rPr>
                <w:rFonts w:ascii="Arial" w:eastAsia="Times New Roman" w:hAnsi="Arial" w:cs="Arial"/>
                <w:b/>
                <w:color w:val="auto"/>
                <w:sz w:val="18"/>
                <w:szCs w:val="18"/>
                <w:vertAlign w:val="superscript"/>
                <w:lang w:val="en-AU"/>
              </w:rPr>
              <w:footnoteReference w:id="5"/>
            </w:r>
          </w:p>
        </w:tc>
        <w:tc>
          <w:tcPr>
            <w:tcW w:w="625" w:type="pct"/>
            <w:tcBorders>
              <w:top w:val="nil"/>
              <w:left w:val="nil"/>
              <w:bottom w:val="nil"/>
              <w:right w:val="nil"/>
            </w:tcBorders>
            <w:shd w:val="clear" w:color="000000" w:fill="FFFFFF"/>
            <w:vAlign w:val="bottom"/>
          </w:tcPr>
          <w:p w14:paraId="2AF7CCBD"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p>
        </w:tc>
        <w:tc>
          <w:tcPr>
            <w:tcW w:w="305" w:type="pct"/>
            <w:tcBorders>
              <w:top w:val="nil"/>
              <w:left w:val="nil"/>
              <w:bottom w:val="nil"/>
              <w:right w:val="nil"/>
            </w:tcBorders>
            <w:shd w:val="clear" w:color="000000" w:fill="FFFFFF"/>
            <w:vAlign w:val="bottom"/>
          </w:tcPr>
          <w:p w14:paraId="7F764499"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p>
        </w:tc>
        <w:tc>
          <w:tcPr>
            <w:tcW w:w="624" w:type="pct"/>
            <w:tcBorders>
              <w:top w:val="nil"/>
              <w:left w:val="nil"/>
              <w:bottom w:val="nil"/>
              <w:right w:val="nil"/>
            </w:tcBorders>
            <w:shd w:val="clear" w:color="000000" w:fill="FFFFFF"/>
            <w:vAlign w:val="bottom"/>
          </w:tcPr>
          <w:p w14:paraId="7732AEE5"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6A8E2D49" w14:textId="77777777" w:rsidTr="00F0752D">
        <w:trPr>
          <w:trHeight w:val="20"/>
        </w:trPr>
        <w:tc>
          <w:tcPr>
            <w:tcW w:w="3446" w:type="pct"/>
            <w:tcBorders>
              <w:top w:val="nil"/>
              <w:left w:val="nil"/>
              <w:bottom w:val="nil"/>
              <w:right w:val="nil"/>
            </w:tcBorders>
            <w:shd w:val="clear" w:color="000000" w:fill="FFFFFF"/>
            <w:vAlign w:val="bottom"/>
          </w:tcPr>
          <w:p w14:paraId="52261B5F" w14:textId="77777777" w:rsidR="00717BA5" w:rsidRPr="00717BA5" w:rsidRDefault="00717BA5" w:rsidP="00717BA5">
            <w:pPr>
              <w:keepNext/>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Building and Construction Industry</w:t>
            </w:r>
          </w:p>
        </w:tc>
        <w:tc>
          <w:tcPr>
            <w:tcW w:w="625" w:type="pct"/>
            <w:tcBorders>
              <w:top w:val="nil"/>
              <w:left w:val="nil"/>
              <w:bottom w:val="nil"/>
              <w:right w:val="nil"/>
            </w:tcBorders>
            <w:shd w:val="clear" w:color="000000" w:fill="FFFFFF"/>
            <w:vAlign w:val="bottom"/>
          </w:tcPr>
          <w:p w14:paraId="1AF4F3BD"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8,837 </w:t>
            </w:r>
          </w:p>
        </w:tc>
        <w:tc>
          <w:tcPr>
            <w:tcW w:w="305" w:type="pct"/>
            <w:tcBorders>
              <w:top w:val="nil"/>
              <w:left w:val="nil"/>
              <w:bottom w:val="nil"/>
              <w:right w:val="nil"/>
            </w:tcBorders>
            <w:shd w:val="clear" w:color="000000" w:fill="FFFFFF"/>
            <w:vAlign w:val="bottom"/>
          </w:tcPr>
          <w:p w14:paraId="42376689"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p>
        </w:tc>
        <w:tc>
          <w:tcPr>
            <w:tcW w:w="624" w:type="pct"/>
            <w:tcBorders>
              <w:top w:val="nil"/>
              <w:left w:val="nil"/>
              <w:bottom w:val="nil"/>
              <w:right w:val="nil"/>
            </w:tcBorders>
            <w:shd w:val="clear" w:color="000000" w:fill="FFFFFF"/>
            <w:noWrap/>
            <w:vAlign w:val="bottom"/>
          </w:tcPr>
          <w:p w14:paraId="62657D8B"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5,602</w:t>
            </w:r>
          </w:p>
        </w:tc>
      </w:tr>
      <w:tr w:rsidR="00717BA5" w:rsidRPr="00717BA5" w14:paraId="48161F24" w14:textId="77777777" w:rsidTr="00F0752D">
        <w:trPr>
          <w:trHeight w:val="20"/>
        </w:trPr>
        <w:tc>
          <w:tcPr>
            <w:tcW w:w="3446" w:type="pct"/>
            <w:tcBorders>
              <w:top w:val="nil"/>
              <w:left w:val="nil"/>
              <w:bottom w:val="nil"/>
              <w:right w:val="nil"/>
            </w:tcBorders>
            <w:shd w:val="clear" w:color="000000" w:fill="FFFFFF"/>
            <w:vAlign w:val="bottom"/>
          </w:tcPr>
          <w:p w14:paraId="6B6C4A05" w14:textId="77777777" w:rsidR="00717BA5" w:rsidRPr="00717BA5" w:rsidRDefault="00717BA5" w:rsidP="00717BA5">
            <w:pPr>
              <w:keepNext/>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Services Industry</w:t>
            </w:r>
          </w:p>
        </w:tc>
        <w:tc>
          <w:tcPr>
            <w:tcW w:w="625" w:type="pct"/>
            <w:tcBorders>
              <w:top w:val="nil"/>
              <w:left w:val="nil"/>
              <w:bottom w:val="nil"/>
              <w:right w:val="nil"/>
            </w:tcBorders>
            <w:shd w:val="clear" w:color="000000" w:fill="FFFFFF"/>
            <w:vAlign w:val="bottom"/>
          </w:tcPr>
          <w:p w14:paraId="34608F5D"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994 </w:t>
            </w:r>
          </w:p>
        </w:tc>
        <w:tc>
          <w:tcPr>
            <w:tcW w:w="305" w:type="pct"/>
            <w:tcBorders>
              <w:top w:val="nil"/>
              <w:left w:val="nil"/>
              <w:bottom w:val="nil"/>
              <w:right w:val="nil"/>
            </w:tcBorders>
            <w:shd w:val="clear" w:color="000000" w:fill="FFFFFF"/>
            <w:vAlign w:val="bottom"/>
          </w:tcPr>
          <w:p w14:paraId="7768ABD6"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p>
        </w:tc>
        <w:tc>
          <w:tcPr>
            <w:tcW w:w="624" w:type="pct"/>
            <w:tcBorders>
              <w:top w:val="nil"/>
              <w:left w:val="nil"/>
              <w:bottom w:val="nil"/>
              <w:right w:val="nil"/>
            </w:tcBorders>
            <w:shd w:val="clear" w:color="000000" w:fill="FFFFFF"/>
            <w:noWrap/>
            <w:vAlign w:val="bottom"/>
          </w:tcPr>
          <w:p w14:paraId="059534C5"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668</w:t>
            </w:r>
          </w:p>
        </w:tc>
      </w:tr>
      <w:tr w:rsidR="00717BA5" w:rsidRPr="00717BA5" w14:paraId="4AD23D91" w14:textId="77777777" w:rsidTr="00F0752D">
        <w:trPr>
          <w:trHeight w:val="20"/>
        </w:trPr>
        <w:tc>
          <w:tcPr>
            <w:tcW w:w="3446" w:type="pct"/>
            <w:tcBorders>
              <w:top w:val="nil"/>
              <w:left w:val="nil"/>
              <w:right w:val="nil"/>
            </w:tcBorders>
            <w:shd w:val="clear" w:color="000000" w:fill="FFFFFF"/>
            <w:vAlign w:val="bottom"/>
          </w:tcPr>
          <w:p w14:paraId="13B57D0D" w14:textId="77777777" w:rsidR="00717BA5" w:rsidRPr="00717BA5" w:rsidRDefault="00717BA5" w:rsidP="00717BA5">
            <w:pPr>
              <w:keepNext/>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Community Sector Industry</w:t>
            </w:r>
          </w:p>
        </w:tc>
        <w:tc>
          <w:tcPr>
            <w:tcW w:w="625" w:type="pct"/>
            <w:tcBorders>
              <w:top w:val="nil"/>
              <w:left w:val="nil"/>
              <w:right w:val="nil"/>
            </w:tcBorders>
            <w:shd w:val="clear" w:color="000000" w:fill="FFFFFF"/>
            <w:vAlign w:val="bottom"/>
          </w:tcPr>
          <w:p w14:paraId="348B0E73"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5,332 </w:t>
            </w:r>
          </w:p>
        </w:tc>
        <w:tc>
          <w:tcPr>
            <w:tcW w:w="305" w:type="pct"/>
            <w:tcBorders>
              <w:top w:val="nil"/>
              <w:left w:val="nil"/>
              <w:right w:val="nil"/>
            </w:tcBorders>
            <w:shd w:val="clear" w:color="000000" w:fill="FFFFFF"/>
            <w:vAlign w:val="bottom"/>
          </w:tcPr>
          <w:p w14:paraId="55B62A7E"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p>
        </w:tc>
        <w:tc>
          <w:tcPr>
            <w:tcW w:w="624" w:type="pct"/>
            <w:tcBorders>
              <w:top w:val="nil"/>
              <w:left w:val="nil"/>
              <w:right w:val="nil"/>
            </w:tcBorders>
            <w:shd w:val="clear" w:color="000000" w:fill="FFFFFF"/>
            <w:noWrap/>
            <w:vAlign w:val="bottom"/>
          </w:tcPr>
          <w:p w14:paraId="48890003"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3,097</w:t>
            </w:r>
          </w:p>
        </w:tc>
      </w:tr>
      <w:tr w:rsidR="00717BA5" w:rsidRPr="00717BA5" w14:paraId="506C6185" w14:textId="77777777" w:rsidTr="00F0752D">
        <w:trPr>
          <w:trHeight w:val="20"/>
        </w:trPr>
        <w:tc>
          <w:tcPr>
            <w:tcW w:w="3446" w:type="pct"/>
            <w:tcBorders>
              <w:top w:val="nil"/>
              <w:left w:val="nil"/>
              <w:right w:val="nil"/>
            </w:tcBorders>
            <w:shd w:val="clear" w:color="000000" w:fill="FFFFFF"/>
            <w:vAlign w:val="bottom"/>
          </w:tcPr>
          <w:p w14:paraId="7E90D2A4" w14:textId="77777777" w:rsidR="00717BA5" w:rsidRPr="00717BA5" w:rsidRDefault="00717BA5" w:rsidP="00717BA5">
            <w:pPr>
              <w:keepNext/>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Security Industry</w:t>
            </w:r>
          </w:p>
        </w:tc>
        <w:tc>
          <w:tcPr>
            <w:tcW w:w="625" w:type="pct"/>
            <w:tcBorders>
              <w:top w:val="nil"/>
              <w:left w:val="nil"/>
              <w:right w:val="nil"/>
            </w:tcBorders>
            <w:shd w:val="clear" w:color="000000" w:fill="FFFFFF"/>
            <w:vAlign w:val="bottom"/>
          </w:tcPr>
          <w:p w14:paraId="14EDDE28"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411 </w:t>
            </w:r>
          </w:p>
        </w:tc>
        <w:tc>
          <w:tcPr>
            <w:tcW w:w="305" w:type="pct"/>
            <w:tcBorders>
              <w:top w:val="nil"/>
              <w:left w:val="nil"/>
              <w:right w:val="nil"/>
            </w:tcBorders>
            <w:shd w:val="clear" w:color="000000" w:fill="FFFFFF"/>
            <w:vAlign w:val="bottom"/>
          </w:tcPr>
          <w:p w14:paraId="047072AF"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p>
        </w:tc>
        <w:tc>
          <w:tcPr>
            <w:tcW w:w="624" w:type="pct"/>
            <w:tcBorders>
              <w:top w:val="nil"/>
              <w:left w:val="nil"/>
              <w:right w:val="nil"/>
            </w:tcBorders>
            <w:shd w:val="clear" w:color="000000" w:fill="FFFFFF"/>
            <w:noWrap/>
            <w:vAlign w:val="bottom"/>
          </w:tcPr>
          <w:p w14:paraId="68EC685B"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269</w:t>
            </w:r>
          </w:p>
        </w:tc>
      </w:tr>
      <w:tr w:rsidR="00717BA5" w:rsidRPr="00717BA5" w14:paraId="171C7C46" w14:textId="77777777" w:rsidTr="00F0752D">
        <w:trPr>
          <w:trHeight w:val="20"/>
        </w:trPr>
        <w:tc>
          <w:tcPr>
            <w:tcW w:w="3446" w:type="pct"/>
            <w:tcBorders>
              <w:left w:val="nil"/>
              <w:right w:val="nil"/>
            </w:tcBorders>
            <w:shd w:val="clear" w:color="000000" w:fill="FFFFFF"/>
            <w:vAlign w:val="bottom"/>
          </w:tcPr>
          <w:p w14:paraId="68E60BD2" w14:textId="77777777" w:rsidR="00717BA5" w:rsidRPr="00717BA5" w:rsidRDefault="00717BA5" w:rsidP="00717BA5">
            <w:pPr>
              <w:keepNext/>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Investment Distribution and Management Fee Rebate</w:t>
            </w:r>
          </w:p>
        </w:tc>
        <w:tc>
          <w:tcPr>
            <w:tcW w:w="625" w:type="pct"/>
            <w:tcBorders>
              <w:top w:val="single" w:sz="4" w:space="0" w:color="auto"/>
              <w:left w:val="nil"/>
              <w:bottom w:val="single" w:sz="4" w:space="0" w:color="auto"/>
              <w:right w:val="nil"/>
            </w:tcBorders>
            <w:shd w:val="clear" w:color="000000" w:fill="FFFFFF"/>
            <w:vAlign w:val="bottom"/>
          </w:tcPr>
          <w:p w14:paraId="5C6075B1" w14:textId="77777777" w:rsidR="00717BA5" w:rsidRPr="00717BA5" w:rsidRDefault="00717BA5" w:rsidP="00717BA5">
            <w:pPr>
              <w:spacing w:after="0" w:line="240" w:lineRule="auto"/>
              <w:contextualSpacing/>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15,574 </w:t>
            </w:r>
          </w:p>
        </w:tc>
        <w:tc>
          <w:tcPr>
            <w:tcW w:w="305" w:type="pct"/>
            <w:tcBorders>
              <w:left w:val="nil"/>
              <w:right w:val="nil"/>
            </w:tcBorders>
            <w:shd w:val="clear" w:color="000000" w:fill="FFFFFF"/>
            <w:vAlign w:val="bottom"/>
          </w:tcPr>
          <w:p w14:paraId="7B8FF18C"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p>
        </w:tc>
        <w:tc>
          <w:tcPr>
            <w:tcW w:w="624" w:type="pct"/>
            <w:tcBorders>
              <w:top w:val="single" w:sz="4" w:space="0" w:color="auto"/>
              <w:left w:val="nil"/>
              <w:bottom w:val="single" w:sz="4" w:space="0" w:color="auto"/>
              <w:right w:val="nil"/>
            </w:tcBorders>
            <w:shd w:val="clear" w:color="000000" w:fill="FFFFFF"/>
            <w:noWrap/>
            <w:vAlign w:val="bottom"/>
          </w:tcPr>
          <w:p w14:paraId="5C32776D"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9,636</w:t>
            </w:r>
          </w:p>
        </w:tc>
      </w:tr>
      <w:tr w:rsidR="00717BA5" w:rsidRPr="00717BA5" w14:paraId="3806F26D" w14:textId="77777777" w:rsidTr="00F0752D">
        <w:trPr>
          <w:trHeight w:val="20"/>
        </w:trPr>
        <w:tc>
          <w:tcPr>
            <w:tcW w:w="3446" w:type="pct"/>
            <w:tcBorders>
              <w:top w:val="nil"/>
              <w:left w:val="nil"/>
              <w:right w:val="nil"/>
            </w:tcBorders>
            <w:shd w:val="clear" w:color="000000" w:fill="FFFFFF"/>
            <w:vAlign w:val="bottom"/>
          </w:tcPr>
          <w:p w14:paraId="3AD83D95" w14:textId="77777777" w:rsidR="00717BA5" w:rsidRPr="00717BA5" w:rsidRDefault="00717BA5" w:rsidP="00717BA5">
            <w:pPr>
              <w:keepNext/>
              <w:spacing w:after="0" w:line="240" w:lineRule="auto"/>
              <w:rPr>
                <w:rFonts w:ascii="Arial" w:eastAsia="Times New Roman" w:hAnsi="Arial" w:cs="Arial"/>
                <w:color w:val="auto"/>
                <w:sz w:val="18"/>
                <w:szCs w:val="18"/>
                <w:lang w:val="en-AU"/>
              </w:rPr>
            </w:pPr>
          </w:p>
        </w:tc>
        <w:tc>
          <w:tcPr>
            <w:tcW w:w="625" w:type="pct"/>
            <w:tcBorders>
              <w:top w:val="nil"/>
              <w:left w:val="nil"/>
              <w:bottom w:val="single" w:sz="4" w:space="0" w:color="auto"/>
              <w:right w:val="nil"/>
            </w:tcBorders>
            <w:shd w:val="clear" w:color="000000" w:fill="FFFFFF"/>
            <w:vAlign w:val="bottom"/>
          </w:tcPr>
          <w:p w14:paraId="14BF40CB"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p>
        </w:tc>
        <w:tc>
          <w:tcPr>
            <w:tcW w:w="305" w:type="pct"/>
            <w:tcBorders>
              <w:top w:val="nil"/>
              <w:left w:val="nil"/>
              <w:right w:val="nil"/>
            </w:tcBorders>
            <w:shd w:val="clear" w:color="000000" w:fill="FFFFFF"/>
            <w:vAlign w:val="bottom"/>
          </w:tcPr>
          <w:p w14:paraId="0825600D"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p>
        </w:tc>
        <w:tc>
          <w:tcPr>
            <w:tcW w:w="624" w:type="pct"/>
            <w:tcBorders>
              <w:top w:val="nil"/>
              <w:left w:val="nil"/>
              <w:bottom w:val="single" w:sz="4" w:space="0" w:color="auto"/>
              <w:right w:val="nil"/>
            </w:tcBorders>
            <w:shd w:val="clear" w:color="000000" w:fill="FFFFFF"/>
            <w:vAlign w:val="bottom"/>
          </w:tcPr>
          <w:p w14:paraId="1CE27DF5" w14:textId="77777777" w:rsidR="00717BA5" w:rsidRPr="00717BA5" w:rsidRDefault="00717BA5" w:rsidP="00717BA5">
            <w:pPr>
              <w:keepNext/>
              <w:spacing w:after="0" w:line="240" w:lineRule="auto"/>
              <w:jc w:val="right"/>
              <w:rPr>
                <w:rFonts w:ascii="Arial" w:eastAsia="Times New Roman" w:hAnsi="Arial" w:cs="Arial"/>
                <w:color w:val="auto"/>
                <w:sz w:val="18"/>
                <w:szCs w:val="18"/>
                <w:lang w:val="en-AU"/>
              </w:rPr>
            </w:pPr>
          </w:p>
        </w:tc>
      </w:tr>
      <w:tr w:rsidR="00717BA5" w:rsidRPr="00717BA5" w14:paraId="611FB5E3" w14:textId="77777777" w:rsidTr="00F0752D">
        <w:trPr>
          <w:trHeight w:val="20"/>
        </w:trPr>
        <w:tc>
          <w:tcPr>
            <w:tcW w:w="3446" w:type="pct"/>
            <w:tcBorders>
              <w:top w:val="nil"/>
              <w:left w:val="nil"/>
              <w:right w:val="nil"/>
            </w:tcBorders>
            <w:shd w:val="clear" w:color="000000" w:fill="FFFFFF"/>
            <w:vAlign w:val="bottom"/>
          </w:tcPr>
          <w:p w14:paraId="7D8F11F1" w14:textId="30AF94A4" w:rsidR="00717BA5" w:rsidRPr="00717BA5" w:rsidRDefault="00717BA5" w:rsidP="00717BA5">
            <w:pPr>
              <w:keepNext/>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Investment Revenue</w:t>
            </w:r>
            <w:r w:rsidR="00162A48">
              <w:rPr>
                <w:rFonts w:ascii="ZWAdobeF" w:eastAsia="Times New Roman" w:hAnsi="ZWAdobeF" w:cs="ZWAdobeF"/>
                <w:bCs/>
                <w:color w:val="auto"/>
                <w:sz w:val="2"/>
                <w:szCs w:val="2"/>
                <w:lang w:val="en-AU"/>
              </w:rPr>
              <w:t>4F</w:t>
            </w:r>
            <w:r w:rsidRPr="00717BA5">
              <w:rPr>
                <w:rFonts w:ascii="Arial" w:eastAsia="Times New Roman" w:hAnsi="Arial" w:cs="Arial"/>
                <w:b/>
                <w:bCs/>
                <w:color w:val="auto"/>
                <w:sz w:val="18"/>
                <w:szCs w:val="18"/>
                <w:vertAlign w:val="superscript"/>
                <w:lang w:val="en-AU"/>
              </w:rPr>
              <w:footnoteReference w:id="6"/>
            </w:r>
          </w:p>
        </w:tc>
        <w:tc>
          <w:tcPr>
            <w:tcW w:w="625" w:type="pct"/>
            <w:tcBorders>
              <w:top w:val="nil"/>
              <w:left w:val="nil"/>
              <w:bottom w:val="double" w:sz="6" w:space="0" w:color="auto"/>
              <w:right w:val="nil"/>
            </w:tcBorders>
            <w:shd w:val="clear" w:color="000000" w:fill="FFFFFF"/>
            <w:vAlign w:val="bottom"/>
          </w:tcPr>
          <w:p w14:paraId="74B03C4A" w14:textId="77777777" w:rsidR="00717BA5" w:rsidRPr="00717BA5" w:rsidRDefault="00717BA5" w:rsidP="00717BA5">
            <w:pPr>
              <w:spacing w:after="0" w:line="240" w:lineRule="auto"/>
              <w:jc w:val="right"/>
              <w:rPr>
                <w:rFonts w:ascii="Arial" w:eastAsia="SimSun" w:hAnsi="Arial" w:cs="Arial"/>
                <w:b/>
                <w:color w:val="auto"/>
                <w:sz w:val="18"/>
                <w:szCs w:val="18"/>
                <w:lang w:val="en-AU"/>
              </w:rPr>
            </w:pPr>
            <w:r w:rsidRPr="00717BA5">
              <w:rPr>
                <w:rFonts w:ascii="Arial" w:eastAsia="SimSun" w:hAnsi="Arial" w:cs="Arial"/>
                <w:b/>
                <w:bCs/>
                <w:color w:val="auto"/>
                <w:sz w:val="18"/>
                <w:szCs w:val="18"/>
                <w:lang w:val="en-AU" w:eastAsia="en-US"/>
              </w:rPr>
              <w:t xml:space="preserve">        15,574 </w:t>
            </w:r>
          </w:p>
        </w:tc>
        <w:tc>
          <w:tcPr>
            <w:tcW w:w="305" w:type="pct"/>
            <w:tcBorders>
              <w:top w:val="nil"/>
              <w:left w:val="nil"/>
              <w:right w:val="nil"/>
            </w:tcBorders>
            <w:shd w:val="clear" w:color="000000" w:fill="FFFFFF"/>
            <w:vAlign w:val="bottom"/>
          </w:tcPr>
          <w:p w14:paraId="2805D8E6" w14:textId="77777777" w:rsidR="00717BA5" w:rsidRPr="00717BA5" w:rsidRDefault="00717BA5" w:rsidP="00717BA5">
            <w:pPr>
              <w:keepNext/>
              <w:spacing w:after="0" w:line="240" w:lineRule="auto"/>
              <w:jc w:val="right"/>
              <w:rPr>
                <w:rFonts w:ascii="Arial" w:eastAsia="Times New Roman" w:hAnsi="Arial" w:cs="Arial"/>
                <w:b/>
                <w:bCs/>
                <w:color w:val="auto"/>
                <w:sz w:val="18"/>
                <w:szCs w:val="18"/>
                <w:lang w:val="en-AU"/>
              </w:rPr>
            </w:pPr>
          </w:p>
        </w:tc>
        <w:tc>
          <w:tcPr>
            <w:tcW w:w="624" w:type="pct"/>
            <w:tcBorders>
              <w:top w:val="nil"/>
              <w:left w:val="nil"/>
              <w:bottom w:val="double" w:sz="6" w:space="0" w:color="auto"/>
              <w:right w:val="nil"/>
            </w:tcBorders>
            <w:shd w:val="clear" w:color="000000" w:fill="FFFFFF"/>
            <w:noWrap/>
            <w:vAlign w:val="bottom"/>
          </w:tcPr>
          <w:p w14:paraId="035EA655" w14:textId="77777777" w:rsidR="00717BA5" w:rsidRPr="00717BA5" w:rsidRDefault="00717BA5" w:rsidP="00717BA5">
            <w:pPr>
              <w:keepNext/>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9,636</w:t>
            </w:r>
          </w:p>
        </w:tc>
      </w:tr>
    </w:tbl>
    <w:p w14:paraId="1891A959" w14:textId="77777777" w:rsidR="00717BA5" w:rsidRPr="00717BA5" w:rsidRDefault="00717BA5" w:rsidP="00717BA5">
      <w:pPr>
        <w:spacing w:after="0" w:line="240" w:lineRule="auto"/>
        <w:rPr>
          <w:rFonts w:ascii="Arial" w:eastAsia="SimSun" w:hAnsi="Arial" w:cs="Arial"/>
          <w:color w:val="auto"/>
          <w:lang w:val="en-AU"/>
        </w:rPr>
      </w:pPr>
      <w:r w:rsidRPr="00717BA5">
        <w:rPr>
          <w:rFonts w:ascii="Arial" w:eastAsia="SimSun" w:hAnsi="Arial" w:cs="Arial"/>
          <w:b/>
          <w:bCs/>
          <w:color w:val="auto"/>
          <w:lang w:val="en-AU"/>
        </w:rPr>
        <w:br w:type="page"/>
      </w:r>
    </w:p>
    <w:p w14:paraId="271A73AE" w14:textId="77777777" w:rsidR="00717BA5" w:rsidRPr="00717BA5" w:rsidRDefault="00717BA5" w:rsidP="00717BA5">
      <w:pPr>
        <w:spacing w:after="0" w:line="240" w:lineRule="auto"/>
        <w:rPr>
          <w:rFonts w:ascii="Arial" w:eastAsia="SimSun" w:hAnsi="Arial" w:cs="Arial"/>
          <w:color w:val="auto"/>
          <w:lang w:val="en-AU"/>
        </w:rPr>
      </w:pPr>
    </w:p>
    <w:p w14:paraId="3CD4A477" w14:textId="77777777" w:rsidR="00717BA5" w:rsidRPr="00717BA5" w:rsidRDefault="00717BA5" w:rsidP="00717BA5">
      <w:pPr>
        <w:keepNext/>
        <w:spacing w:after="240" w:line="240" w:lineRule="auto"/>
        <w:jc w:val="both"/>
        <w:outlineLvl w:val="0"/>
        <w:rPr>
          <w:rFonts w:ascii="Arial" w:eastAsia="Times New Roman" w:hAnsi="Arial" w:cs="Arial"/>
          <w:b/>
          <w:bCs/>
          <w:color w:val="auto"/>
          <w:kern w:val="32"/>
          <w:sz w:val="24"/>
          <w:szCs w:val="24"/>
          <w:lang w:val="en-AU"/>
        </w:rPr>
      </w:pPr>
      <w:bookmarkStart w:id="95" w:name="_Toc240533516"/>
      <w:r w:rsidRPr="00717BA5">
        <w:rPr>
          <w:rFonts w:ascii="Arial" w:eastAsia="Times New Roman" w:hAnsi="Arial" w:cs="Arial"/>
          <w:b/>
          <w:bCs/>
          <w:color w:val="auto"/>
          <w:kern w:val="32"/>
          <w:sz w:val="24"/>
          <w:szCs w:val="24"/>
          <w:lang w:val="en-AU"/>
        </w:rPr>
        <w:t>EXPENSE NOTES</w:t>
      </w:r>
      <w:bookmarkEnd w:id="95"/>
    </w:p>
    <w:p w14:paraId="44B6434B" w14:textId="77777777" w:rsidR="00717BA5" w:rsidRPr="00717BA5" w:rsidRDefault="00717BA5" w:rsidP="00992D57">
      <w:pPr>
        <w:pStyle w:val="Heading5"/>
      </w:pPr>
      <w:r w:rsidRPr="00717BA5">
        <w:t>NOTE 8.   EMPLOYEE EXPENSES</w:t>
      </w:r>
    </w:p>
    <w:p w14:paraId="1F407AD3" w14:textId="77777777" w:rsidR="00717BA5" w:rsidRPr="00717BA5" w:rsidRDefault="00717BA5" w:rsidP="00717BA5">
      <w:pPr>
        <w:spacing w:after="120" w:line="240" w:lineRule="auto"/>
        <w:jc w:val="both"/>
        <w:rPr>
          <w:rFonts w:ascii="Arial" w:eastAsia="Times New Roman" w:hAnsi="Arial" w:cs="Arial"/>
          <w:b/>
          <w:bCs/>
          <w:caps/>
          <w:color w:val="auto"/>
          <w:sz w:val="18"/>
          <w:szCs w:val="18"/>
          <w:lang w:val="en-AU"/>
        </w:rPr>
      </w:pPr>
      <w:r w:rsidRPr="00717BA5">
        <w:rPr>
          <w:rFonts w:ascii="Arial" w:eastAsia="Times New Roman" w:hAnsi="Arial" w:cs="Arial"/>
          <w:b/>
          <w:bCs/>
          <w:color w:val="auto"/>
          <w:lang w:val="en-AU"/>
        </w:rPr>
        <w:t>Description and Material Accounting Policies Relating to Employee Expenses</w:t>
      </w:r>
    </w:p>
    <w:p w14:paraId="07B4BDAF"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Employee expenses comprise all costs incurred in relation to employing staff including wages and salaries, </w:t>
      </w:r>
      <w:r w:rsidRPr="00717BA5">
        <w:rPr>
          <w:rFonts w:ascii="Arial" w:eastAsia="Times New Roman" w:hAnsi="Arial" w:cs="Calibri"/>
          <w:color w:val="auto"/>
          <w:lang w:val="en-AU"/>
        </w:rPr>
        <w:t xml:space="preserve">fringe benefits tax, leave entitlements, annual leave loading, termination payments, workers’ compensation insurance premiums, accrued </w:t>
      </w:r>
      <w:proofErr w:type="spellStart"/>
      <w:r w:rsidRPr="00717BA5">
        <w:rPr>
          <w:rFonts w:ascii="Arial" w:eastAsia="Times New Roman" w:hAnsi="Arial" w:cs="Calibri"/>
          <w:color w:val="auto"/>
          <w:lang w:val="en-AU"/>
        </w:rPr>
        <w:t>flextime</w:t>
      </w:r>
      <w:proofErr w:type="spellEnd"/>
      <w:r w:rsidRPr="00717BA5">
        <w:rPr>
          <w:rFonts w:ascii="Arial" w:eastAsia="Times New Roman" w:hAnsi="Arial" w:cs="Calibri"/>
          <w:color w:val="auto"/>
          <w:lang w:val="en-AU"/>
        </w:rPr>
        <w:t>, and other employee benefits and on-cost expenses.</w:t>
      </w:r>
    </w:p>
    <w:p w14:paraId="3BDD8B90"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Wages and salaries are recognised in the reporting period when the employee renders services to ACT Leave.  They are measured based on the amount paid to employees during the year as well</w:t>
      </w:r>
      <w:r w:rsidRPr="00717BA5">
        <w:rPr>
          <w:rFonts w:ascii="Arial" w:eastAsia="Times New Roman" w:hAnsi="Arial" w:cs="Calibri"/>
          <w:color w:val="auto"/>
          <w:lang w:val="en-AU"/>
        </w:rPr>
        <w:t xml:space="preserve"> as any wages and salaries due to employees that remain unpaid at the end of the financial year.</w:t>
      </w:r>
    </w:p>
    <w:p w14:paraId="3D3FD480"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Superannuation Expense</w:t>
      </w:r>
    </w:p>
    <w:p w14:paraId="54C80D63"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Employees of </w:t>
      </w:r>
      <w:r w:rsidRPr="00717BA5">
        <w:rPr>
          <w:rFonts w:ascii="Arial" w:eastAsia="Times New Roman" w:hAnsi="Arial" w:cs="Calibri"/>
          <w:color w:val="auto"/>
          <w:lang w:val="en-AU"/>
        </w:rPr>
        <w:t>ACT Leave will have different superannuation arrangements due to the type of superannuation scheme available at the time of commencing employment, including both defined benefit and defined contribution superannuation scheme arrangements.</w:t>
      </w:r>
    </w:p>
    <w:p w14:paraId="19B67578"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For employees who are members of the defined benefit Commonwealth Superannuation Scheme (CSS) and Public Sector Superannuation Scheme (PSS), </w:t>
      </w:r>
      <w:r w:rsidRPr="00717BA5">
        <w:rPr>
          <w:rFonts w:ascii="Arial" w:eastAsia="Times New Roman" w:hAnsi="Arial" w:cs="Calibri"/>
          <w:color w:val="auto"/>
          <w:lang w:val="en-AU"/>
        </w:rPr>
        <w:t>ACT Leave makes employer superannuation contribution payments to the Territory Banking Account at a rate determined by the Chief Minister, Treasury and Economic Development Directorate. ACT Leave also makes productivity superannuation contribution payments on behalf of these employees to the Commonwealth Superannuation Corporation, which is responsible for administration of the schemes.</w:t>
      </w:r>
    </w:p>
    <w:p w14:paraId="07C542A8"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For employees who are members of defined contribution superannuation schemes (the Public Sector Superannuation Scheme Accumulation Plan (PSSAP) and schemes of employee choice), </w:t>
      </w:r>
      <w:r w:rsidRPr="00717BA5">
        <w:rPr>
          <w:rFonts w:ascii="Arial" w:eastAsia="Times New Roman" w:hAnsi="Arial" w:cs="Calibri"/>
          <w:color w:val="auto"/>
          <w:lang w:val="en-AU"/>
        </w:rPr>
        <w:t>ACT Leave makes employer superannuation contribution payments directly to the employee’s relevant superannuation fund.</w:t>
      </w:r>
    </w:p>
    <w:p w14:paraId="359AD424"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All defined benefit employer superannuation contributions are recognised as expenses on the same basis as the employer superannuation contributions made to defined contribution schemes. The accruing superannuation liability obligations are expense</w:t>
      </w:r>
      <w:r w:rsidRPr="00717BA5">
        <w:rPr>
          <w:rFonts w:ascii="Arial" w:eastAsia="Times New Roman" w:hAnsi="Arial" w:cs="Calibri"/>
          <w:color w:val="auto"/>
          <w:lang w:val="en-AU"/>
        </w:rPr>
        <w:t>d as they are incurred and extinguished as they are paid.</w:t>
      </w:r>
    </w:p>
    <w:p w14:paraId="0FC929E5"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ACT Leave</w:t>
      </w:r>
      <w:r w:rsidRPr="00717BA5">
        <w:rPr>
          <w:rFonts w:ascii="Arial" w:eastAsia="Times New Roman" w:hAnsi="Arial" w:cs="Calibri"/>
          <w:color w:val="auto"/>
          <w:lang w:val="en-AU"/>
        </w:rPr>
        <w:t>’s employed staff are officers of the ACT Public Service.</w:t>
      </w:r>
    </w:p>
    <w:p w14:paraId="3358EE3D"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75B86EE7"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3F837E77"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32978076"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7927F18D"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0C6AA164"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71BE33D8"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28D7E05A"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7CC6B256"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6DB47EAE"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406CD9B7"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2AE908BD"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49010A89"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47FDF55F"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74BB21EA"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07E5A733" w14:textId="77777777" w:rsidR="00717BA5" w:rsidRPr="00717BA5" w:rsidRDefault="00717BA5" w:rsidP="00992D57">
      <w:pPr>
        <w:pStyle w:val="Heading5"/>
      </w:pPr>
      <w:r w:rsidRPr="00717BA5">
        <w:lastRenderedPageBreak/>
        <w:t>NOTE 8.   EMPLOYEE EXPENSES - CONTINUED</w:t>
      </w:r>
    </w:p>
    <w:tbl>
      <w:tblPr>
        <w:tblW w:w="5000" w:type="pct"/>
        <w:tblLook w:val="04A0" w:firstRow="1" w:lastRow="0" w:firstColumn="1" w:lastColumn="0" w:noHBand="0" w:noVBand="1"/>
      </w:tblPr>
      <w:tblGrid>
        <w:gridCol w:w="6850"/>
        <w:gridCol w:w="1246"/>
        <w:gridCol w:w="607"/>
        <w:gridCol w:w="1246"/>
      </w:tblGrid>
      <w:tr w:rsidR="00717BA5" w:rsidRPr="00717BA5" w14:paraId="60865EED" w14:textId="77777777" w:rsidTr="00F0752D">
        <w:trPr>
          <w:trHeight w:val="272"/>
        </w:trPr>
        <w:tc>
          <w:tcPr>
            <w:tcW w:w="3443" w:type="pct"/>
            <w:tcBorders>
              <w:top w:val="nil"/>
              <w:left w:val="nil"/>
              <w:right w:val="nil"/>
            </w:tcBorders>
            <w:shd w:val="clear" w:color="000000" w:fill="FFFFFF"/>
            <w:vAlign w:val="bottom"/>
          </w:tcPr>
          <w:p w14:paraId="104C0CD2"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26" w:type="pct"/>
            <w:tcBorders>
              <w:top w:val="nil"/>
              <w:left w:val="nil"/>
              <w:bottom w:val="nil"/>
              <w:right w:val="nil"/>
            </w:tcBorders>
            <w:shd w:val="clear" w:color="000000" w:fill="FFFFFF"/>
            <w:vAlign w:val="bottom"/>
          </w:tcPr>
          <w:p w14:paraId="50949E1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top w:val="nil"/>
              <w:left w:val="nil"/>
              <w:bottom w:val="nil"/>
              <w:right w:val="nil"/>
            </w:tcBorders>
            <w:shd w:val="clear" w:color="000000" w:fill="FFFFFF"/>
            <w:vAlign w:val="bottom"/>
          </w:tcPr>
          <w:p w14:paraId="7081D55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nil"/>
              <w:left w:val="nil"/>
              <w:bottom w:val="nil"/>
              <w:right w:val="nil"/>
            </w:tcBorders>
            <w:shd w:val="clear" w:color="000000" w:fill="FFFFFF"/>
            <w:vAlign w:val="bottom"/>
          </w:tcPr>
          <w:p w14:paraId="3FE21D2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01AF495A" w14:textId="77777777" w:rsidTr="00F0752D">
        <w:trPr>
          <w:trHeight w:val="272"/>
        </w:trPr>
        <w:tc>
          <w:tcPr>
            <w:tcW w:w="3443" w:type="pct"/>
            <w:tcBorders>
              <w:top w:val="nil"/>
              <w:left w:val="nil"/>
              <w:right w:val="nil"/>
            </w:tcBorders>
            <w:shd w:val="clear" w:color="000000" w:fill="FFFFFF"/>
            <w:vAlign w:val="bottom"/>
          </w:tcPr>
          <w:p w14:paraId="1DF4958C"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26" w:type="pct"/>
            <w:tcBorders>
              <w:top w:val="nil"/>
              <w:left w:val="nil"/>
              <w:bottom w:val="single" w:sz="4" w:space="0" w:color="auto"/>
              <w:right w:val="nil"/>
            </w:tcBorders>
            <w:shd w:val="clear" w:color="000000" w:fill="FFFFFF"/>
            <w:vAlign w:val="bottom"/>
          </w:tcPr>
          <w:p w14:paraId="4B19E17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305" w:type="pct"/>
            <w:tcBorders>
              <w:top w:val="nil"/>
              <w:left w:val="nil"/>
              <w:right w:val="nil"/>
            </w:tcBorders>
            <w:shd w:val="clear" w:color="000000" w:fill="FFFFFF"/>
            <w:vAlign w:val="bottom"/>
          </w:tcPr>
          <w:p w14:paraId="3AEB889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nil"/>
              <w:left w:val="nil"/>
              <w:bottom w:val="single" w:sz="4" w:space="0" w:color="auto"/>
              <w:right w:val="nil"/>
            </w:tcBorders>
            <w:shd w:val="clear" w:color="000000" w:fill="FFFFFF"/>
            <w:vAlign w:val="bottom"/>
          </w:tcPr>
          <w:p w14:paraId="78E4EEE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42A09FD5" w14:textId="77777777" w:rsidTr="00F0752D">
        <w:trPr>
          <w:trHeight w:val="272"/>
        </w:trPr>
        <w:tc>
          <w:tcPr>
            <w:tcW w:w="3443" w:type="pct"/>
            <w:tcBorders>
              <w:top w:val="nil"/>
              <w:left w:val="nil"/>
              <w:bottom w:val="nil"/>
              <w:right w:val="nil"/>
            </w:tcBorders>
            <w:shd w:val="clear" w:color="000000" w:fill="FFFFFF"/>
            <w:vAlign w:val="bottom"/>
          </w:tcPr>
          <w:p w14:paraId="3C9DC55B"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Employee Expenses</w:t>
            </w:r>
          </w:p>
        </w:tc>
        <w:tc>
          <w:tcPr>
            <w:tcW w:w="626" w:type="pct"/>
            <w:tcBorders>
              <w:top w:val="nil"/>
              <w:left w:val="nil"/>
              <w:bottom w:val="nil"/>
              <w:right w:val="nil"/>
            </w:tcBorders>
            <w:shd w:val="clear" w:color="000000" w:fill="FFFFFF"/>
            <w:vAlign w:val="bottom"/>
          </w:tcPr>
          <w:p w14:paraId="0BA90EB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color w:val="auto"/>
                <w:sz w:val="18"/>
                <w:szCs w:val="18"/>
                <w:lang w:val="en-AU" w:eastAsia="en-US"/>
              </w:rPr>
              <w:t xml:space="preserve">         </w:t>
            </w:r>
          </w:p>
        </w:tc>
        <w:tc>
          <w:tcPr>
            <w:tcW w:w="305" w:type="pct"/>
            <w:tcBorders>
              <w:top w:val="nil"/>
              <w:left w:val="nil"/>
              <w:bottom w:val="nil"/>
              <w:right w:val="nil"/>
            </w:tcBorders>
            <w:shd w:val="clear" w:color="000000" w:fill="FFFFFF"/>
            <w:vAlign w:val="bottom"/>
          </w:tcPr>
          <w:p w14:paraId="6FA6B7C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single" w:sz="4" w:space="0" w:color="auto"/>
              <w:left w:val="nil"/>
              <w:bottom w:val="nil"/>
              <w:right w:val="nil"/>
            </w:tcBorders>
            <w:shd w:val="clear" w:color="000000" w:fill="FFFFFF"/>
            <w:vAlign w:val="bottom"/>
          </w:tcPr>
          <w:p w14:paraId="69E6498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r>
      <w:tr w:rsidR="00717BA5" w:rsidRPr="00717BA5" w14:paraId="6E3D1425" w14:textId="77777777" w:rsidTr="00F0752D">
        <w:trPr>
          <w:trHeight w:val="20"/>
        </w:trPr>
        <w:tc>
          <w:tcPr>
            <w:tcW w:w="3443" w:type="pct"/>
            <w:tcBorders>
              <w:top w:val="nil"/>
              <w:left w:val="nil"/>
              <w:bottom w:val="nil"/>
              <w:right w:val="nil"/>
            </w:tcBorders>
            <w:shd w:val="clear" w:color="000000" w:fill="FFFFFF"/>
            <w:vAlign w:val="bottom"/>
          </w:tcPr>
          <w:p w14:paraId="272080A7"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Wages and Salaries</w:t>
            </w:r>
          </w:p>
        </w:tc>
        <w:tc>
          <w:tcPr>
            <w:tcW w:w="626" w:type="pct"/>
            <w:tcBorders>
              <w:top w:val="nil"/>
              <w:left w:val="nil"/>
              <w:bottom w:val="nil"/>
              <w:right w:val="nil"/>
            </w:tcBorders>
            <w:shd w:val="clear" w:color="000000" w:fill="FFFFFF"/>
            <w:vAlign w:val="bottom"/>
          </w:tcPr>
          <w:p w14:paraId="24F44B1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4,064 </w:t>
            </w:r>
          </w:p>
        </w:tc>
        <w:tc>
          <w:tcPr>
            <w:tcW w:w="305" w:type="pct"/>
            <w:tcBorders>
              <w:top w:val="nil"/>
              <w:left w:val="nil"/>
              <w:bottom w:val="nil"/>
              <w:right w:val="nil"/>
            </w:tcBorders>
            <w:shd w:val="clear" w:color="000000" w:fill="FFFFFF"/>
            <w:vAlign w:val="bottom"/>
          </w:tcPr>
          <w:p w14:paraId="4AF111E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vAlign w:val="bottom"/>
          </w:tcPr>
          <w:p w14:paraId="1D48003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4,154</w:t>
            </w:r>
          </w:p>
        </w:tc>
      </w:tr>
      <w:tr w:rsidR="00717BA5" w:rsidRPr="00717BA5" w14:paraId="73DEBC34" w14:textId="77777777" w:rsidTr="00F0752D">
        <w:trPr>
          <w:trHeight w:val="20"/>
        </w:trPr>
        <w:tc>
          <w:tcPr>
            <w:tcW w:w="3443" w:type="pct"/>
            <w:tcBorders>
              <w:top w:val="nil"/>
              <w:left w:val="nil"/>
              <w:bottom w:val="nil"/>
              <w:right w:val="nil"/>
            </w:tcBorders>
            <w:shd w:val="clear" w:color="000000" w:fill="FFFFFF"/>
            <w:vAlign w:val="bottom"/>
          </w:tcPr>
          <w:p w14:paraId="383ACB4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Superannuation Expense</w:t>
            </w:r>
          </w:p>
        </w:tc>
        <w:tc>
          <w:tcPr>
            <w:tcW w:w="626" w:type="pct"/>
            <w:tcBorders>
              <w:top w:val="nil"/>
              <w:left w:val="nil"/>
              <w:bottom w:val="nil"/>
              <w:right w:val="nil"/>
            </w:tcBorders>
            <w:shd w:val="clear" w:color="000000" w:fill="FFFFFF"/>
            <w:vAlign w:val="bottom"/>
          </w:tcPr>
          <w:p w14:paraId="4296063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701 </w:t>
            </w:r>
          </w:p>
        </w:tc>
        <w:tc>
          <w:tcPr>
            <w:tcW w:w="305" w:type="pct"/>
            <w:tcBorders>
              <w:top w:val="nil"/>
              <w:left w:val="nil"/>
              <w:bottom w:val="nil"/>
              <w:right w:val="nil"/>
            </w:tcBorders>
            <w:shd w:val="clear" w:color="000000" w:fill="FFFFFF"/>
            <w:vAlign w:val="bottom"/>
          </w:tcPr>
          <w:p w14:paraId="107848A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vAlign w:val="bottom"/>
          </w:tcPr>
          <w:p w14:paraId="71876FF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663</w:t>
            </w:r>
          </w:p>
        </w:tc>
      </w:tr>
      <w:tr w:rsidR="00717BA5" w:rsidRPr="00717BA5" w14:paraId="7C154167" w14:textId="77777777" w:rsidTr="00F0752D">
        <w:trPr>
          <w:trHeight w:val="20"/>
        </w:trPr>
        <w:tc>
          <w:tcPr>
            <w:tcW w:w="3443" w:type="pct"/>
            <w:tcBorders>
              <w:top w:val="nil"/>
              <w:left w:val="nil"/>
              <w:bottom w:val="nil"/>
              <w:right w:val="nil"/>
            </w:tcBorders>
            <w:shd w:val="clear" w:color="000000" w:fill="FFFFFF"/>
            <w:vAlign w:val="bottom"/>
          </w:tcPr>
          <w:p w14:paraId="42E70BB4" w14:textId="77777777" w:rsidR="00717BA5" w:rsidRPr="00717BA5" w:rsidRDefault="00717BA5" w:rsidP="00717BA5">
            <w:pPr>
              <w:spacing w:after="0" w:line="240" w:lineRule="auto"/>
              <w:rPr>
                <w:rFonts w:ascii="Arial" w:eastAsia="Times New Roman" w:hAnsi="Arial" w:cs="Arial"/>
                <w:color w:val="auto"/>
                <w:sz w:val="18"/>
                <w:szCs w:val="18"/>
                <w:lang w:val="en-AU"/>
              </w:rPr>
            </w:pPr>
            <w:proofErr w:type="spellStart"/>
            <w:r w:rsidRPr="00717BA5">
              <w:rPr>
                <w:rFonts w:ascii="Arial" w:eastAsia="Times New Roman" w:hAnsi="Arial" w:cs="Arial"/>
                <w:color w:val="auto"/>
                <w:sz w:val="18"/>
                <w:szCs w:val="18"/>
                <w:lang w:val="en-AU"/>
              </w:rPr>
              <w:t>Flextime</w:t>
            </w:r>
            <w:proofErr w:type="spellEnd"/>
            <w:r w:rsidRPr="00717BA5">
              <w:rPr>
                <w:rFonts w:ascii="Arial" w:eastAsia="Times New Roman" w:hAnsi="Arial" w:cs="Arial"/>
                <w:color w:val="auto"/>
                <w:sz w:val="18"/>
                <w:szCs w:val="18"/>
                <w:lang w:val="en-AU"/>
              </w:rPr>
              <w:t xml:space="preserve"> expense</w:t>
            </w:r>
          </w:p>
        </w:tc>
        <w:tc>
          <w:tcPr>
            <w:tcW w:w="626" w:type="pct"/>
            <w:tcBorders>
              <w:top w:val="nil"/>
              <w:left w:val="nil"/>
              <w:bottom w:val="nil"/>
              <w:right w:val="nil"/>
            </w:tcBorders>
            <w:shd w:val="clear" w:color="000000" w:fill="FFFFFF"/>
            <w:vAlign w:val="bottom"/>
          </w:tcPr>
          <w:p w14:paraId="34B8D92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41 </w:t>
            </w:r>
          </w:p>
        </w:tc>
        <w:tc>
          <w:tcPr>
            <w:tcW w:w="305" w:type="pct"/>
            <w:tcBorders>
              <w:top w:val="nil"/>
              <w:left w:val="nil"/>
              <w:bottom w:val="nil"/>
              <w:right w:val="nil"/>
            </w:tcBorders>
            <w:shd w:val="clear" w:color="000000" w:fill="FFFFFF"/>
            <w:vAlign w:val="bottom"/>
          </w:tcPr>
          <w:p w14:paraId="326E673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shd w:val="clear" w:color="000000" w:fill="FFFFFF"/>
            <w:vAlign w:val="bottom"/>
          </w:tcPr>
          <w:p w14:paraId="507A3A2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33</w:t>
            </w:r>
          </w:p>
        </w:tc>
      </w:tr>
      <w:tr w:rsidR="00717BA5" w:rsidRPr="00717BA5" w14:paraId="07DAA936" w14:textId="77777777" w:rsidTr="00F0752D">
        <w:trPr>
          <w:trHeight w:val="20"/>
        </w:trPr>
        <w:tc>
          <w:tcPr>
            <w:tcW w:w="3443" w:type="pct"/>
            <w:tcBorders>
              <w:top w:val="nil"/>
              <w:left w:val="nil"/>
              <w:right w:val="nil"/>
            </w:tcBorders>
            <w:shd w:val="clear" w:color="000000" w:fill="FFFFFF"/>
            <w:vAlign w:val="bottom"/>
          </w:tcPr>
          <w:p w14:paraId="567B13D0"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Annual Leave Expense</w:t>
            </w:r>
          </w:p>
        </w:tc>
        <w:tc>
          <w:tcPr>
            <w:tcW w:w="626" w:type="pct"/>
            <w:tcBorders>
              <w:top w:val="nil"/>
              <w:left w:val="nil"/>
              <w:right w:val="nil"/>
            </w:tcBorders>
            <w:shd w:val="clear" w:color="000000" w:fill="FFFFFF"/>
            <w:vAlign w:val="bottom"/>
          </w:tcPr>
          <w:p w14:paraId="4AB3F51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407 </w:t>
            </w:r>
          </w:p>
        </w:tc>
        <w:tc>
          <w:tcPr>
            <w:tcW w:w="305" w:type="pct"/>
            <w:tcBorders>
              <w:top w:val="nil"/>
              <w:left w:val="nil"/>
              <w:right w:val="nil"/>
            </w:tcBorders>
            <w:shd w:val="clear" w:color="000000" w:fill="FFFFFF"/>
            <w:vAlign w:val="bottom"/>
          </w:tcPr>
          <w:p w14:paraId="74CE6E1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right w:val="nil"/>
            </w:tcBorders>
            <w:shd w:val="clear" w:color="000000" w:fill="FFFFFF"/>
            <w:vAlign w:val="bottom"/>
          </w:tcPr>
          <w:p w14:paraId="2E62301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96</w:t>
            </w:r>
          </w:p>
        </w:tc>
      </w:tr>
      <w:tr w:rsidR="00717BA5" w:rsidRPr="00717BA5" w14:paraId="33F6BCA8" w14:textId="77777777" w:rsidTr="00F0752D">
        <w:trPr>
          <w:trHeight w:val="20"/>
        </w:trPr>
        <w:tc>
          <w:tcPr>
            <w:tcW w:w="3443" w:type="pct"/>
            <w:tcBorders>
              <w:top w:val="nil"/>
              <w:left w:val="nil"/>
              <w:right w:val="nil"/>
            </w:tcBorders>
            <w:shd w:val="clear" w:color="000000" w:fill="FFFFFF"/>
            <w:vAlign w:val="bottom"/>
          </w:tcPr>
          <w:p w14:paraId="6A9A367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 Expense</w:t>
            </w:r>
          </w:p>
        </w:tc>
        <w:tc>
          <w:tcPr>
            <w:tcW w:w="626" w:type="pct"/>
            <w:tcBorders>
              <w:top w:val="nil"/>
              <w:left w:val="nil"/>
              <w:right w:val="nil"/>
            </w:tcBorders>
            <w:shd w:val="clear" w:color="000000" w:fill="FFFFFF"/>
            <w:vAlign w:val="bottom"/>
          </w:tcPr>
          <w:p w14:paraId="39282F6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96 </w:t>
            </w:r>
          </w:p>
        </w:tc>
        <w:tc>
          <w:tcPr>
            <w:tcW w:w="305" w:type="pct"/>
            <w:tcBorders>
              <w:top w:val="nil"/>
              <w:left w:val="nil"/>
              <w:right w:val="nil"/>
            </w:tcBorders>
            <w:shd w:val="clear" w:color="000000" w:fill="FFFFFF"/>
            <w:vAlign w:val="bottom"/>
          </w:tcPr>
          <w:p w14:paraId="55AF306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right w:val="nil"/>
            </w:tcBorders>
            <w:shd w:val="clear" w:color="000000" w:fill="FFFFFF"/>
            <w:vAlign w:val="bottom"/>
          </w:tcPr>
          <w:p w14:paraId="3CE18D4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(21)</w:t>
            </w:r>
          </w:p>
        </w:tc>
      </w:tr>
      <w:tr w:rsidR="00717BA5" w:rsidRPr="00717BA5" w14:paraId="2AF8F4CE" w14:textId="77777777" w:rsidTr="00F0752D">
        <w:trPr>
          <w:trHeight w:val="20"/>
        </w:trPr>
        <w:tc>
          <w:tcPr>
            <w:tcW w:w="3443" w:type="pct"/>
            <w:tcBorders>
              <w:top w:val="nil"/>
              <w:left w:val="nil"/>
              <w:right w:val="nil"/>
            </w:tcBorders>
            <w:shd w:val="clear" w:color="000000" w:fill="FFFFFF"/>
            <w:vAlign w:val="bottom"/>
          </w:tcPr>
          <w:p w14:paraId="1BB0524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Compensation Insurance Premium</w:t>
            </w:r>
          </w:p>
        </w:tc>
        <w:tc>
          <w:tcPr>
            <w:tcW w:w="626" w:type="pct"/>
            <w:tcBorders>
              <w:top w:val="nil"/>
              <w:left w:val="nil"/>
              <w:right w:val="nil"/>
            </w:tcBorders>
            <w:shd w:val="clear" w:color="000000" w:fill="FFFFFF"/>
            <w:vAlign w:val="bottom"/>
          </w:tcPr>
          <w:p w14:paraId="565107B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48 </w:t>
            </w:r>
          </w:p>
        </w:tc>
        <w:tc>
          <w:tcPr>
            <w:tcW w:w="305" w:type="pct"/>
            <w:tcBorders>
              <w:top w:val="nil"/>
              <w:left w:val="nil"/>
              <w:right w:val="nil"/>
            </w:tcBorders>
            <w:shd w:val="clear" w:color="000000" w:fill="FFFFFF"/>
            <w:vAlign w:val="bottom"/>
          </w:tcPr>
          <w:p w14:paraId="7DA1F1D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right w:val="nil"/>
            </w:tcBorders>
            <w:shd w:val="clear" w:color="000000" w:fill="FFFFFF"/>
            <w:vAlign w:val="bottom"/>
          </w:tcPr>
          <w:p w14:paraId="48C7905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48</w:t>
            </w:r>
          </w:p>
        </w:tc>
      </w:tr>
      <w:tr w:rsidR="00717BA5" w:rsidRPr="00717BA5" w14:paraId="2361CFC3" w14:textId="77777777" w:rsidTr="00F0752D">
        <w:trPr>
          <w:trHeight w:val="20"/>
        </w:trPr>
        <w:tc>
          <w:tcPr>
            <w:tcW w:w="3443" w:type="pct"/>
            <w:tcBorders>
              <w:left w:val="nil"/>
              <w:bottom w:val="nil"/>
              <w:right w:val="nil"/>
            </w:tcBorders>
            <w:shd w:val="clear" w:color="000000" w:fill="FFFFFF"/>
            <w:vAlign w:val="bottom"/>
          </w:tcPr>
          <w:p w14:paraId="2BD45A34"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FBT Expense</w:t>
            </w:r>
          </w:p>
        </w:tc>
        <w:tc>
          <w:tcPr>
            <w:tcW w:w="626" w:type="pct"/>
            <w:tcBorders>
              <w:left w:val="nil"/>
              <w:bottom w:val="single" w:sz="4" w:space="0" w:color="auto"/>
              <w:right w:val="nil"/>
            </w:tcBorders>
            <w:shd w:val="clear" w:color="000000" w:fill="FFFFFF"/>
            <w:vAlign w:val="bottom"/>
          </w:tcPr>
          <w:p w14:paraId="0C954EC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xml:space="preserve">               5 </w:t>
            </w:r>
          </w:p>
        </w:tc>
        <w:tc>
          <w:tcPr>
            <w:tcW w:w="305" w:type="pct"/>
            <w:tcBorders>
              <w:left w:val="nil"/>
              <w:bottom w:val="nil"/>
              <w:right w:val="nil"/>
            </w:tcBorders>
            <w:shd w:val="clear" w:color="000000" w:fill="FFFFFF"/>
            <w:vAlign w:val="bottom"/>
          </w:tcPr>
          <w:p w14:paraId="56FC635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left w:val="nil"/>
              <w:bottom w:val="single" w:sz="4" w:space="0" w:color="auto"/>
              <w:right w:val="nil"/>
            </w:tcBorders>
            <w:shd w:val="clear" w:color="000000" w:fill="FFFFFF"/>
            <w:vAlign w:val="bottom"/>
          </w:tcPr>
          <w:p w14:paraId="2B7ADC4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w:t>
            </w:r>
          </w:p>
        </w:tc>
      </w:tr>
      <w:tr w:rsidR="00717BA5" w:rsidRPr="00717BA5" w14:paraId="0EAFF177" w14:textId="77777777" w:rsidTr="00F0752D">
        <w:trPr>
          <w:trHeight w:val="20"/>
        </w:trPr>
        <w:tc>
          <w:tcPr>
            <w:tcW w:w="3443" w:type="pct"/>
            <w:tcBorders>
              <w:left w:val="nil"/>
              <w:right w:val="nil"/>
            </w:tcBorders>
            <w:shd w:val="clear" w:color="000000" w:fill="FFFFFF"/>
            <w:vAlign w:val="bottom"/>
          </w:tcPr>
          <w:p w14:paraId="7A6C2D40" w14:textId="5AE62DD2"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Employee Expenses</w:t>
            </w:r>
            <w:r w:rsidR="00162A48">
              <w:rPr>
                <w:rFonts w:ascii="ZWAdobeF" w:eastAsia="Times New Roman" w:hAnsi="ZWAdobeF" w:cs="ZWAdobeF"/>
                <w:bCs/>
                <w:color w:val="auto"/>
                <w:sz w:val="2"/>
                <w:szCs w:val="2"/>
                <w:lang w:val="en-AU"/>
              </w:rPr>
              <w:t>5F</w:t>
            </w:r>
            <w:r w:rsidRPr="00717BA5">
              <w:rPr>
                <w:rFonts w:ascii="Arial" w:eastAsia="Times New Roman" w:hAnsi="Arial" w:cs="Arial"/>
                <w:b/>
                <w:bCs/>
                <w:color w:val="auto"/>
                <w:sz w:val="18"/>
                <w:szCs w:val="18"/>
                <w:vertAlign w:val="superscript"/>
                <w:lang w:val="en-AU"/>
              </w:rPr>
              <w:footnoteReference w:id="7"/>
            </w:r>
          </w:p>
        </w:tc>
        <w:tc>
          <w:tcPr>
            <w:tcW w:w="626" w:type="pct"/>
            <w:tcBorders>
              <w:top w:val="single" w:sz="4" w:space="0" w:color="auto"/>
              <w:left w:val="nil"/>
              <w:bottom w:val="double" w:sz="4" w:space="0" w:color="auto"/>
              <w:right w:val="nil"/>
            </w:tcBorders>
            <w:shd w:val="clear" w:color="000000" w:fill="FFFFFF"/>
            <w:vAlign w:val="bottom"/>
          </w:tcPr>
          <w:p w14:paraId="2310E00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5,363 </w:t>
            </w:r>
          </w:p>
        </w:tc>
        <w:tc>
          <w:tcPr>
            <w:tcW w:w="305" w:type="pct"/>
            <w:tcBorders>
              <w:left w:val="nil"/>
              <w:right w:val="nil"/>
            </w:tcBorders>
            <w:shd w:val="clear" w:color="000000" w:fill="FFFFFF"/>
            <w:vAlign w:val="bottom"/>
          </w:tcPr>
          <w:p w14:paraId="596FE022" w14:textId="77777777" w:rsidR="00717BA5" w:rsidRPr="00717BA5" w:rsidRDefault="00717BA5" w:rsidP="00717BA5">
            <w:pPr>
              <w:spacing w:before="60" w:after="0" w:line="240" w:lineRule="auto"/>
              <w:jc w:val="right"/>
              <w:rPr>
                <w:rFonts w:ascii="Arial" w:eastAsia="Times New Roman" w:hAnsi="Arial" w:cs="Arial"/>
                <w:b/>
                <w:bCs/>
                <w:color w:val="auto"/>
                <w:sz w:val="18"/>
                <w:szCs w:val="18"/>
                <w:lang w:val="en-AU"/>
              </w:rPr>
            </w:pPr>
          </w:p>
        </w:tc>
        <w:tc>
          <w:tcPr>
            <w:tcW w:w="626" w:type="pct"/>
            <w:tcBorders>
              <w:top w:val="single" w:sz="4" w:space="0" w:color="auto"/>
              <w:left w:val="nil"/>
              <w:bottom w:val="double" w:sz="4" w:space="0" w:color="auto"/>
              <w:right w:val="nil"/>
            </w:tcBorders>
            <w:shd w:val="clear" w:color="000000" w:fill="FFFFFF"/>
            <w:vAlign w:val="bottom"/>
          </w:tcPr>
          <w:p w14:paraId="33F665E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4,978</w:t>
            </w:r>
          </w:p>
        </w:tc>
      </w:tr>
      <w:tr w:rsidR="00717BA5" w:rsidRPr="00717BA5" w14:paraId="136F47BB" w14:textId="77777777" w:rsidTr="00F0752D">
        <w:trPr>
          <w:trHeight w:val="20"/>
        </w:trPr>
        <w:tc>
          <w:tcPr>
            <w:tcW w:w="3443" w:type="pct"/>
            <w:tcBorders>
              <w:top w:val="nil"/>
              <w:left w:val="nil"/>
              <w:bottom w:val="nil"/>
              <w:right w:val="nil"/>
            </w:tcBorders>
            <w:shd w:val="clear" w:color="000000" w:fill="FFFFFF"/>
            <w:vAlign w:val="bottom"/>
          </w:tcPr>
          <w:p w14:paraId="0ECF0B98"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26" w:type="pct"/>
            <w:tcBorders>
              <w:top w:val="double" w:sz="4" w:space="0" w:color="auto"/>
              <w:left w:val="nil"/>
              <w:bottom w:val="nil"/>
              <w:right w:val="nil"/>
            </w:tcBorders>
            <w:shd w:val="clear" w:color="000000" w:fill="FFFFFF"/>
            <w:vAlign w:val="bottom"/>
          </w:tcPr>
          <w:p w14:paraId="37FC83E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top w:val="nil"/>
              <w:left w:val="nil"/>
              <w:bottom w:val="nil"/>
              <w:right w:val="nil"/>
            </w:tcBorders>
            <w:shd w:val="clear" w:color="000000" w:fill="FFFFFF"/>
            <w:vAlign w:val="bottom"/>
          </w:tcPr>
          <w:p w14:paraId="6D5C61B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double" w:sz="4" w:space="0" w:color="auto"/>
              <w:left w:val="nil"/>
              <w:bottom w:val="nil"/>
              <w:right w:val="nil"/>
            </w:tcBorders>
            <w:shd w:val="clear" w:color="000000" w:fill="FFFFFF"/>
            <w:vAlign w:val="bottom"/>
          </w:tcPr>
          <w:p w14:paraId="0C1EC4C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123D4C8" w14:textId="77777777" w:rsidTr="00F0752D">
        <w:trPr>
          <w:trHeight w:val="20"/>
        </w:trPr>
        <w:tc>
          <w:tcPr>
            <w:tcW w:w="3443" w:type="pct"/>
            <w:tcBorders>
              <w:top w:val="nil"/>
              <w:left w:val="nil"/>
              <w:bottom w:val="nil"/>
              <w:right w:val="nil"/>
            </w:tcBorders>
            <w:shd w:val="clear" w:color="000000" w:fill="FFFFFF"/>
            <w:vAlign w:val="bottom"/>
          </w:tcPr>
          <w:p w14:paraId="2F1F9113"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26" w:type="pct"/>
            <w:tcBorders>
              <w:top w:val="nil"/>
              <w:left w:val="nil"/>
              <w:right w:val="nil"/>
            </w:tcBorders>
            <w:shd w:val="clear" w:color="000000" w:fill="FFFFFF"/>
            <w:vAlign w:val="bottom"/>
          </w:tcPr>
          <w:p w14:paraId="690D4BF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Number</w:t>
            </w:r>
          </w:p>
        </w:tc>
        <w:tc>
          <w:tcPr>
            <w:tcW w:w="305" w:type="pct"/>
            <w:tcBorders>
              <w:top w:val="nil"/>
              <w:left w:val="nil"/>
              <w:bottom w:val="nil"/>
              <w:right w:val="nil"/>
            </w:tcBorders>
            <w:shd w:val="clear" w:color="000000" w:fill="FFFFFF"/>
            <w:vAlign w:val="bottom"/>
          </w:tcPr>
          <w:p w14:paraId="3E27EFD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nil"/>
              <w:left w:val="nil"/>
              <w:right w:val="nil"/>
            </w:tcBorders>
            <w:shd w:val="clear" w:color="000000" w:fill="FFFFFF"/>
            <w:vAlign w:val="bottom"/>
          </w:tcPr>
          <w:p w14:paraId="1D28CBE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Number</w:t>
            </w:r>
          </w:p>
        </w:tc>
      </w:tr>
      <w:tr w:rsidR="00717BA5" w:rsidRPr="00717BA5" w14:paraId="737D5049" w14:textId="77777777" w:rsidTr="00F0752D">
        <w:trPr>
          <w:trHeight w:val="20"/>
        </w:trPr>
        <w:tc>
          <w:tcPr>
            <w:tcW w:w="3443" w:type="pct"/>
            <w:tcBorders>
              <w:top w:val="nil"/>
              <w:left w:val="nil"/>
              <w:right w:val="nil"/>
            </w:tcBorders>
            <w:shd w:val="clear" w:color="000000" w:fill="FFFFFF"/>
            <w:vAlign w:val="bottom"/>
          </w:tcPr>
          <w:p w14:paraId="16A6D167" w14:textId="77777777" w:rsidR="00717BA5" w:rsidRPr="00717BA5" w:rsidRDefault="00717BA5" w:rsidP="00717BA5">
            <w:pPr>
              <w:spacing w:before="60"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Average Staffing Levels</w:t>
            </w:r>
          </w:p>
        </w:tc>
        <w:tc>
          <w:tcPr>
            <w:tcW w:w="626" w:type="pct"/>
            <w:tcBorders>
              <w:top w:val="nil"/>
              <w:left w:val="nil"/>
              <w:bottom w:val="double" w:sz="4" w:space="0" w:color="auto"/>
              <w:right w:val="nil"/>
            </w:tcBorders>
            <w:shd w:val="clear" w:color="000000" w:fill="FFFFFF"/>
            <w:vAlign w:val="bottom"/>
          </w:tcPr>
          <w:p w14:paraId="18BC209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40.1 </w:t>
            </w:r>
          </w:p>
        </w:tc>
        <w:tc>
          <w:tcPr>
            <w:tcW w:w="305" w:type="pct"/>
            <w:tcBorders>
              <w:top w:val="nil"/>
              <w:left w:val="nil"/>
              <w:right w:val="nil"/>
            </w:tcBorders>
            <w:shd w:val="clear" w:color="000000" w:fill="FFFFFF"/>
            <w:vAlign w:val="bottom"/>
          </w:tcPr>
          <w:p w14:paraId="043B990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nil"/>
              <w:left w:val="nil"/>
              <w:bottom w:val="double" w:sz="4" w:space="0" w:color="auto"/>
              <w:right w:val="nil"/>
            </w:tcBorders>
            <w:shd w:val="clear" w:color="000000" w:fill="FFFFFF"/>
            <w:vAlign w:val="bottom"/>
          </w:tcPr>
          <w:p w14:paraId="7D6A564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36.1</w:t>
            </w:r>
          </w:p>
        </w:tc>
      </w:tr>
    </w:tbl>
    <w:p w14:paraId="297E0704" w14:textId="77777777" w:rsidR="00717BA5" w:rsidRPr="00717BA5" w:rsidRDefault="00717BA5" w:rsidP="00717BA5">
      <w:pPr>
        <w:spacing w:after="0" w:line="240" w:lineRule="auto"/>
        <w:rPr>
          <w:rFonts w:ascii="Arial" w:eastAsia="SimSun" w:hAnsi="Arial" w:cs="Arial"/>
          <w:color w:val="auto"/>
          <w:lang w:val="en-AU" w:eastAsia="en-US"/>
        </w:rPr>
      </w:pPr>
    </w:p>
    <w:p w14:paraId="62E00017" w14:textId="77777777" w:rsidR="00717BA5" w:rsidRPr="00717BA5" w:rsidRDefault="00717BA5" w:rsidP="00717BA5">
      <w:pPr>
        <w:spacing w:after="0" w:line="240" w:lineRule="auto"/>
        <w:rPr>
          <w:rFonts w:ascii="Arial" w:eastAsia="SimSun" w:hAnsi="Arial" w:cs="Arial"/>
          <w:color w:val="auto"/>
          <w:lang w:val="en-AU" w:eastAsia="en-US"/>
        </w:rPr>
      </w:pPr>
    </w:p>
    <w:p w14:paraId="467051D0" w14:textId="77777777" w:rsidR="00717BA5" w:rsidRPr="00717BA5" w:rsidRDefault="00717BA5" w:rsidP="00992D57">
      <w:pPr>
        <w:pStyle w:val="Heading5"/>
      </w:pPr>
      <w:r w:rsidRPr="00717BA5">
        <w:t>NOTE 9.   SUPPLIES AND SERVICES</w:t>
      </w:r>
    </w:p>
    <w:p w14:paraId="5DFF8223" w14:textId="77777777" w:rsidR="00717BA5" w:rsidRPr="00717BA5" w:rsidRDefault="00717BA5" w:rsidP="00717BA5">
      <w:pPr>
        <w:spacing w:after="120" w:line="240" w:lineRule="auto"/>
        <w:jc w:val="both"/>
        <w:rPr>
          <w:rFonts w:ascii="Arial" w:eastAsia="Times New Roman" w:hAnsi="Arial" w:cs="Arial"/>
          <w:b/>
          <w:bCs/>
          <w:color w:val="auto"/>
          <w:lang w:val="en-AU"/>
        </w:rPr>
      </w:pPr>
      <w:bookmarkStart w:id="96" w:name="_Hlk101968776"/>
      <w:r w:rsidRPr="00717BA5">
        <w:rPr>
          <w:rFonts w:ascii="Arial" w:eastAsia="Times New Roman" w:hAnsi="Arial" w:cs="Arial"/>
          <w:b/>
          <w:bCs/>
          <w:color w:val="auto"/>
          <w:lang w:val="en-AU"/>
        </w:rPr>
        <w:t>Description and Material Accounting Policies Relating to Supplies and Services</w:t>
      </w:r>
    </w:p>
    <w:p w14:paraId="2E304FEF"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General – Supplies and Services</w:t>
      </w:r>
    </w:p>
    <w:p w14:paraId="0E7747CA"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Purchases of Supplies and Services generally represent the day-to-day running costs incurred in normal operations, recognised in the reporting period in which these expenses are incurred.</w:t>
      </w:r>
      <w:r w:rsidRPr="00717BA5">
        <w:rPr>
          <w:rFonts w:ascii="Arial" w:eastAsia="Times New Roman" w:hAnsi="Arial" w:cs="Calibri"/>
          <w:color w:val="auto"/>
          <w:lang w:val="en-AU"/>
        </w:rPr>
        <w:t xml:space="preserve"> Supplies and Services are measured at the amount paid or payable, or where Supplies and Services have been provided free of charge, they are measured at their fair value at the time they are provided.</w:t>
      </w:r>
    </w:p>
    <w:p w14:paraId="1109BA32"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Migration to ACT Government Network</w:t>
      </w:r>
    </w:p>
    <w:p w14:paraId="3D38D147"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In December 2025, ACT Leave commenced a project with Digital Canberra to migrate ACT Leave’s systems and data to the ACT Government’s Network. Project costs are associated </w:t>
      </w:r>
      <w:r w:rsidRPr="00717BA5">
        <w:rPr>
          <w:rFonts w:ascii="Arial" w:eastAsia="Times New Roman" w:hAnsi="Arial" w:cs="Calibri"/>
          <w:color w:val="auto"/>
          <w:lang w:val="en-AU"/>
        </w:rPr>
        <w:t>with implementing ACT Government’s standard network infrastructure, equipment/devices, modernisation of physical security controls and migration of ACT Leave’s corporate files and data. The migration to the ACT Government network was completed in March 2026.</w:t>
      </w:r>
    </w:p>
    <w:p w14:paraId="47C164B6"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Computer Consumables and Programming</w:t>
      </w:r>
    </w:p>
    <w:p w14:paraId="614184BD"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Computer Consumables and Programming relate to </w:t>
      </w:r>
      <w:r w:rsidRPr="00717BA5">
        <w:rPr>
          <w:rFonts w:ascii="Arial" w:eastAsia="Times New Roman" w:hAnsi="Arial" w:cs="Calibri"/>
          <w:color w:val="auto"/>
          <w:lang w:val="en-AU"/>
        </w:rPr>
        <w:t>licence, hosting and maintenance costs of the administration system and other computer software and support.</w:t>
      </w:r>
    </w:p>
    <w:p w14:paraId="298E32B5"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Consultants and Contractors</w:t>
      </w:r>
    </w:p>
    <w:p w14:paraId="4F3C20BF"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Consultants and Contractors relate to internal audit activities carried out by external consultants, and business improvement projects.</w:t>
      </w:r>
    </w:p>
    <w:p w14:paraId="50C114CE"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1A47FF60" w14:textId="77777777" w:rsidR="00717BA5" w:rsidRPr="00717BA5" w:rsidRDefault="00717BA5" w:rsidP="00717BA5">
      <w:pPr>
        <w:spacing w:after="120" w:line="240" w:lineRule="auto"/>
        <w:jc w:val="both"/>
        <w:rPr>
          <w:rFonts w:ascii="Arial" w:eastAsia="Times New Roman" w:hAnsi="Arial" w:cs="Arial"/>
          <w:caps/>
          <w:color w:val="auto"/>
          <w:sz w:val="18"/>
          <w:szCs w:val="18"/>
          <w:lang w:val="en-AU"/>
        </w:rPr>
      </w:pPr>
    </w:p>
    <w:p w14:paraId="571CC5DD" w14:textId="77777777" w:rsidR="00717BA5" w:rsidRPr="00717BA5" w:rsidRDefault="00717BA5" w:rsidP="00717BA5">
      <w:pPr>
        <w:spacing w:after="0" w:line="240" w:lineRule="auto"/>
        <w:rPr>
          <w:rFonts w:ascii="Arial" w:eastAsia="Times New Roman" w:hAnsi="Arial" w:cs="Arial"/>
          <w:b/>
          <w:bCs/>
          <w:color w:val="auto"/>
          <w:sz w:val="24"/>
          <w:szCs w:val="24"/>
          <w:lang w:val="en-AU" w:eastAsia="en-US"/>
        </w:rPr>
      </w:pPr>
      <w:r w:rsidRPr="00717BA5">
        <w:rPr>
          <w:rFonts w:ascii="Arial" w:eastAsia="SimSun" w:hAnsi="Arial" w:cs="Arial"/>
          <w:i/>
          <w:iCs/>
          <w:color w:val="auto"/>
          <w:sz w:val="24"/>
          <w:szCs w:val="24"/>
          <w:lang w:val="en-AU" w:eastAsia="en-US"/>
        </w:rPr>
        <w:br w:type="page"/>
      </w:r>
    </w:p>
    <w:p w14:paraId="05DF8DC6" w14:textId="77777777" w:rsidR="00717BA5" w:rsidRPr="00717BA5" w:rsidRDefault="00717BA5" w:rsidP="00992D57">
      <w:pPr>
        <w:pStyle w:val="Heading5"/>
        <w:rPr>
          <w:i/>
        </w:rPr>
      </w:pPr>
      <w:r w:rsidRPr="00717BA5">
        <w:lastRenderedPageBreak/>
        <w:t>NOTE 9.   SUPPLIES AND SERVICES - CONTINUED</w:t>
      </w:r>
    </w:p>
    <w:p w14:paraId="6C4E9A47"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Auditors Service Fees</w:t>
      </w:r>
    </w:p>
    <w:p w14:paraId="1E817C39"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Auditor’s remuneration consists of financial audit services provided to </w:t>
      </w:r>
      <w:r w:rsidRPr="00717BA5">
        <w:rPr>
          <w:rFonts w:ascii="Arial" w:eastAsia="Times New Roman" w:hAnsi="Arial" w:cs="Calibri"/>
          <w:color w:val="auto"/>
          <w:lang w:val="en-AU"/>
        </w:rPr>
        <w:t>ACT Leave by the ACT Audit Office. ACT Leave’s audit fee for the audit of its 2025-26 financial statements and review of its statement of performance was $118,315 ($107,357 in 2024-25). No other services were provided by the ACT Audit Office.</w:t>
      </w:r>
    </w:p>
    <w:bookmarkEnd w:id="96"/>
    <w:tbl>
      <w:tblPr>
        <w:tblW w:w="5029" w:type="pct"/>
        <w:tblLook w:val="04A0" w:firstRow="1" w:lastRow="0" w:firstColumn="1" w:lastColumn="0" w:noHBand="0" w:noVBand="1"/>
      </w:tblPr>
      <w:tblGrid>
        <w:gridCol w:w="7105"/>
        <w:gridCol w:w="1259"/>
        <w:gridCol w:w="418"/>
        <w:gridCol w:w="1225"/>
      </w:tblGrid>
      <w:tr w:rsidR="00717BA5" w:rsidRPr="00717BA5" w14:paraId="350405A2" w14:textId="77777777" w:rsidTr="00F0752D">
        <w:trPr>
          <w:trHeight w:val="278"/>
        </w:trPr>
        <w:tc>
          <w:tcPr>
            <w:tcW w:w="3550" w:type="pct"/>
            <w:tcBorders>
              <w:top w:val="nil"/>
              <w:left w:val="nil"/>
              <w:right w:val="nil"/>
            </w:tcBorders>
            <w:shd w:val="clear" w:color="000000" w:fill="FFFFFF"/>
            <w:vAlign w:val="bottom"/>
          </w:tcPr>
          <w:p w14:paraId="688755DF"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29" w:type="pct"/>
            <w:tcBorders>
              <w:top w:val="nil"/>
              <w:left w:val="nil"/>
              <w:bottom w:val="nil"/>
              <w:right w:val="nil"/>
            </w:tcBorders>
            <w:shd w:val="clear" w:color="000000" w:fill="FFFFFF"/>
            <w:noWrap/>
            <w:vAlign w:val="bottom"/>
          </w:tcPr>
          <w:p w14:paraId="2AF62A9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209" w:type="pct"/>
            <w:tcBorders>
              <w:top w:val="nil"/>
              <w:left w:val="nil"/>
              <w:bottom w:val="nil"/>
              <w:right w:val="nil"/>
            </w:tcBorders>
            <w:shd w:val="clear" w:color="000000" w:fill="FFFFFF"/>
            <w:vAlign w:val="bottom"/>
          </w:tcPr>
          <w:p w14:paraId="40CC05B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12" w:type="pct"/>
            <w:tcBorders>
              <w:top w:val="nil"/>
              <w:left w:val="nil"/>
              <w:bottom w:val="nil"/>
              <w:right w:val="nil"/>
            </w:tcBorders>
            <w:shd w:val="clear" w:color="000000" w:fill="FFFFFF"/>
            <w:vAlign w:val="bottom"/>
          </w:tcPr>
          <w:p w14:paraId="6E04462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139CBB18" w14:textId="77777777" w:rsidTr="00F0752D">
        <w:trPr>
          <w:trHeight w:val="278"/>
        </w:trPr>
        <w:tc>
          <w:tcPr>
            <w:tcW w:w="3550" w:type="pct"/>
            <w:tcBorders>
              <w:top w:val="nil"/>
              <w:left w:val="nil"/>
              <w:right w:val="nil"/>
            </w:tcBorders>
            <w:shd w:val="clear" w:color="000000" w:fill="FFFFFF"/>
            <w:vAlign w:val="bottom"/>
          </w:tcPr>
          <w:p w14:paraId="7658EBFE"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29" w:type="pct"/>
            <w:tcBorders>
              <w:top w:val="nil"/>
              <w:left w:val="nil"/>
              <w:bottom w:val="single" w:sz="4" w:space="0" w:color="auto"/>
              <w:right w:val="nil"/>
            </w:tcBorders>
            <w:shd w:val="clear" w:color="000000" w:fill="FFFFFF"/>
            <w:noWrap/>
            <w:vAlign w:val="bottom"/>
          </w:tcPr>
          <w:p w14:paraId="4C626EC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209" w:type="pct"/>
            <w:tcBorders>
              <w:top w:val="nil"/>
              <w:left w:val="nil"/>
              <w:right w:val="nil"/>
            </w:tcBorders>
            <w:shd w:val="clear" w:color="000000" w:fill="FFFFFF"/>
            <w:vAlign w:val="bottom"/>
          </w:tcPr>
          <w:p w14:paraId="77418E4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12" w:type="pct"/>
            <w:tcBorders>
              <w:top w:val="nil"/>
              <w:left w:val="nil"/>
              <w:bottom w:val="single" w:sz="4" w:space="0" w:color="auto"/>
              <w:right w:val="nil"/>
            </w:tcBorders>
            <w:shd w:val="clear" w:color="000000" w:fill="FFFFFF"/>
            <w:vAlign w:val="bottom"/>
          </w:tcPr>
          <w:p w14:paraId="28FD2C6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475CE565" w14:textId="77777777" w:rsidTr="00F0752D">
        <w:trPr>
          <w:trHeight w:val="278"/>
        </w:trPr>
        <w:tc>
          <w:tcPr>
            <w:tcW w:w="3550" w:type="pct"/>
            <w:tcBorders>
              <w:top w:val="nil"/>
              <w:left w:val="nil"/>
              <w:bottom w:val="nil"/>
              <w:right w:val="nil"/>
            </w:tcBorders>
            <w:shd w:val="clear" w:color="000000" w:fill="FFFFFF"/>
            <w:vAlign w:val="bottom"/>
          </w:tcPr>
          <w:p w14:paraId="7EC2351F"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Supplies and Services</w:t>
            </w:r>
          </w:p>
        </w:tc>
        <w:tc>
          <w:tcPr>
            <w:tcW w:w="629" w:type="pct"/>
            <w:tcBorders>
              <w:top w:val="nil"/>
              <w:left w:val="nil"/>
              <w:bottom w:val="nil"/>
              <w:right w:val="nil"/>
            </w:tcBorders>
            <w:shd w:val="clear" w:color="000000" w:fill="FFFFFF"/>
            <w:vAlign w:val="bottom"/>
          </w:tcPr>
          <w:p w14:paraId="7B7CE94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09" w:type="pct"/>
            <w:tcBorders>
              <w:top w:val="nil"/>
              <w:left w:val="nil"/>
              <w:bottom w:val="nil"/>
              <w:right w:val="nil"/>
            </w:tcBorders>
            <w:shd w:val="clear" w:color="000000" w:fill="FFFFFF"/>
            <w:vAlign w:val="bottom"/>
          </w:tcPr>
          <w:p w14:paraId="020F701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shd w:val="clear" w:color="000000" w:fill="FFFFFF"/>
            <w:vAlign w:val="bottom"/>
          </w:tcPr>
          <w:p w14:paraId="254AF31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93BECF1" w14:textId="77777777" w:rsidTr="00F0752D">
        <w:trPr>
          <w:trHeight w:val="20"/>
        </w:trPr>
        <w:tc>
          <w:tcPr>
            <w:tcW w:w="3550" w:type="pct"/>
            <w:tcBorders>
              <w:top w:val="nil"/>
              <w:left w:val="nil"/>
              <w:bottom w:val="nil"/>
              <w:right w:val="nil"/>
            </w:tcBorders>
            <w:shd w:val="clear" w:color="000000" w:fill="FFFFFF"/>
          </w:tcPr>
          <w:p w14:paraId="51D91FF8"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Consultants and Contractors</w:t>
            </w:r>
          </w:p>
        </w:tc>
        <w:tc>
          <w:tcPr>
            <w:tcW w:w="629" w:type="pct"/>
            <w:tcBorders>
              <w:top w:val="nil"/>
              <w:left w:val="nil"/>
              <w:bottom w:val="nil"/>
              <w:right w:val="nil"/>
            </w:tcBorders>
            <w:shd w:val="clear" w:color="000000" w:fill="FFFFFF"/>
            <w:noWrap/>
            <w:vAlign w:val="bottom"/>
          </w:tcPr>
          <w:p w14:paraId="11AC437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624</w:t>
            </w:r>
          </w:p>
        </w:tc>
        <w:tc>
          <w:tcPr>
            <w:tcW w:w="209" w:type="pct"/>
            <w:tcBorders>
              <w:top w:val="nil"/>
              <w:left w:val="nil"/>
              <w:bottom w:val="nil"/>
              <w:right w:val="nil"/>
            </w:tcBorders>
            <w:shd w:val="clear" w:color="000000" w:fill="FFFFFF"/>
            <w:vAlign w:val="bottom"/>
          </w:tcPr>
          <w:p w14:paraId="18A5D673"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2D20AA8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714</w:t>
            </w:r>
          </w:p>
        </w:tc>
      </w:tr>
      <w:tr w:rsidR="00717BA5" w:rsidRPr="00717BA5" w14:paraId="20A2BE09" w14:textId="77777777" w:rsidTr="00F0752D">
        <w:trPr>
          <w:trHeight w:val="20"/>
        </w:trPr>
        <w:tc>
          <w:tcPr>
            <w:tcW w:w="3550" w:type="pct"/>
            <w:tcBorders>
              <w:top w:val="nil"/>
              <w:left w:val="nil"/>
              <w:bottom w:val="nil"/>
              <w:right w:val="nil"/>
            </w:tcBorders>
            <w:shd w:val="clear" w:color="000000" w:fill="FFFFFF"/>
          </w:tcPr>
          <w:p w14:paraId="6AFDADD8"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Computer Consumables and Programming</w:t>
            </w:r>
          </w:p>
        </w:tc>
        <w:tc>
          <w:tcPr>
            <w:tcW w:w="629" w:type="pct"/>
            <w:tcBorders>
              <w:top w:val="nil"/>
              <w:left w:val="nil"/>
              <w:bottom w:val="nil"/>
              <w:right w:val="nil"/>
            </w:tcBorders>
            <w:shd w:val="clear" w:color="000000" w:fill="FFFFFF"/>
            <w:noWrap/>
            <w:vAlign w:val="bottom"/>
          </w:tcPr>
          <w:p w14:paraId="21031E9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408</w:t>
            </w:r>
          </w:p>
        </w:tc>
        <w:tc>
          <w:tcPr>
            <w:tcW w:w="209" w:type="pct"/>
            <w:tcBorders>
              <w:top w:val="nil"/>
              <w:left w:val="nil"/>
              <w:bottom w:val="nil"/>
              <w:right w:val="nil"/>
            </w:tcBorders>
            <w:shd w:val="clear" w:color="000000" w:fill="FFFFFF"/>
            <w:vAlign w:val="bottom"/>
          </w:tcPr>
          <w:p w14:paraId="0FB89E7C"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38A4AD8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441</w:t>
            </w:r>
          </w:p>
        </w:tc>
      </w:tr>
      <w:tr w:rsidR="00717BA5" w:rsidRPr="00717BA5" w14:paraId="35453166" w14:textId="77777777" w:rsidTr="00F0752D">
        <w:trPr>
          <w:trHeight w:val="20"/>
        </w:trPr>
        <w:tc>
          <w:tcPr>
            <w:tcW w:w="3550" w:type="pct"/>
            <w:tcBorders>
              <w:top w:val="nil"/>
              <w:left w:val="nil"/>
              <w:bottom w:val="nil"/>
              <w:right w:val="nil"/>
            </w:tcBorders>
            <w:shd w:val="clear" w:color="000000" w:fill="FFFFFF"/>
          </w:tcPr>
          <w:p w14:paraId="1E612182" w14:textId="4B78ADC0" w:rsidR="00717BA5" w:rsidRPr="00717BA5" w:rsidRDefault="00717BA5" w:rsidP="00717BA5">
            <w:pPr>
              <w:spacing w:after="100" w:afterAutospacing="1"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Administration System Implementation</w:t>
            </w:r>
            <w:r w:rsidR="00162A48">
              <w:rPr>
                <w:rFonts w:ascii="ZWAdobeF" w:eastAsia="SimSun" w:hAnsi="ZWAdobeF" w:cs="ZWAdobeF"/>
                <w:color w:val="auto"/>
                <w:sz w:val="2"/>
                <w:szCs w:val="2"/>
                <w:lang w:val="en-AU" w:eastAsia="en-US"/>
              </w:rPr>
              <w:t>6F</w:t>
            </w:r>
            <w:r w:rsidRPr="00717BA5">
              <w:rPr>
                <w:rFonts w:ascii="Arial" w:eastAsia="SimSun" w:hAnsi="Arial" w:cs="Arial"/>
                <w:color w:val="auto"/>
                <w:sz w:val="18"/>
                <w:szCs w:val="18"/>
                <w:vertAlign w:val="superscript"/>
                <w:lang w:val="en-AU" w:eastAsia="en-US"/>
              </w:rPr>
              <w:footnoteReference w:id="8"/>
            </w:r>
          </w:p>
        </w:tc>
        <w:tc>
          <w:tcPr>
            <w:tcW w:w="629" w:type="pct"/>
            <w:tcBorders>
              <w:top w:val="nil"/>
              <w:left w:val="nil"/>
              <w:bottom w:val="nil"/>
              <w:right w:val="nil"/>
            </w:tcBorders>
            <w:shd w:val="clear" w:color="000000" w:fill="FFFFFF"/>
            <w:noWrap/>
            <w:vAlign w:val="bottom"/>
          </w:tcPr>
          <w:p w14:paraId="0F4F419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c>
          <w:tcPr>
            <w:tcW w:w="209" w:type="pct"/>
            <w:tcBorders>
              <w:top w:val="nil"/>
              <w:left w:val="nil"/>
              <w:bottom w:val="nil"/>
              <w:right w:val="nil"/>
            </w:tcBorders>
            <w:shd w:val="clear" w:color="000000" w:fill="FFFFFF"/>
            <w:vAlign w:val="bottom"/>
          </w:tcPr>
          <w:p w14:paraId="6E93C44C"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35DE894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590</w:t>
            </w:r>
          </w:p>
        </w:tc>
      </w:tr>
      <w:tr w:rsidR="00717BA5" w:rsidRPr="00717BA5" w14:paraId="6BA5807F" w14:textId="77777777" w:rsidTr="00F0752D">
        <w:trPr>
          <w:trHeight w:val="20"/>
        </w:trPr>
        <w:tc>
          <w:tcPr>
            <w:tcW w:w="3550" w:type="pct"/>
            <w:tcBorders>
              <w:top w:val="nil"/>
              <w:left w:val="nil"/>
              <w:bottom w:val="nil"/>
              <w:right w:val="nil"/>
            </w:tcBorders>
            <w:shd w:val="clear" w:color="000000" w:fill="FFFFFF"/>
          </w:tcPr>
          <w:p w14:paraId="3A84F045" w14:textId="4A397049"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ACT Government Network Migration</w:t>
            </w:r>
            <w:r w:rsidR="00FC0A57">
              <w:rPr>
                <w:rFonts w:ascii="ZWAdobeF" w:eastAsia="SimSun" w:hAnsi="ZWAdobeF" w:cs="ZWAdobeF"/>
                <w:color w:val="auto"/>
                <w:sz w:val="2"/>
                <w:szCs w:val="2"/>
                <w:lang w:val="en-AU" w:eastAsia="en-US"/>
              </w:rPr>
              <w:t>7F</w:t>
            </w:r>
            <w:r w:rsidRPr="00717BA5">
              <w:rPr>
                <w:rFonts w:ascii="Arial" w:eastAsia="SimSun" w:hAnsi="Arial" w:cs="Arial"/>
                <w:color w:val="auto"/>
                <w:sz w:val="18"/>
                <w:szCs w:val="18"/>
                <w:vertAlign w:val="superscript"/>
                <w:lang w:val="en-AU" w:eastAsia="en-US"/>
              </w:rPr>
              <w:footnoteReference w:id="9"/>
            </w:r>
          </w:p>
        </w:tc>
        <w:tc>
          <w:tcPr>
            <w:tcW w:w="629" w:type="pct"/>
            <w:tcBorders>
              <w:top w:val="nil"/>
              <w:left w:val="nil"/>
              <w:bottom w:val="nil"/>
              <w:right w:val="nil"/>
            </w:tcBorders>
            <w:shd w:val="clear" w:color="000000" w:fill="FFFFFF"/>
            <w:noWrap/>
            <w:vAlign w:val="bottom"/>
          </w:tcPr>
          <w:p w14:paraId="1902553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315</w:t>
            </w:r>
          </w:p>
        </w:tc>
        <w:tc>
          <w:tcPr>
            <w:tcW w:w="209" w:type="pct"/>
            <w:tcBorders>
              <w:top w:val="nil"/>
              <w:left w:val="nil"/>
              <w:bottom w:val="nil"/>
              <w:right w:val="nil"/>
            </w:tcBorders>
            <w:shd w:val="clear" w:color="000000" w:fill="FFFFFF"/>
            <w:vAlign w:val="bottom"/>
          </w:tcPr>
          <w:p w14:paraId="098C0A22"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5C6D641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r>
      <w:tr w:rsidR="00717BA5" w:rsidRPr="00717BA5" w14:paraId="1DAB7DD1" w14:textId="77777777" w:rsidTr="00F0752D">
        <w:trPr>
          <w:trHeight w:val="20"/>
        </w:trPr>
        <w:tc>
          <w:tcPr>
            <w:tcW w:w="3550" w:type="pct"/>
            <w:tcBorders>
              <w:top w:val="nil"/>
              <w:left w:val="nil"/>
              <w:bottom w:val="nil"/>
              <w:right w:val="nil"/>
            </w:tcBorders>
            <w:shd w:val="clear" w:color="000000" w:fill="FFFFFF"/>
          </w:tcPr>
          <w:p w14:paraId="473F868A" w14:textId="77777777" w:rsidR="00717BA5" w:rsidRPr="00717BA5" w:rsidRDefault="00717BA5" w:rsidP="00717BA5">
            <w:pPr>
              <w:spacing w:after="100" w:afterAutospacing="1"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External Audit Fees</w:t>
            </w:r>
          </w:p>
        </w:tc>
        <w:tc>
          <w:tcPr>
            <w:tcW w:w="629" w:type="pct"/>
            <w:tcBorders>
              <w:top w:val="nil"/>
              <w:left w:val="nil"/>
              <w:bottom w:val="nil"/>
              <w:right w:val="nil"/>
            </w:tcBorders>
            <w:shd w:val="clear" w:color="000000" w:fill="FFFFFF"/>
            <w:noWrap/>
            <w:vAlign w:val="bottom"/>
          </w:tcPr>
          <w:p w14:paraId="6B19467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118</w:t>
            </w:r>
          </w:p>
        </w:tc>
        <w:tc>
          <w:tcPr>
            <w:tcW w:w="209" w:type="pct"/>
            <w:tcBorders>
              <w:top w:val="nil"/>
              <w:left w:val="nil"/>
              <w:bottom w:val="nil"/>
              <w:right w:val="nil"/>
            </w:tcBorders>
            <w:shd w:val="clear" w:color="000000" w:fill="FFFFFF"/>
            <w:vAlign w:val="bottom"/>
          </w:tcPr>
          <w:p w14:paraId="43B0C6AD"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6FC2C27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107</w:t>
            </w:r>
          </w:p>
        </w:tc>
      </w:tr>
      <w:tr w:rsidR="00717BA5" w:rsidRPr="00717BA5" w14:paraId="6C417897" w14:textId="77777777" w:rsidTr="00F0752D">
        <w:trPr>
          <w:trHeight w:val="20"/>
        </w:trPr>
        <w:tc>
          <w:tcPr>
            <w:tcW w:w="3550" w:type="pct"/>
            <w:tcBorders>
              <w:top w:val="nil"/>
              <w:left w:val="nil"/>
              <w:bottom w:val="nil"/>
              <w:right w:val="nil"/>
            </w:tcBorders>
            <w:shd w:val="clear" w:color="000000" w:fill="FFFFFF"/>
          </w:tcPr>
          <w:p w14:paraId="57067718"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Actuarial Charges</w:t>
            </w:r>
          </w:p>
        </w:tc>
        <w:tc>
          <w:tcPr>
            <w:tcW w:w="629" w:type="pct"/>
            <w:tcBorders>
              <w:top w:val="nil"/>
              <w:left w:val="nil"/>
              <w:bottom w:val="nil"/>
              <w:right w:val="nil"/>
            </w:tcBorders>
            <w:shd w:val="clear" w:color="000000" w:fill="FFFFFF"/>
            <w:noWrap/>
            <w:vAlign w:val="bottom"/>
          </w:tcPr>
          <w:p w14:paraId="2E13A81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117</w:t>
            </w:r>
          </w:p>
        </w:tc>
        <w:tc>
          <w:tcPr>
            <w:tcW w:w="209" w:type="pct"/>
            <w:tcBorders>
              <w:top w:val="nil"/>
              <w:left w:val="nil"/>
              <w:bottom w:val="nil"/>
              <w:right w:val="nil"/>
            </w:tcBorders>
            <w:shd w:val="clear" w:color="000000" w:fill="FFFFFF"/>
            <w:vAlign w:val="bottom"/>
          </w:tcPr>
          <w:p w14:paraId="43244210"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6107332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87</w:t>
            </w:r>
          </w:p>
        </w:tc>
      </w:tr>
      <w:tr w:rsidR="00717BA5" w:rsidRPr="00717BA5" w14:paraId="3EADAC86" w14:textId="77777777" w:rsidTr="00F0752D">
        <w:trPr>
          <w:trHeight w:val="20"/>
        </w:trPr>
        <w:tc>
          <w:tcPr>
            <w:tcW w:w="3550" w:type="pct"/>
            <w:tcBorders>
              <w:top w:val="nil"/>
              <w:left w:val="nil"/>
              <w:bottom w:val="nil"/>
              <w:right w:val="nil"/>
            </w:tcBorders>
            <w:shd w:val="clear" w:color="000000" w:fill="FFFFFF"/>
          </w:tcPr>
          <w:p w14:paraId="26BC1F82"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Board Member Fees</w:t>
            </w:r>
          </w:p>
        </w:tc>
        <w:tc>
          <w:tcPr>
            <w:tcW w:w="629" w:type="pct"/>
            <w:tcBorders>
              <w:top w:val="nil"/>
              <w:left w:val="nil"/>
              <w:bottom w:val="nil"/>
              <w:right w:val="nil"/>
            </w:tcBorders>
            <w:shd w:val="clear" w:color="000000" w:fill="FFFFFF"/>
            <w:noWrap/>
            <w:vAlign w:val="bottom"/>
          </w:tcPr>
          <w:p w14:paraId="1A11926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107</w:t>
            </w:r>
          </w:p>
        </w:tc>
        <w:tc>
          <w:tcPr>
            <w:tcW w:w="209" w:type="pct"/>
            <w:tcBorders>
              <w:top w:val="nil"/>
              <w:left w:val="nil"/>
              <w:bottom w:val="nil"/>
              <w:right w:val="nil"/>
            </w:tcBorders>
            <w:shd w:val="clear" w:color="000000" w:fill="FFFFFF"/>
            <w:vAlign w:val="bottom"/>
          </w:tcPr>
          <w:p w14:paraId="2F291FAE"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57B10F8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87</w:t>
            </w:r>
          </w:p>
        </w:tc>
      </w:tr>
      <w:tr w:rsidR="00717BA5" w:rsidRPr="00717BA5" w14:paraId="5CBE867B" w14:textId="77777777" w:rsidTr="00F0752D">
        <w:trPr>
          <w:trHeight w:val="20"/>
        </w:trPr>
        <w:tc>
          <w:tcPr>
            <w:tcW w:w="3550" w:type="pct"/>
            <w:tcBorders>
              <w:top w:val="nil"/>
              <w:left w:val="nil"/>
              <w:bottom w:val="nil"/>
              <w:right w:val="nil"/>
            </w:tcBorders>
            <w:shd w:val="clear" w:color="000000" w:fill="FFFFFF"/>
          </w:tcPr>
          <w:p w14:paraId="27C05B89"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Utilities and Office Expenses</w:t>
            </w:r>
          </w:p>
        </w:tc>
        <w:tc>
          <w:tcPr>
            <w:tcW w:w="629" w:type="pct"/>
            <w:tcBorders>
              <w:top w:val="nil"/>
              <w:left w:val="nil"/>
              <w:bottom w:val="nil"/>
              <w:right w:val="nil"/>
            </w:tcBorders>
            <w:shd w:val="clear" w:color="000000" w:fill="FFFFFF"/>
            <w:noWrap/>
            <w:vAlign w:val="bottom"/>
          </w:tcPr>
          <w:p w14:paraId="19845BD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94</w:t>
            </w:r>
          </w:p>
        </w:tc>
        <w:tc>
          <w:tcPr>
            <w:tcW w:w="209" w:type="pct"/>
            <w:tcBorders>
              <w:top w:val="nil"/>
              <w:left w:val="nil"/>
              <w:bottom w:val="nil"/>
              <w:right w:val="nil"/>
            </w:tcBorders>
            <w:shd w:val="clear" w:color="000000" w:fill="FFFFFF"/>
            <w:vAlign w:val="bottom"/>
          </w:tcPr>
          <w:p w14:paraId="05C4A62C"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64278FA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86</w:t>
            </w:r>
          </w:p>
        </w:tc>
      </w:tr>
      <w:tr w:rsidR="00717BA5" w:rsidRPr="00717BA5" w14:paraId="67109088" w14:textId="77777777" w:rsidTr="00F0752D">
        <w:trPr>
          <w:trHeight w:val="20"/>
        </w:trPr>
        <w:tc>
          <w:tcPr>
            <w:tcW w:w="3550" w:type="pct"/>
            <w:tcBorders>
              <w:top w:val="nil"/>
              <w:left w:val="nil"/>
              <w:bottom w:val="nil"/>
              <w:right w:val="nil"/>
            </w:tcBorders>
            <w:shd w:val="clear" w:color="000000" w:fill="FFFFFF"/>
          </w:tcPr>
          <w:p w14:paraId="1439F8D9"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Subscriptions</w:t>
            </w:r>
          </w:p>
        </w:tc>
        <w:tc>
          <w:tcPr>
            <w:tcW w:w="629" w:type="pct"/>
            <w:tcBorders>
              <w:top w:val="nil"/>
              <w:left w:val="nil"/>
              <w:bottom w:val="nil"/>
              <w:right w:val="nil"/>
            </w:tcBorders>
            <w:shd w:val="clear" w:color="000000" w:fill="FFFFFF"/>
            <w:noWrap/>
            <w:vAlign w:val="bottom"/>
          </w:tcPr>
          <w:p w14:paraId="0F0C605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75</w:t>
            </w:r>
          </w:p>
        </w:tc>
        <w:tc>
          <w:tcPr>
            <w:tcW w:w="209" w:type="pct"/>
            <w:tcBorders>
              <w:top w:val="nil"/>
              <w:left w:val="nil"/>
              <w:bottom w:val="nil"/>
              <w:right w:val="nil"/>
            </w:tcBorders>
            <w:shd w:val="clear" w:color="000000" w:fill="FFFFFF"/>
            <w:vAlign w:val="bottom"/>
          </w:tcPr>
          <w:p w14:paraId="68D8DCB1"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6297728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99</w:t>
            </w:r>
          </w:p>
        </w:tc>
      </w:tr>
      <w:tr w:rsidR="00717BA5" w:rsidRPr="00717BA5" w14:paraId="24642C07" w14:textId="77777777" w:rsidTr="00F0752D">
        <w:trPr>
          <w:trHeight w:val="20"/>
        </w:trPr>
        <w:tc>
          <w:tcPr>
            <w:tcW w:w="3550" w:type="pct"/>
            <w:tcBorders>
              <w:top w:val="nil"/>
              <w:left w:val="nil"/>
              <w:bottom w:val="nil"/>
              <w:right w:val="nil"/>
            </w:tcBorders>
            <w:shd w:val="clear" w:color="000000" w:fill="FFFFFF"/>
          </w:tcPr>
          <w:p w14:paraId="0185B12A"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Staff Training</w:t>
            </w:r>
          </w:p>
        </w:tc>
        <w:tc>
          <w:tcPr>
            <w:tcW w:w="629" w:type="pct"/>
            <w:tcBorders>
              <w:top w:val="nil"/>
              <w:left w:val="nil"/>
              <w:bottom w:val="nil"/>
              <w:right w:val="nil"/>
            </w:tcBorders>
            <w:shd w:val="clear" w:color="000000" w:fill="FFFFFF"/>
            <w:noWrap/>
            <w:vAlign w:val="bottom"/>
          </w:tcPr>
          <w:p w14:paraId="00EA402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44</w:t>
            </w:r>
          </w:p>
        </w:tc>
        <w:tc>
          <w:tcPr>
            <w:tcW w:w="209" w:type="pct"/>
            <w:tcBorders>
              <w:top w:val="nil"/>
              <w:left w:val="nil"/>
              <w:bottom w:val="nil"/>
              <w:right w:val="nil"/>
            </w:tcBorders>
            <w:shd w:val="clear" w:color="000000" w:fill="FFFFFF"/>
            <w:vAlign w:val="bottom"/>
          </w:tcPr>
          <w:p w14:paraId="35AAB104"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7055BDE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28</w:t>
            </w:r>
          </w:p>
        </w:tc>
      </w:tr>
      <w:tr w:rsidR="00717BA5" w:rsidRPr="00717BA5" w14:paraId="352BAE9F" w14:textId="77777777" w:rsidTr="00F0752D">
        <w:trPr>
          <w:trHeight w:val="20"/>
        </w:trPr>
        <w:tc>
          <w:tcPr>
            <w:tcW w:w="3550" w:type="pct"/>
            <w:tcBorders>
              <w:top w:val="nil"/>
              <w:left w:val="nil"/>
              <w:bottom w:val="nil"/>
              <w:right w:val="nil"/>
            </w:tcBorders>
            <w:shd w:val="clear" w:color="000000" w:fill="FFFFFF"/>
          </w:tcPr>
          <w:p w14:paraId="31F9D6FE"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Postage</w:t>
            </w:r>
          </w:p>
        </w:tc>
        <w:tc>
          <w:tcPr>
            <w:tcW w:w="629" w:type="pct"/>
            <w:tcBorders>
              <w:top w:val="nil"/>
              <w:left w:val="nil"/>
              <w:bottom w:val="nil"/>
              <w:right w:val="nil"/>
            </w:tcBorders>
            <w:shd w:val="clear" w:color="000000" w:fill="FFFFFF"/>
            <w:noWrap/>
            <w:vAlign w:val="bottom"/>
          </w:tcPr>
          <w:p w14:paraId="58B9AEE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42</w:t>
            </w:r>
          </w:p>
        </w:tc>
        <w:tc>
          <w:tcPr>
            <w:tcW w:w="209" w:type="pct"/>
            <w:tcBorders>
              <w:top w:val="nil"/>
              <w:left w:val="nil"/>
              <w:bottom w:val="nil"/>
              <w:right w:val="nil"/>
            </w:tcBorders>
            <w:shd w:val="clear" w:color="000000" w:fill="FFFFFF"/>
            <w:vAlign w:val="bottom"/>
          </w:tcPr>
          <w:p w14:paraId="6678C670"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426198B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63</w:t>
            </w:r>
          </w:p>
        </w:tc>
      </w:tr>
      <w:tr w:rsidR="00717BA5" w:rsidRPr="00717BA5" w14:paraId="7EC0A643" w14:textId="77777777" w:rsidTr="00F0752D">
        <w:trPr>
          <w:trHeight w:val="20"/>
        </w:trPr>
        <w:tc>
          <w:tcPr>
            <w:tcW w:w="3550" w:type="pct"/>
            <w:tcBorders>
              <w:top w:val="nil"/>
              <w:left w:val="nil"/>
              <w:bottom w:val="nil"/>
              <w:right w:val="nil"/>
            </w:tcBorders>
            <w:shd w:val="clear" w:color="000000" w:fill="FFFFFF"/>
          </w:tcPr>
          <w:p w14:paraId="67D6C7F3"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Advertising</w:t>
            </w:r>
          </w:p>
        </w:tc>
        <w:tc>
          <w:tcPr>
            <w:tcW w:w="629" w:type="pct"/>
            <w:tcBorders>
              <w:top w:val="nil"/>
              <w:left w:val="nil"/>
              <w:bottom w:val="nil"/>
              <w:right w:val="nil"/>
            </w:tcBorders>
            <w:shd w:val="clear" w:color="000000" w:fill="FFFFFF"/>
            <w:noWrap/>
            <w:vAlign w:val="bottom"/>
          </w:tcPr>
          <w:p w14:paraId="35C1AC5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38</w:t>
            </w:r>
          </w:p>
        </w:tc>
        <w:tc>
          <w:tcPr>
            <w:tcW w:w="209" w:type="pct"/>
            <w:tcBorders>
              <w:top w:val="nil"/>
              <w:left w:val="nil"/>
              <w:bottom w:val="nil"/>
              <w:right w:val="nil"/>
            </w:tcBorders>
            <w:shd w:val="clear" w:color="000000" w:fill="FFFFFF"/>
            <w:vAlign w:val="bottom"/>
          </w:tcPr>
          <w:p w14:paraId="61FD5122"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4E1E62C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89</w:t>
            </w:r>
          </w:p>
        </w:tc>
      </w:tr>
      <w:tr w:rsidR="00717BA5" w:rsidRPr="00717BA5" w14:paraId="11C77BBA" w14:textId="77777777" w:rsidTr="00F0752D">
        <w:trPr>
          <w:trHeight w:val="20"/>
        </w:trPr>
        <w:tc>
          <w:tcPr>
            <w:tcW w:w="3550" w:type="pct"/>
            <w:tcBorders>
              <w:top w:val="nil"/>
              <w:left w:val="nil"/>
              <w:bottom w:val="nil"/>
              <w:right w:val="nil"/>
            </w:tcBorders>
            <w:shd w:val="clear" w:color="000000" w:fill="FFFFFF"/>
          </w:tcPr>
          <w:p w14:paraId="3FB75219"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Legal Fees</w:t>
            </w:r>
          </w:p>
        </w:tc>
        <w:tc>
          <w:tcPr>
            <w:tcW w:w="629" w:type="pct"/>
            <w:tcBorders>
              <w:top w:val="nil"/>
              <w:left w:val="nil"/>
              <w:bottom w:val="nil"/>
              <w:right w:val="nil"/>
            </w:tcBorders>
            <w:shd w:val="clear" w:color="000000" w:fill="FFFFFF"/>
            <w:noWrap/>
            <w:vAlign w:val="bottom"/>
          </w:tcPr>
          <w:p w14:paraId="76D5695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28</w:t>
            </w:r>
          </w:p>
        </w:tc>
        <w:tc>
          <w:tcPr>
            <w:tcW w:w="209" w:type="pct"/>
            <w:tcBorders>
              <w:top w:val="nil"/>
              <w:left w:val="nil"/>
              <w:bottom w:val="nil"/>
              <w:right w:val="nil"/>
            </w:tcBorders>
            <w:shd w:val="clear" w:color="000000" w:fill="FFFFFF"/>
            <w:vAlign w:val="bottom"/>
          </w:tcPr>
          <w:p w14:paraId="7437FE48"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232306C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12</w:t>
            </w:r>
          </w:p>
        </w:tc>
      </w:tr>
      <w:tr w:rsidR="00717BA5" w:rsidRPr="00717BA5" w14:paraId="255C9071" w14:textId="77777777" w:rsidTr="00F0752D">
        <w:trPr>
          <w:trHeight w:val="20"/>
        </w:trPr>
        <w:tc>
          <w:tcPr>
            <w:tcW w:w="3550" w:type="pct"/>
            <w:tcBorders>
              <w:top w:val="nil"/>
              <w:left w:val="nil"/>
              <w:bottom w:val="nil"/>
              <w:right w:val="nil"/>
            </w:tcBorders>
            <w:shd w:val="clear" w:color="000000" w:fill="FFFFFF"/>
          </w:tcPr>
          <w:p w14:paraId="2CE23EFA" w14:textId="77777777" w:rsidR="00717BA5" w:rsidRPr="00717BA5" w:rsidRDefault="00717BA5" w:rsidP="00717BA5">
            <w:pPr>
              <w:spacing w:after="100" w:afterAutospacing="1"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Debt Collection</w:t>
            </w:r>
          </w:p>
        </w:tc>
        <w:tc>
          <w:tcPr>
            <w:tcW w:w="629" w:type="pct"/>
            <w:tcBorders>
              <w:top w:val="nil"/>
              <w:left w:val="nil"/>
              <w:bottom w:val="nil"/>
              <w:right w:val="nil"/>
            </w:tcBorders>
            <w:shd w:val="clear" w:color="000000" w:fill="FFFFFF"/>
            <w:noWrap/>
            <w:vAlign w:val="bottom"/>
          </w:tcPr>
          <w:p w14:paraId="7E96BD5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19</w:t>
            </w:r>
          </w:p>
        </w:tc>
        <w:tc>
          <w:tcPr>
            <w:tcW w:w="209" w:type="pct"/>
            <w:tcBorders>
              <w:top w:val="nil"/>
              <w:left w:val="nil"/>
              <w:bottom w:val="nil"/>
              <w:right w:val="nil"/>
            </w:tcBorders>
            <w:shd w:val="clear" w:color="000000" w:fill="FFFFFF"/>
            <w:vAlign w:val="bottom"/>
          </w:tcPr>
          <w:p w14:paraId="77EA4EC7"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72DD0D8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18</w:t>
            </w:r>
          </w:p>
        </w:tc>
      </w:tr>
      <w:tr w:rsidR="00717BA5" w:rsidRPr="00717BA5" w14:paraId="68B6C2F8" w14:textId="77777777" w:rsidTr="00F0752D">
        <w:trPr>
          <w:trHeight w:val="20"/>
        </w:trPr>
        <w:tc>
          <w:tcPr>
            <w:tcW w:w="3550" w:type="pct"/>
            <w:tcBorders>
              <w:top w:val="nil"/>
              <w:left w:val="nil"/>
              <w:bottom w:val="nil"/>
              <w:right w:val="nil"/>
            </w:tcBorders>
            <w:shd w:val="clear" w:color="000000" w:fill="FFFFFF"/>
          </w:tcPr>
          <w:p w14:paraId="6B1E12E5" w14:textId="77777777" w:rsidR="00717BA5" w:rsidRPr="00717BA5" w:rsidRDefault="00717BA5" w:rsidP="00717BA5">
            <w:pPr>
              <w:spacing w:after="100" w:afterAutospacing="1"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Other</w:t>
            </w:r>
          </w:p>
        </w:tc>
        <w:tc>
          <w:tcPr>
            <w:tcW w:w="629" w:type="pct"/>
            <w:tcBorders>
              <w:top w:val="nil"/>
              <w:left w:val="nil"/>
              <w:bottom w:val="nil"/>
              <w:right w:val="nil"/>
            </w:tcBorders>
            <w:shd w:val="clear" w:color="000000" w:fill="FFFFFF"/>
            <w:noWrap/>
            <w:vAlign w:val="bottom"/>
          </w:tcPr>
          <w:p w14:paraId="7BC7BED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118</w:t>
            </w:r>
          </w:p>
        </w:tc>
        <w:tc>
          <w:tcPr>
            <w:tcW w:w="209" w:type="pct"/>
            <w:tcBorders>
              <w:top w:val="nil"/>
              <w:left w:val="nil"/>
              <w:bottom w:val="nil"/>
              <w:right w:val="nil"/>
            </w:tcBorders>
            <w:shd w:val="clear" w:color="000000" w:fill="FFFFFF"/>
            <w:vAlign w:val="bottom"/>
          </w:tcPr>
          <w:p w14:paraId="38F154C9" w14:textId="77777777" w:rsidR="00717BA5" w:rsidRPr="00717BA5" w:rsidRDefault="00717BA5" w:rsidP="00717BA5">
            <w:pPr>
              <w:spacing w:after="100" w:afterAutospacing="1" w:line="240" w:lineRule="auto"/>
              <w:jc w:val="right"/>
              <w:rPr>
                <w:rFonts w:ascii="Arial" w:eastAsia="Times New Roman" w:hAnsi="Arial" w:cs="Arial"/>
                <w:color w:val="auto"/>
                <w:sz w:val="18"/>
                <w:szCs w:val="18"/>
                <w:lang w:val="en-AU"/>
              </w:rPr>
            </w:pPr>
          </w:p>
        </w:tc>
        <w:tc>
          <w:tcPr>
            <w:tcW w:w="612" w:type="pct"/>
            <w:tcBorders>
              <w:top w:val="nil"/>
              <w:left w:val="nil"/>
              <w:bottom w:val="nil"/>
              <w:right w:val="nil"/>
            </w:tcBorders>
            <w:vAlign w:val="bottom"/>
          </w:tcPr>
          <w:p w14:paraId="1D4E87A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124</w:t>
            </w:r>
          </w:p>
        </w:tc>
      </w:tr>
      <w:tr w:rsidR="00717BA5" w:rsidRPr="00717BA5" w14:paraId="37E80FF9" w14:textId="77777777" w:rsidTr="00F0752D">
        <w:trPr>
          <w:trHeight w:val="20"/>
        </w:trPr>
        <w:tc>
          <w:tcPr>
            <w:tcW w:w="3550" w:type="pct"/>
            <w:tcBorders>
              <w:left w:val="nil"/>
              <w:right w:val="nil"/>
            </w:tcBorders>
            <w:shd w:val="clear" w:color="000000" w:fill="FFFFFF"/>
            <w:vAlign w:val="bottom"/>
          </w:tcPr>
          <w:p w14:paraId="466291D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Total Supplies and Services</w:t>
            </w:r>
          </w:p>
        </w:tc>
        <w:tc>
          <w:tcPr>
            <w:tcW w:w="629" w:type="pct"/>
            <w:tcBorders>
              <w:top w:val="single" w:sz="4" w:space="0" w:color="auto"/>
              <w:left w:val="nil"/>
              <w:bottom w:val="double" w:sz="6" w:space="0" w:color="auto"/>
              <w:right w:val="nil"/>
            </w:tcBorders>
            <w:shd w:val="clear" w:color="000000" w:fill="FFFFFF"/>
            <w:noWrap/>
            <w:vAlign w:val="bottom"/>
          </w:tcPr>
          <w:p w14:paraId="4E82A91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2,147</w:t>
            </w:r>
          </w:p>
        </w:tc>
        <w:tc>
          <w:tcPr>
            <w:tcW w:w="209" w:type="pct"/>
            <w:tcBorders>
              <w:left w:val="nil"/>
              <w:right w:val="nil"/>
            </w:tcBorders>
            <w:shd w:val="clear" w:color="000000" w:fill="FFFFFF"/>
            <w:vAlign w:val="bottom"/>
          </w:tcPr>
          <w:p w14:paraId="059DE772" w14:textId="77777777" w:rsidR="00717BA5" w:rsidRPr="00717BA5" w:rsidRDefault="00717BA5" w:rsidP="00717BA5">
            <w:pPr>
              <w:spacing w:after="0" w:line="276" w:lineRule="auto"/>
              <w:jc w:val="right"/>
              <w:rPr>
                <w:rFonts w:ascii="Arial" w:eastAsia="Times New Roman" w:hAnsi="Arial" w:cs="Arial"/>
                <w:b/>
                <w:bCs/>
                <w:color w:val="auto"/>
                <w:sz w:val="18"/>
                <w:szCs w:val="18"/>
                <w:lang w:val="en-AU"/>
              </w:rPr>
            </w:pPr>
          </w:p>
        </w:tc>
        <w:tc>
          <w:tcPr>
            <w:tcW w:w="612" w:type="pct"/>
            <w:tcBorders>
              <w:top w:val="single" w:sz="4" w:space="0" w:color="auto"/>
              <w:left w:val="nil"/>
              <w:bottom w:val="double" w:sz="6" w:space="0" w:color="auto"/>
              <w:right w:val="nil"/>
            </w:tcBorders>
            <w:shd w:val="clear" w:color="000000" w:fill="FFFFFF"/>
            <w:vAlign w:val="bottom"/>
          </w:tcPr>
          <w:p w14:paraId="15C4BF3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2,545</w:t>
            </w:r>
          </w:p>
        </w:tc>
      </w:tr>
    </w:tbl>
    <w:p w14:paraId="5CB99461" w14:textId="77777777" w:rsidR="00717BA5" w:rsidRPr="00717BA5" w:rsidRDefault="00717BA5" w:rsidP="00717BA5">
      <w:pPr>
        <w:spacing w:after="0" w:line="240" w:lineRule="auto"/>
        <w:rPr>
          <w:rFonts w:ascii="Arial" w:eastAsia="SimSun" w:hAnsi="Arial" w:cs="Arial"/>
          <w:color w:val="auto"/>
          <w:lang w:val="en-AU" w:eastAsia="en-US"/>
        </w:rPr>
      </w:pPr>
    </w:p>
    <w:p w14:paraId="567E2DAC" w14:textId="77777777" w:rsidR="00717BA5" w:rsidRPr="00717BA5" w:rsidRDefault="00717BA5" w:rsidP="00717BA5">
      <w:pPr>
        <w:spacing w:after="0" w:line="240" w:lineRule="auto"/>
        <w:rPr>
          <w:rFonts w:ascii="Arial" w:eastAsia="SimSun" w:hAnsi="Arial" w:cs="Arial"/>
          <w:color w:val="auto"/>
          <w:lang w:val="en-AU" w:eastAsia="en-US"/>
        </w:rPr>
      </w:pPr>
    </w:p>
    <w:p w14:paraId="41AAF08F" w14:textId="77777777" w:rsidR="00717BA5" w:rsidRPr="00717BA5" w:rsidRDefault="00717BA5" w:rsidP="00717BA5">
      <w:pPr>
        <w:spacing w:after="0" w:line="240" w:lineRule="auto"/>
        <w:rPr>
          <w:rFonts w:ascii="Arial" w:eastAsia="Times New Roman" w:hAnsi="Arial" w:cs="Arial"/>
          <w:b/>
          <w:bCs/>
          <w:color w:val="auto"/>
          <w:sz w:val="24"/>
          <w:szCs w:val="24"/>
          <w:lang w:val="en-AU" w:eastAsia="en-US"/>
        </w:rPr>
      </w:pPr>
      <w:r w:rsidRPr="00717BA5">
        <w:rPr>
          <w:rFonts w:ascii="Arial" w:eastAsia="SimSun" w:hAnsi="Arial" w:cs="Arial"/>
          <w:i/>
          <w:iCs/>
          <w:color w:val="auto"/>
          <w:sz w:val="24"/>
          <w:szCs w:val="24"/>
          <w:lang w:val="en-AU" w:eastAsia="en-US"/>
        </w:rPr>
        <w:br w:type="page"/>
      </w:r>
    </w:p>
    <w:p w14:paraId="55DB65F4" w14:textId="77777777" w:rsidR="00717BA5" w:rsidRPr="00717BA5" w:rsidRDefault="00717BA5" w:rsidP="00992D57">
      <w:pPr>
        <w:pStyle w:val="Heading5"/>
      </w:pPr>
      <w:r w:rsidRPr="00717BA5">
        <w:lastRenderedPageBreak/>
        <w:t>NOTE 10.   OTHER EXPENSES</w:t>
      </w:r>
    </w:p>
    <w:p w14:paraId="5CE330D5" w14:textId="77777777" w:rsidR="00717BA5" w:rsidRPr="00717BA5" w:rsidRDefault="00717BA5" w:rsidP="00717BA5">
      <w:pPr>
        <w:spacing w:after="12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lang w:val="en-AU"/>
        </w:rPr>
        <w:t>Description and Material Accounting Policies Relating to Other Expenses</w:t>
      </w:r>
    </w:p>
    <w:p w14:paraId="12D54A80"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Waivers</w:t>
      </w:r>
    </w:p>
    <w:p w14:paraId="1B97D24A"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A waiver is the relinquishment of a legal claim to a debt over which </w:t>
      </w:r>
      <w:r w:rsidRPr="00717BA5">
        <w:rPr>
          <w:rFonts w:ascii="Arial" w:eastAsia="Times New Roman" w:hAnsi="Arial" w:cs="Calibri"/>
          <w:color w:val="auto"/>
          <w:lang w:val="en-AU"/>
        </w:rPr>
        <w:t>ACT Leave has control. Under section 49A(3) of the Act, the Registrar may waive late fees (penalties) associated with the failure to lodge quarterly returns.</w:t>
      </w:r>
    </w:p>
    <w:p w14:paraId="2A6B26CB"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Impairment Losses – Accounts Receivable</w:t>
      </w:r>
    </w:p>
    <w:p w14:paraId="6BBBFF47"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The impairment loss and write-off of a debt is the accounting action taken to remove a debt from the financial accounts but does not relinquish the legal right of ACT Leave to recover the amount. An assessment matrix is used to calculate the amount of lifetime expected credit loss </w:t>
      </w:r>
      <w:r w:rsidRPr="00717BA5" w:rsidDel="00E258D6">
        <w:rPr>
          <w:rFonts w:ascii="Arial" w:eastAsia="Times New Roman" w:hAnsi="Arial" w:cs="Arial"/>
          <w:color w:val="auto"/>
          <w:lang w:val="en-AU"/>
        </w:rPr>
        <w:t>which factors</w:t>
      </w:r>
      <w:r w:rsidRPr="00717BA5">
        <w:rPr>
          <w:rFonts w:ascii="Arial" w:eastAsia="Times New Roman" w:hAnsi="Arial" w:cs="Arial"/>
          <w:color w:val="auto"/>
          <w:lang w:val="en-AU"/>
        </w:rPr>
        <w:t xml:space="preserve"> practical and justifiable forward-looking information, including forecast economic changes expected to impact ACT Leave’s receivables (See Note 12 - Receivables). This method is based on the possibility of default events occurring over the lifetime of the loans.</w:t>
      </w:r>
    </w:p>
    <w:p w14:paraId="263D3637"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Impairment Losses – Non-Financial Assets</w:t>
      </w:r>
    </w:p>
    <w:p w14:paraId="1555935B"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Impairment loss expenses are recognised for both property, plant and equipment, and intangible assets when their carrying amount is higher than their recoverable amount, with the difference between the two</w:t>
      </w:r>
      <w:r w:rsidRPr="00717BA5">
        <w:rPr>
          <w:rFonts w:ascii="Arial" w:eastAsia="Times New Roman" w:hAnsi="Arial" w:cs="Calibri"/>
          <w:color w:val="auto"/>
          <w:lang w:val="en-AU"/>
        </w:rPr>
        <w:t xml:space="preserve"> estimates being the amount of the impairment loss. Impairment losses for plant and equipment, and intangible assets are recognised as an expense in the Operating Statement.</w:t>
      </w:r>
    </w:p>
    <w:p w14:paraId="0F02C674" w14:textId="77777777" w:rsidR="00717BA5" w:rsidRPr="00717BA5" w:rsidRDefault="00717BA5" w:rsidP="00717BA5">
      <w:pPr>
        <w:adjustRightInd w:val="0"/>
        <w:snapToGrid w:val="0"/>
        <w:rPr>
          <w:rFonts w:ascii="Arial" w:eastAsia="Times New Roman" w:hAnsi="Arial" w:cs="Calibri"/>
          <w:vanish/>
          <w:color w:val="auto"/>
          <w:lang w:val="en-AU"/>
        </w:rPr>
      </w:pPr>
      <w:r w:rsidRPr="00717BA5">
        <w:rPr>
          <w:rFonts w:ascii="Arial" w:eastAsia="Times New Roman" w:hAnsi="Arial" w:cs="Arial"/>
          <w:color w:val="auto"/>
          <w:lang w:val="en-AU"/>
        </w:rPr>
        <w:t>The waivers</w:t>
      </w:r>
      <w:r w:rsidRPr="00717BA5">
        <w:rPr>
          <w:rFonts w:ascii="Arial" w:eastAsia="Times New Roman" w:hAnsi="Arial" w:cs="Calibri"/>
          <w:color w:val="auto"/>
          <w:lang w:val="en-AU"/>
        </w:rPr>
        <w:t xml:space="preserve">, impairment losses and write-off amounts listed below have occurred during the reporting period for ACT Leave. </w:t>
      </w:r>
    </w:p>
    <w:p w14:paraId="7884130C" w14:textId="77777777" w:rsidR="00717BA5" w:rsidRPr="00717BA5" w:rsidRDefault="00717BA5" w:rsidP="00717BA5">
      <w:pPr>
        <w:adjustRightInd w:val="0"/>
        <w:snapToGrid w:val="0"/>
        <w:spacing w:after="240"/>
        <w:rPr>
          <w:rFonts w:ascii="Arial" w:eastAsia="Times New Roman" w:hAnsi="Arial" w:cs="Calibri"/>
          <w:color w:val="auto"/>
          <w:lang w:val="en-AU"/>
        </w:rPr>
      </w:pPr>
      <w:r w:rsidRPr="00717BA5">
        <w:rPr>
          <w:rFonts w:ascii="Arial" w:eastAsia="Times New Roman" w:hAnsi="Arial" w:cs="Arial"/>
          <w:color w:val="auto"/>
          <w:lang w:val="en-AU"/>
        </w:rPr>
        <w:t xml:space="preserve">Waivers, impairment losses and write-offs are included in </w:t>
      </w:r>
      <w:r w:rsidRPr="00717BA5">
        <w:rPr>
          <w:rFonts w:ascii="Arial" w:eastAsia="Times New Roman" w:hAnsi="Arial" w:cs="Calibri"/>
          <w:color w:val="auto"/>
          <w:lang w:val="en-AU"/>
        </w:rPr>
        <w:t>Other Expenses.</w:t>
      </w:r>
    </w:p>
    <w:tbl>
      <w:tblPr>
        <w:tblW w:w="5000" w:type="pct"/>
        <w:tblLook w:val="04A0" w:firstRow="1" w:lastRow="0" w:firstColumn="1" w:lastColumn="0" w:noHBand="0" w:noVBand="1"/>
      </w:tblPr>
      <w:tblGrid>
        <w:gridCol w:w="7166"/>
        <w:gridCol w:w="1116"/>
        <w:gridCol w:w="551"/>
        <w:gridCol w:w="1116"/>
      </w:tblGrid>
      <w:tr w:rsidR="00717BA5" w:rsidRPr="00717BA5" w14:paraId="69D45F6B" w14:textId="77777777" w:rsidTr="00F0752D">
        <w:trPr>
          <w:trHeight w:val="272"/>
        </w:trPr>
        <w:tc>
          <w:tcPr>
            <w:tcW w:w="3601" w:type="pct"/>
            <w:tcBorders>
              <w:left w:val="nil"/>
              <w:right w:val="nil"/>
            </w:tcBorders>
            <w:shd w:val="clear" w:color="000000" w:fill="FFFFFF"/>
            <w:vAlign w:val="bottom"/>
          </w:tcPr>
          <w:p w14:paraId="7DDBBB6D"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71B23F67"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561" w:type="pct"/>
            <w:tcBorders>
              <w:left w:val="nil"/>
              <w:bottom w:val="single" w:sz="4" w:space="0" w:color="auto"/>
              <w:right w:val="nil"/>
            </w:tcBorders>
            <w:shd w:val="clear" w:color="000000" w:fill="FFFFFF"/>
            <w:vAlign w:val="bottom"/>
          </w:tcPr>
          <w:p w14:paraId="5E37478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p w14:paraId="09C002A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277" w:type="pct"/>
            <w:tcBorders>
              <w:left w:val="nil"/>
              <w:right w:val="nil"/>
            </w:tcBorders>
            <w:shd w:val="clear" w:color="000000" w:fill="FFFFFF"/>
            <w:vAlign w:val="bottom"/>
          </w:tcPr>
          <w:p w14:paraId="263276C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61" w:type="pct"/>
            <w:tcBorders>
              <w:left w:val="nil"/>
              <w:bottom w:val="single" w:sz="4" w:space="0" w:color="auto"/>
              <w:right w:val="nil"/>
            </w:tcBorders>
            <w:shd w:val="clear" w:color="000000" w:fill="FFFFFF"/>
            <w:noWrap/>
            <w:vAlign w:val="bottom"/>
          </w:tcPr>
          <w:p w14:paraId="79031C9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p w14:paraId="076C891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3655729E" w14:textId="77777777" w:rsidTr="00F0752D">
        <w:trPr>
          <w:trHeight w:val="272"/>
        </w:trPr>
        <w:tc>
          <w:tcPr>
            <w:tcW w:w="3601" w:type="pct"/>
            <w:tcBorders>
              <w:top w:val="nil"/>
              <w:left w:val="nil"/>
              <w:bottom w:val="nil"/>
              <w:right w:val="nil"/>
            </w:tcBorders>
            <w:shd w:val="clear" w:color="000000" w:fill="FFFFFF"/>
            <w:vAlign w:val="bottom"/>
          </w:tcPr>
          <w:p w14:paraId="135D75D3"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Waivers</w:t>
            </w:r>
          </w:p>
        </w:tc>
        <w:tc>
          <w:tcPr>
            <w:tcW w:w="561" w:type="pct"/>
            <w:tcBorders>
              <w:top w:val="nil"/>
              <w:left w:val="nil"/>
              <w:bottom w:val="nil"/>
              <w:right w:val="nil"/>
            </w:tcBorders>
            <w:shd w:val="clear" w:color="000000" w:fill="FFFFFF"/>
            <w:vAlign w:val="bottom"/>
          </w:tcPr>
          <w:p w14:paraId="037DCCF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77" w:type="pct"/>
            <w:tcBorders>
              <w:top w:val="nil"/>
              <w:left w:val="nil"/>
              <w:bottom w:val="nil"/>
              <w:right w:val="nil"/>
            </w:tcBorders>
            <w:shd w:val="clear" w:color="000000" w:fill="FFFFFF"/>
            <w:vAlign w:val="bottom"/>
          </w:tcPr>
          <w:p w14:paraId="0C2DB54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61" w:type="pct"/>
            <w:tcBorders>
              <w:top w:val="nil"/>
              <w:left w:val="nil"/>
              <w:bottom w:val="nil"/>
              <w:right w:val="nil"/>
            </w:tcBorders>
            <w:shd w:val="clear" w:color="000000" w:fill="FFFFFF"/>
            <w:vAlign w:val="bottom"/>
          </w:tcPr>
          <w:p w14:paraId="508FC3C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6207C8C1" w14:textId="77777777" w:rsidTr="00F0752D">
        <w:trPr>
          <w:trHeight w:val="113"/>
        </w:trPr>
        <w:tc>
          <w:tcPr>
            <w:tcW w:w="3601" w:type="pct"/>
            <w:tcBorders>
              <w:top w:val="nil"/>
              <w:left w:val="nil"/>
              <w:right w:val="nil"/>
            </w:tcBorders>
            <w:shd w:val="clear" w:color="000000" w:fill="FFFFFF"/>
            <w:vAlign w:val="bottom"/>
          </w:tcPr>
          <w:p w14:paraId="071AF763"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Waivers of Penalty Payments</w:t>
            </w:r>
          </w:p>
        </w:tc>
        <w:tc>
          <w:tcPr>
            <w:tcW w:w="561" w:type="pct"/>
            <w:tcBorders>
              <w:top w:val="nil"/>
              <w:left w:val="nil"/>
              <w:right w:val="nil"/>
            </w:tcBorders>
            <w:shd w:val="clear" w:color="000000" w:fill="FFFFFF"/>
            <w:vAlign w:val="bottom"/>
          </w:tcPr>
          <w:p w14:paraId="3091383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49</w:t>
            </w:r>
          </w:p>
        </w:tc>
        <w:tc>
          <w:tcPr>
            <w:tcW w:w="277" w:type="pct"/>
            <w:tcBorders>
              <w:top w:val="nil"/>
              <w:left w:val="nil"/>
              <w:right w:val="nil"/>
            </w:tcBorders>
            <w:shd w:val="clear" w:color="000000" w:fill="FFFFFF"/>
            <w:vAlign w:val="bottom"/>
          </w:tcPr>
          <w:p w14:paraId="4E26E9C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61" w:type="pct"/>
            <w:tcBorders>
              <w:top w:val="nil"/>
              <w:left w:val="nil"/>
              <w:right w:val="nil"/>
            </w:tcBorders>
            <w:shd w:val="clear" w:color="000000" w:fill="FFFFFF"/>
            <w:noWrap/>
            <w:vAlign w:val="bottom"/>
          </w:tcPr>
          <w:p w14:paraId="45E44A6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46</w:t>
            </w:r>
          </w:p>
        </w:tc>
      </w:tr>
      <w:tr w:rsidR="00717BA5" w:rsidRPr="00717BA5" w14:paraId="0248D673" w14:textId="77777777" w:rsidTr="00F0752D">
        <w:trPr>
          <w:trHeight w:val="113"/>
        </w:trPr>
        <w:tc>
          <w:tcPr>
            <w:tcW w:w="3601" w:type="pct"/>
            <w:tcBorders>
              <w:left w:val="nil"/>
              <w:right w:val="nil"/>
            </w:tcBorders>
            <w:shd w:val="clear" w:color="000000" w:fill="FFFFFF"/>
            <w:vAlign w:val="bottom"/>
          </w:tcPr>
          <w:p w14:paraId="5FAD84CE"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Waivers</w:t>
            </w:r>
          </w:p>
        </w:tc>
        <w:tc>
          <w:tcPr>
            <w:tcW w:w="561" w:type="pct"/>
            <w:tcBorders>
              <w:top w:val="single" w:sz="4" w:space="0" w:color="auto"/>
              <w:left w:val="nil"/>
              <w:bottom w:val="single" w:sz="4" w:space="0" w:color="auto"/>
              <w:right w:val="nil"/>
            </w:tcBorders>
            <w:shd w:val="clear" w:color="000000" w:fill="FFFFFF"/>
            <w:vAlign w:val="bottom"/>
          </w:tcPr>
          <w:p w14:paraId="1ECCB3D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49 </w:t>
            </w:r>
          </w:p>
        </w:tc>
        <w:tc>
          <w:tcPr>
            <w:tcW w:w="277" w:type="pct"/>
            <w:tcBorders>
              <w:left w:val="nil"/>
              <w:right w:val="nil"/>
            </w:tcBorders>
            <w:shd w:val="clear" w:color="000000" w:fill="FFFFFF"/>
            <w:vAlign w:val="bottom"/>
          </w:tcPr>
          <w:p w14:paraId="2E1D2E1B"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561" w:type="pct"/>
            <w:tcBorders>
              <w:top w:val="single" w:sz="4" w:space="0" w:color="auto"/>
              <w:left w:val="nil"/>
              <w:bottom w:val="single" w:sz="4" w:space="0" w:color="auto"/>
              <w:right w:val="nil"/>
            </w:tcBorders>
            <w:shd w:val="clear" w:color="000000" w:fill="FFFFFF"/>
            <w:vAlign w:val="bottom"/>
          </w:tcPr>
          <w:p w14:paraId="307E8F3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46</w:t>
            </w:r>
          </w:p>
        </w:tc>
      </w:tr>
      <w:tr w:rsidR="00717BA5" w:rsidRPr="00717BA5" w14:paraId="5AE17E40" w14:textId="77777777" w:rsidTr="00F0752D">
        <w:trPr>
          <w:trHeight w:val="113"/>
        </w:trPr>
        <w:tc>
          <w:tcPr>
            <w:tcW w:w="3601" w:type="pct"/>
            <w:tcBorders>
              <w:left w:val="nil"/>
              <w:bottom w:val="nil"/>
              <w:right w:val="nil"/>
            </w:tcBorders>
            <w:shd w:val="clear" w:color="000000" w:fill="FFFFFF"/>
            <w:vAlign w:val="bottom"/>
          </w:tcPr>
          <w:p w14:paraId="3F57A65C"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561" w:type="pct"/>
            <w:tcBorders>
              <w:top w:val="single" w:sz="4" w:space="0" w:color="auto"/>
              <w:left w:val="nil"/>
              <w:bottom w:val="nil"/>
              <w:right w:val="nil"/>
            </w:tcBorders>
            <w:shd w:val="clear" w:color="000000" w:fill="FFFFFF"/>
            <w:vAlign w:val="bottom"/>
          </w:tcPr>
          <w:p w14:paraId="2095F43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277" w:type="pct"/>
            <w:tcBorders>
              <w:left w:val="nil"/>
              <w:bottom w:val="nil"/>
              <w:right w:val="nil"/>
            </w:tcBorders>
            <w:shd w:val="clear" w:color="000000" w:fill="FFFFFF"/>
            <w:vAlign w:val="bottom"/>
          </w:tcPr>
          <w:p w14:paraId="33C59AF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61" w:type="pct"/>
            <w:tcBorders>
              <w:top w:val="single" w:sz="4" w:space="0" w:color="auto"/>
              <w:left w:val="nil"/>
              <w:bottom w:val="nil"/>
              <w:right w:val="nil"/>
            </w:tcBorders>
            <w:shd w:val="clear" w:color="000000" w:fill="FFFFFF"/>
            <w:vAlign w:val="bottom"/>
          </w:tcPr>
          <w:p w14:paraId="3ED70B8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r>
      <w:tr w:rsidR="00717BA5" w:rsidRPr="00717BA5" w14:paraId="27266939" w14:textId="77777777" w:rsidTr="00F0752D">
        <w:trPr>
          <w:trHeight w:val="113"/>
        </w:trPr>
        <w:tc>
          <w:tcPr>
            <w:tcW w:w="3601" w:type="pct"/>
            <w:tcBorders>
              <w:top w:val="nil"/>
              <w:left w:val="nil"/>
              <w:bottom w:val="nil"/>
              <w:right w:val="nil"/>
            </w:tcBorders>
            <w:shd w:val="clear" w:color="000000" w:fill="FFFFFF"/>
            <w:vAlign w:val="bottom"/>
          </w:tcPr>
          <w:p w14:paraId="17B5390A" w14:textId="77777777" w:rsidR="00717BA5" w:rsidRPr="00717BA5" w:rsidRDefault="00717BA5" w:rsidP="00717BA5">
            <w:pPr>
              <w:spacing w:after="0" w:line="240" w:lineRule="auto"/>
              <w:rPr>
                <w:rFonts w:ascii="Arial" w:eastAsia="Times New Roman" w:hAnsi="Arial" w:cs="Arial"/>
                <w:b/>
                <w:iCs/>
                <w:color w:val="auto"/>
                <w:sz w:val="18"/>
                <w:szCs w:val="18"/>
                <w:lang w:val="en-AU"/>
              </w:rPr>
            </w:pPr>
            <w:r w:rsidRPr="00717BA5">
              <w:rPr>
                <w:rFonts w:ascii="Arial" w:eastAsia="Times New Roman" w:hAnsi="Arial" w:cs="Arial"/>
                <w:b/>
                <w:iCs/>
                <w:color w:val="auto"/>
                <w:sz w:val="18"/>
                <w:szCs w:val="18"/>
                <w:lang w:val="en-AU"/>
              </w:rPr>
              <w:t>Impairment Losses from Receivables</w:t>
            </w:r>
          </w:p>
        </w:tc>
        <w:tc>
          <w:tcPr>
            <w:tcW w:w="561" w:type="pct"/>
            <w:tcBorders>
              <w:top w:val="nil"/>
              <w:left w:val="nil"/>
              <w:right w:val="nil"/>
            </w:tcBorders>
            <w:shd w:val="clear" w:color="000000" w:fill="FFFFFF"/>
            <w:vAlign w:val="bottom"/>
          </w:tcPr>
          <w:p w14:paraId="1E59FBA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277" w:type="pct"/>
            <w:tcBorders>
              <w:top w:val="nil"/>
              <w:left w:val="nil"/>
              <w:right w:val="nil"/>
            </w:tcBorders>
            <w:shd w:val="clear" w:color="000000" w:fill="FFFFFF"/>
            <w:vAlign w:val="bottom"/>
          </w:tcPr>
          <w:p w14:paraId="7D188A1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61" w:type="pct"/>
            <w:tcBorders>
              <w:top w:val="nil"/>
              <w:left w:val="nil"/>
              <w:right w:val="nil"/>
            </w:tcBorders>
            <w:shd w:val="clear" w:color="000000" w:fill="FFFFFF"/>
            <w:vAlign w:val="bottom"/>
          </w:tcPr>
          <w:p w14:paraId="31766C5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r>
      <w:tr w:rsidR="00717BA5" w:rsidRPr="00717BA5" w14:paraId="5DAC2D14" w14:textId="77777777" w:rsidTr="00F0752D">
        <w:trPr>
          <w:trHeight w:val="113"/>
        </w:trPr>
        <w:tc>
          <w:tcPr>
            <w:tcW w:w="3601" w:type="pct"/>
            <w:tcBorders>
              <w:top w:val="nil"/>
              <w:left w:val="nil"/>
              <w:bottom w:val="nil"/>
              <w:right w:val="nil"/>
            </w:tcBorders>
            <w:shd w:val="clear" w:color="000000" w:fill="FFFFFF"/>
            <w:vAlign w:val="bottom"/>
          </w:tcPr>
          <w:p w14:paraId="079F649C" w14:textId="189585AD"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Expected Credit Loss Expense</w:t>
            </w:r>
            <w:r w:rsidR="00FC0A57">
              <w:rPr>
                <w:rFonts w:ascii="ZWAdobeF" w:eastAsia="Times New Roman" w:hAnsi="ZWAdobeF" w:cs="ZWAdobeF"/>
                <w:color w:val="auto"/>
                <w:sz w:val="2"/>
                <w:szCs w:val="2"/>
                <w:lang w:val="en-AU"/>
              </w:rPr>
              <w:t>8F</w:t>
            </w:r>
            <w:r w:rsidRPr="00717BA5">
              <w:rPr>
                <w:rFonts w:ascii="Arial" w:eastAsia="Times New Roman" w:hAnsi="Arial" w:cs="Arial"/>
                <w:color w:val="auto"/>
                <w:sz w:val="18"/>
                <w:szCs w:val="18"/>
                <w:vertAlign w:val="superscript"/>
                <w:lang w:val="en-AU"/>
              </w:rPr>
              <w:footnoteReference w:id="10"/>
            </w:r>
          </w:p>
        </w:tc>
        <w:tc>
          <w:tcPr>
            <w:tcW w:w="561" w:type="pct"/>
            <w:tcBorders>
              <w:left w:val="nil"/>
              <w:right w:val="nil"/>
            </w:tcBorders>
            <w:shd w:val="clear" w:color="000000" w:fill="FFFFFF"/>
            <w:vAlign w:val="bottom"/>
          </w:tcPr>
          <w:p w14:paraId="08E3714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364</w:t>
            </w:r>
          </w:p>
        </w:tc>
        <w:tc>
          <w:tcPr>
            <w:tcW w:w="277" w:type="pct"/>
            <w:tcBorders>
              <w:left w:val="nil"/>
              <w:right w:val="nil"/>
            </w:tcBorders>
            <w:shd w:val="clear" w:color="000000" w:fill="FFFFFF"/>
            <w:vAlign w:val="bottom"/>
          </w:tcPr>
          <w:p w14:paraId="187DFBB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61" w:type="pct"/>
            <w:tcBorders>
              <w:left w:val="nil"/>
              <w:right w:val="nil"/>
            </w:tcBorders>
            <w:shd w:val="clear" w:color="000000" w:fill="FFFFFF"/>
            <w:noWrap/>
            <w:vAlign w:val="bottom"/>
          </w:tcPr>
          <w:p w14:paraId="342DD75F" w14:textId="77777777" w:rsidR="00717BA5" w:rsidRPr="00717BA5" w:rsidRDefault="00717BA5" w:rsidP="00717BA5">
            <w:pPr>
              <w:spacing w:after="0" w:line="240" w:lineRule="auto"/>
              <w:jc w:val="right"/>
              <w:rPr>
                <w:rFonts w:ascii="Arial" w:eastAsia="SimSun" w:hAnsi="Arial" w:cs="Arial"/>
                <w:color w:val="auto"/>
                <w:sz w:val="18"/>
                <w:szCs w:val="18"/>
                <w:lang w:val="en-AU" w:eastAsia="en-US"/>
              </w:rPr>
            </w:pPr>
            <w:r w:rsidRPr="00717BA5">
              <w:rPr>
                <w:rFonts w:ascii="Arial" w:eastAsia="Times New Roman" w:hAnsi="Arial" w:cs="Arial"/>
                <w:color w:val="auto"/>
                <w:sz w:val="18"/>
                <w:szCs w:val="18"/>
                <w:lang w:val="en-AU"/>
              </w:rPr>
              <w:t>193</w:t>
            </w:r>
          </w:p>
        </w:tc>
      </w:tr>
      <w:tr w:rsidR="00717BA5" w:rsidRPr="00717BA5" w14:paraId="506AD7A8" w14:textId="77777777" w:rsidTr="00F0752D">
        <w:trPr>
          <w:trHeight w:val="113"/>
        </w:trPr>
        <w:tc>
          <w:tcPr>
            <w:tcW w:w="3601" w:type="pct"/>
            <w:tcBorders>
              <w:top w:val="nil"/>
              <w:left w:val="nil"/>
              <w:right w:val="nil"/>
            </w:tcBorders>
            <w:shd w:val="clear" w:color="000000" w:fill="FFFFFF"/>
            <w:vAlign w:val="bottom"/>
          </w:tcPr>
          <w:p w14:paraId="314A42BD"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Impairment Losses from Receivables</w:t>
            </w:r>
          </w:p>
        </w:tc>
        <w:tc>
          <w:tcPr>
            <w:tcW w:w="561" w:type="pct"/>
            <w:tcBorders>
              <w:top w:val="single" w:sz="4" w:space="0" w:color="auto"/>
              <w:left w:val="nil"/>
              <w:bottom w:val="single" w:sz="4" w:space="0" w:color="auto"/>
              <w:right w:val="nil"/>
            </w:tcBorders>
            <w:shd w:val="clear" w:color="000000" w:fill="FFFFFF"/>
            <w:vAlign w:val="bottom"/>
          </w:tcPr>
          <w:p w14:paraId="08EF2AC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364</w:t>
            </w:r>
          </w:p>
        </w:tc>
        <w:tc>
          <w:tcPr>
            <w:tcW w:w="277" w:type="pct"/>
            <w:tcBorders>
              <w:top w:val="nil"/>
              <w:left w:val="nil"/>
              <w:right w:val="nil"/>
            </w:tcBorders>
            <w:shd w:val="clear" w:color="000000" w:fill="FFFFFF"/>
            <w:vAlign w:val="bottom"/>
          </w:tcPr>
          <w:p w14:paraId="5A48A6C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61" w:type="pct"/>
            <w:tcBorders>
              <w:top w:val="single" w:sz="4" w:space="0" w:color="auto"/>
              <w:left w:val="nil"/>
              <w:bottom w:val="single" w:sz="4" w:space="0" w:color="auto"/>
              <w:right w:val="nil"/>
            </w:tcBorders>
            <w:shd w:val="clear" w:color="000000" w:fill="FFFFFF"/>
            <w:noWrap/>
            <w:vAlign w:val="bottom"/>
          </w:tcPr>
          <w:p w14:paraId="3033DB2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193</w:t>
            </w:r>
          </w:p>
        </w:tc>
      </w:tr>
      <w:tr w:rsidR="00717BA5" w:rsidRPr="00717BA5" w14:paraId="241D2567" w14:textId="77777777" w:rsidTr="00F0752D">
        <w:trPr>
          <w:trHeight w:val="113"/>
        </w:trPr>
        <w:tc>
          <w:tcPr>
            <w:tcW w:w="3601" w:type="pct"/>
            <w:tcBorders>
              <w:top w:val="nil"/>
              <w:left w:val="nil"/>
              <w:right w:val="nil"/>
            </w:tcBorders>
            <w:shd w:val="clear" w:color="000000" w:fill="FFFFFF"/>
            <w:vAlign w:val="bottom"/>
          </w:tcPr>
          <w:p w14:paraId="2DE0313B"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561" w:type="pct"/>
            <w:tcBorders>
              <w:top w:val="single" w:sz="4" w:space="0" w:color="auto"/>
              <w:left w:val="nil"/>
              <w:right w:val="nil"/>
            </w:tcBorders>
            <w:shd w:val="clear" w:color="000000" w:fill="FFFFFF"/>
            <w:vAlign w:val="bottom"/>
          </w:tcPr>
          <w:p w14:paraId="0CCD7F2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277" w:type="pct"/>
            <w:tcBorders>
              <w:left w:val="nil"/>
              <w:right w:val="nil"/>
            </w:tcBorders>
            <w:shd w:val="clear" w:color="000000" w:fill="FFFFFF"/>
            <w:vAlign w:val="bottom"/>
          </w:tcPr>
          <w:p w14:paraId="4294938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61" w:type="pct"/>
            <w:tcBorders>
              <w:top w:val="single" w:sz="4" w:space="0" w:color="auto"/>
              <w:left w:val="nil"/>
              <w:right w:val="nil"/>
            </w:tcBorders>
            <w:shd w:val="clear" w:color="000000" w:fill="FFFFFF"/>
            <w:noWrap/>
            <w:vAlign w:val="bottom"/>
          </w:tcPr>
          <w:p w14:paraId="58ED568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r>
      <w:tr w:rsidR="00717BA5" w:rsidRPr="00717BA5" w14:paraId="62830405" w14:textId="77777777" w:rsidTr="00F0752D">
        <w:trPr>
          <w:trHeight w:val="113"/>
        </w:trPr>
        <w:tc>
          <w:tcPr>
            <w:tcW w:w="3601" w:type="pct"/>
            <w:tcBorders>
              <w:left w:val="nil"/>
              <w:bottom w:val="nil"/>
              <w:right w:val="nil"/>
            </w:tcBorders>
            <w:shd w:val="clear" w:color="000000" w:fill="FFFFFF"/>
            <w:vAlign w:val="bottom"/>
          </w:tcPr>
          <w:p w14:paraId="0D30A847" w14:textId="77777777" w:rsidR="00717BA5" w:rsidRPr="00717BA5" w:rsidRDefault="00717BA5" w:rsidP="00717BA5">
            <w:pPr>
              <w:spacing w:after="0" w:line="240" w:lineRule="auto"/>
              <w:rPr>
                <w:rFonts w:ascii="Arial" w:eastAsia="Times New Roman" w:hAnsi="Arial" w:cs="Arial"/>
                <w:b/>
                <w:iCs/>
                <w:color w:val="auto"/>
                <w:sz w:val="18"/>
                <w:szCs w:val="18"/>
                <w:lang w:val="en-AU"/>
              </w:rPr>
            </w:pPr>
            <w:r w:rsidRPr="00717BA5">
              <w:rPr>
                <w:rFonts w:ascii="Arial" w:eastAsia="Times New Roman" w:hAnsi="Arial" w:cs="Arial"/>
                <w:b/>
                <w:iCs/>
                <w:color w:val="auto"/>
                <w:sz w:val="18"/>
                <w:szCs w:val="18"/>
                <w:lang w:val="en-AU"/>
              </w:rPr>
              <w:t>Impairment Losses from Non-Financial Assets</w:t>
            </w:r>
          </w:p>
        </w:tc>
        <w:tc>
          <w:tcPr>
            <w:tcW w:w="561" w:type="pct"/>
            <w:tcBorders>
              <w:left w:val="nil"/>
              <w:right w:val="nil"/>
            </w:tcBorders>
            <w:shd w:val="clear" w:color="000000" w:fill="FFFFFF"/>
            <w:vAlign w:val="bottom"/>
          </w:tcPr>
          <w:p w14:paraId="1EB466B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277" w:type="pct"/>
            <w:tcBorders>
              <w:left w:val="nil"/>
              <w:bottom w:val="nil"/>
              <w:right w:val="nil"/>
            </w:tcBorders>
            <w:shd w:val="clear" w:color="000000" w:fill="FFFFFF"/>
            <w:vAlign w:val="bottom"/>
          </w:tcPr>
          <w:p w14:paraId="09D43EF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61" w:type="pct"/>
            <w:tcBorders>
              <w:left w:val="nil"/>
              <w:right w:val="nil"/>
            </w:tcBorders>
            <w:shd w:val="clear" w:color="000000" w:fill="FFFFFF"/>
            <w:noWrap/>
            <w:vAlign w:val="bottom"/>
          </w:tcPr>
          <w:p w14:paraId="2E7F3E3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r>
      <w:tr w:rsidR="00717BA5" w:rsidRPr="00717BA5" w14:paraId="53C6C4CE" w14:textId="77777777" w:rsidTr="00F0752D">
        <w:trPr>
          <w:trHeight w:val="113"/>
        </w:trPr>
        <w:tc>
          <w:tcPr>
            <w:tcW w:w="3601" w:type="pct"/>
            <w:tcBorders>
              <w:left w:val="nil"/>
              <w:bottom w:val="nil"/>
              <w:right w:val="nil"/>
            </w:tcBorders>
            <w:shd w:val="clear" w:color="000000" w:fill="FFFFFF"/>
            <w:vAlign w:val="bottom"/>
          </w:tcPr>
          <w:p w14:paraId="573E228F" w14:textId="3B35F991"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Property, Plant and Equipment</w:t>
            </w:r>
            <w:r w:rsidR="00FC0A57">
              <w:rPr>
                <w:rFonts w:ascii="ZWAdobeF" w:eastAsia="Times New Roman" w:hAnsi="ZWAdobeF" w:cs="ZWAdobeF"/>
                <w:bCs/>
                <w:color w:val="auto"/>
                <w:sz w:val="2"/>
                <w:szCs w:val="2"/>
                <w:lang w:val="en-AU"/>
              </w:rPr>
              <w:t>9F</w:t>
            </w:r>
            <w:r w:rsidRPr="00717BA5">
              <w:rPr>
                <w:rFonts w:ascii="Arial" w:eastAsia="Times New Roman" w:hAnsi="Arial" w:cs="Arial"/>
                <w:bCs/>
                <w:color w:val="auto"/>
                <w:sz w:val="18"/>
                <w:szCs w:val="18"/>
                <w:vertAlign w:val="superscript"/>
                <w:lang w:val="en-AU"/>
              </w:rPr>
              <w:footnoteReference w:id="11"/>
            </w:r>
          </w:p>
        </w:tc>
        <w:tc>
          <w:tcPr>
            <w:tcW w:w="561" w:type="pct"/>
            <w:tcBorders>
              <w:left w:val="nil"/>
              <w:right w:val="nil"/>
            </w:tcBorders>
            <w:shd w:val="clear" w:color="000000" w:fill="FFFFFF"/>
            <w:vAlign w:val="bottom"/>
          </w:tcPr>
          <w:p w14:paraId="05C0B3A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44</w:t>
            </w:r>
          </w:p>
        </w:tc>
        <w:tc>
          <w:tcPr>
            <w:tcW w:w="277" w:type="pct"/>
            <w:tcBorders>
              <w:left w:val="nil"/>
              <w:bottom w:val="nil"/>
              <w:right w:val="nil"/>
            </w:tcBorders>
            <w:shd w:val="clear" w:color="000000" w:fill="FFFFFF"/>
            <w:vAlign w:val="bottom"/>
          </w:tcPr>
          <w:p w14:paraId="4CB7B546"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561" w:type="pct"/>
            <w:tcBorders>
              <w:left w:val="nil"/>
              <w:right w:val="nil"/>
            </w:tcBorders>
            <w:shd w:val="clear" w:color="000000" w:fill="FFFFFF"/>
            <w:noWrap/>
            <w:vAlign w:val="bottom"/>
          </w:tcPr>
          <w:p w14:paraId="3EB2287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w:t>
            </w:r>
          </w:p>
        </w:tc>
      </w:tr>
      <w:tr w:rsidR="00717BA5" w:rsidRPr="00717BA5" w14:paraId="704A9858" w14:textId="77777777" w:rsidTr="00F0752D">
        <w:trPr>
          <w:trHeight w:val="113"/>
        </w:trPr>
        <w:tc>
          <w:tcPr>
            <w:tcW w:w="3601" w:type="pct"/>
            <w:tcBorders>
              <w:left w:val="nil"/>
              <w:bottom w:val="nil"/>
              <w:right w:val="nil"/>
            </w:tcBorders>
            <w:shd w:val="clear" w:color="000000" w:fill="FFFFFF"/>
            <w:vAlign w:val="bottom"/>
          </w:tcPr>
          <w:p w14:paraId="0B78E470"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Impairment Losses from Non-Financial Assets</w:t>
            </w:r>
          </w:p>
        </w:tc>
        <w:tc>
          <w:tcPr>
            <w:tcW w:w="561" w:type="pct"/>
            <w:tcBorders>
              <w:top w:val="single" w:sz="4" w:space="0" w:color="auto"/>
              <w:left w:val="nil"/>
              <w:bottom w:val="single" w:sz="4" w:space="0" w:color="auto"/>
              <w:right w:val="nil"/>
            </w:tcBorders>
            <w:shd w:val="clear" w:color="000000" w:fill="FFFFFF"/>
            <w:vAlign w:val="bottom"/>
          </w:tcPr>
          <w:p w14:paraId="37E048B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44</w:t>
            </w:r>
          </w:p>
        </w:tc>
        <w:tc>
          <w:tcPr>
            <w:tcW w:w="277" w:type="pct"/>
            <w:tcBorders>
              <w:left w:val="nil"/>
              <w:bottom w:val="nil"/>
              <w:right w:val="nil"/>
            </w:tcBorders>
            <w:shd w:val="clear" w:color="000000" w:fill="FFFFFF"/>
            <w:vAlign w:val="bottom"/>
          </w:tcPr>
          <w:p w14:paraId="325399B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61" w:type="pct"/>
            <w:tcBorders>
              <w:top w:val="single" w:sz="4" w:space="0" w:color="auto"/>
              <w:left w:val="nil"/>
              <w:bottom w:val="single" w:sz="4" w:space="0" w:color="auto"/>
              <w:right w:val="nil"/>
            </w:tcBorders>
            <w:shd w:val="clear" w:color="000000" w:fill="FFFFFF"/>
            <w:noWrap/>
            <w:vAlign w:val="bottom"/>
          </w:tcPr>
          <w:p w14:paraId="4C3D8CA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w:t>
            </w:r>
          </w:p>
        </w:tc>
      </w:tr>
      <w:tr w:rsidR="00717BA5" w:rsidRPr="00717BA5" w14:paraId="4CB70A9D" w14:textId="77777777" w:rsidTr="00F0752D">
        <w:trPr>
          <w:trHeight w:val="113"/>
        </w:trPr>
        <w:tc>
          <w:tcPr>
            <w:tcW w:w="3601" w:type="pct"/>
            <w:tcBorders>
              <w:left w:val="nil"/>
              <w:right w:val="nil"/>
            </w:tcBorders>
            <w:shd w:val="clear" w:color="000000" w:fill="FFFFFF"/>
            <w:vAlign w:val="bottom"/>
          </w:tcPr>
          <w:p w14:paraId="78C35D74"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561" w:type="pct"/>
            <w:tcBorders>
              <w:top w:val="single" w:sz="4" w:space="0" w:color="auto"/>
              <w:left w:val="nil"/>
              <w:bottom w:val="single" w:sz="4" w:space="0" w:color="auto"/>
              <w:right w:val="nil"/>
            </w:tcBorders>
            <w:shd w:val="clear" w:color="000000" w:fill="FFFFFF"/>
            <w:vAlign w:val="bottom"/>
          </w:tcPr>
          <w:p w14:paraId="79E5242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277" w:type="pct"/>
            <w:tcBorders>
              <w:left w:val="nil"/>
              <w:right w:val="nil"/>
            </w:tcBorders>
            <w:shd w:val="clear" w:color="000000" w:fill="FFFFFF"/>
            <w:vAlign w:val="bottom"/>
          </w:tcPr>
          <w:p w14:paraId="66A8AD2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61" w:type="pct"/>
            <w:tcBorders>
              <w:top w:val="single" w:sz="4" w:space="0" w:color="auto"/>
              <w:left w:val="nil"/>
              <w:bottom w:val="single" w:sz="4" w:space="0" w:color="auto"/>
              <w:right w:val="nil"/>
            </w:tcBorders>
            <w:shd w:val="clear" w:color="000000" w:fill="FFFFFF"/>
            <w:noWrap/>
            <w:vAlign w:val="bottom"/>
          </w:tcPr>
          <w:p w14:paraId="7006B76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r>
      <w:tr w:rsidR="00717BA5" w:rsidRPr="00717BA5" w14:paraId="5DE535FE" w14:textId="77777777" w:rsidTr="00F0752D">
        <w:trPr>
          <w:trHeight w:val="113"/>
        </w:trPr>
        <w:tc>
          <w:tcPr>
            <w:tcW w:w="3601" w:type="pct"/>
            <w:tcBorders>
              <w:left w:val="nil"/>
              <w:right w:val="nil"/>
            </w:tcBorders>
            <w:shd w:val="clear" w:color="000000" w:fill="FFFFFF"/>
            <w:vAlign w:val="bottom"/>
          </w:tcPr>
          <w:p w14:paraId="251F105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Other expenses</w:t>
            </w:r>
          </w:p>
        </w:tc>
        <w:tc>
          <w:tcPr>
            <w:tcW w:w="561" w:type="pct"/>
            <w:tcBorders>
              <w:top w:val="single" w:sz="4" w:space="0" w:color="auto"/>
              <w:left w:val="nil"/>
              <w:bottom w:val="single" w:sz="4" w:space="0" w:color="auto"/>
              <w:right w:val="nil"/>
            </w:tcBorders>
            <w:shd w:val="clear" w:color="000000" w:fill="FFFFFF"/>
            <w:vAlign w:val="bottom"/>
          </w:tcPr>
          <w:p w14:paraId="33C385C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c>
          <w:tcPr>
            <w:tcW w:w="277" w:type="pct"/>
            <w:tcBorders>
              <w:left w:val="nil"/>
              <w:right w:val="nil"/>
            </w:tcBorders>
            <w:shd w:val="clear" w:color="000000" w:fill="FFFFFF"/>
            <w:vAlign w:val="bottom"/>
          </w:tcPr>
          <w:p w14:paraId="6EEFA31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61" w:type="pct"/>
            <w:tcBorders>
              <w:top w:val="single" w:sz="4" w:space="0" w:color="auto"/>
              <w:left w:val="nil"/>
              <w:bottom w:val="single" w:sz="4" w:space="0" w:color="auto"/>
              <w:right w:val="nil"/>
            </w:tcBorders>
            <w:shd w:val="clear" w:color="000000" w:fill="FFFFFF"/>
            <w:noWrap/>
            <w:vAlign w:val="bottom"/>
          </w:tcPr>
          <w:p w14:paraId="7A4FAE7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18</w:t>
            </w:r>
          </w:p>
        </w:tc>
      </w:tr>
      <w:tr w:rsidR="00717BA5" w:rsidRPr="00717BA5" w14:paraId="1CC458FF" w14:textId="77777777" w:rsidTr="00F0752D">
        <w:trPr>
          <w:trHeight w:val="113"/>
        </w:trPr>
        <w:tc>
          <w:tcPr>
            <w:tcW w:w="3601" w:type="pct"/>
            <w:tcBorders>
              <w:left w:val="nil"/>
              <w:right w:val="nil"/>
            </w:tcBorders>
            <w:shd w:val="clear" w:color="000000" w:fill="FFFFFF"/>
            <w:vAlign w:val="bottom"/>
          </w:tcPr>
          <w:p w14:paraId="3D55299D"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Other Expenses</w:t>
            </w:r>
          </w:p>
        </w:tc>
        <w:tc>
          <w:tcPr>
            <w:tcW w:w="561" w:type="pct"/>
            <w:tcBorders>
              <w:top w:val="single" w:sz="4" w:space="0" w:color="auto"/>
              <w:left w:val="nil"/>
              <w:bottom w:val="double" w:sz="6" w:space="0" w:color="auto"/>
              <w:right w:val="nil"/>
            </w:tcBorders>
            <w:shd w:val="clear" w:color="000000" w:fill="FFFFFF"/>
            <w:vAlign w:val="bottom"/>
          </w:tcPr>
          <w:p w14:paraId="072A4BC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457</w:t>
            </w:r>
          </w:p>
        </w:tc>
        <w:tc>
          <w:tcPr>
            <w:tcW w:w="277" w:type="pct"/>
            <w:tcBorders>
              <w:left w:val="nil"/>
              <w:right w:val="nil"/>
            </w:tcBorders>
            <w:shd w:val="clear" w:color="000000" w:fill="FFFFFF"/>
            <w:vAlign w:val="bottom"/>
          </w:tcPr>
          <w:p w14:paraId="7CAA89D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61" w:type="pct"/>
            <w:tcBorders>
              <w:top w:val="single" w:sz="4" w:space="0" w:color="auto"/>
              <w:left w:val="nil"/>
              <w:bottom w:val="double" w:sz="6" w:space="0" w:color="auto"/>
              <w:right w:val="nil"/>
            </w:tcBorders>
            <w:shd w:val="clear" w:color="000000" w:fill="FFFFFF"/>
            <w:noWrap/>
            <w:vAlign w:val="bottom"/>
          </w:tcPr>
          <w:p w14:paraId="3576771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259</w:t>
            </w:r>
          </w:p>
        </w:tc>
      </w:tr>
    </w:tbl>
    <w:p w14:paraId="3396F0B9" w14:textId="77777777" w:rsidR="00717BA5" w:rsidRPr="00717BA5" w:rsidRDefault="00717BA5" w:rsidP="00717BA5">
      <w:pPr>
        <w:keepNext/>
        <w:spacing w:before="240" w:after="240" w:line="240" w:lineRule="auto"/>
        <w:outlineLvl w:val="0"/>
        <w:rPr>
          <w:rFonts w:ascii="Arial" w:eastAsia="Times New Roman" w:hAnsi="Arial" w:cs="Arial"/>
          <w:b/>
          <w:bCs/>
          <w:color w:val="auto"/>
          <w:kern w:val="32"/>
          <w:sz w:val="28"/>
          <w:szCs w:val="28"/>
          <w:lang w:val="en-AU"/>
        </w:rPr>
        <w:sectPr w:rsidR="00717BA5" w:rsidRPr="00717BA5" w:rsidSect="00717BA5">
          <w:headerReference w:type="default" r:id="rId72"/>
          <w:footerReference w:type="default" r:id="rId73"/>
          <w:type w:val="continuous"/>
          <w:pgSz w:w="11906" w:h="16838"/>
          <w:pgMar w:top="851" w:right="1106" w:bottom="851" w:left="851" w:header="709" w:footer="709" w:gutter="0"/>
          <w:cols w:space="708"/>
          <w:docGrid w:linePitch="360"/>
        </w:sectPr>
      </w:pPr>
    </w:p>
    <w:p w14:paraId="409DCAFD" w14:textId="77777777" w:rsidR="00717BA5" w:rsidRPr="00717BA5" w:rsidRDefault="00717BA5" w:rsidP="00717BA5">
      <w:pPr>
        <w:spacing w:after="0" w:line="240" w:lineRule="auto"/>
        <w:rPr>
          <w:rFonts w:ascii="Arial" w:eastAsia="SimSun" w:hAnsi="Arial" w:cs="Arial"/>
          <w:color w:val="auto"/>
          <w:lang w:val="en-AU"/>
        </w:rPr>
      </w:pPr>
    </w:p>
    <w:p w14:paraId="00812754" w14:textId="77777777" w:rsidR="00717BA5" w:rsidRPr="00717BA5" w:rsidRDefault="00717BA5" w:rsidP="00717BA5">
      <w:pPr>
        <w:keepNext/>
        <w:spacing w:after="240" w:line="240" w:lineRule="auto"/>
        <w:jc w:val="both"/>
        <w:outlineLvl w:val="0"/>
        <w:rPr>
          <w:rFonts w:ascii="Arial" w:eastAsia="Times New Roman" w:hAnsi="Arial" w:cs="Arial"/>
          <w:b/>
          <w:bCs/>
          <w:color w:val="auto"/>
          <w:kern w:val="32"/>
          <w:sz w:val="24"/>
          <w:szCs w:val="24"/>
          <w:lang w:val="en-AU"/>
        </w:rPr>
      </w:pPr>
      <w:bookmarkStart w:id="99" w:name="_Toc240533517"/>
      <w:r w:rsidRPr="00717BA5">
        <w:rPr>
          <w:rFonts w:ascii="Arial" w:eastAsia="Times New Roman" w:hAnsi="Arial" w:cs="Arial"/>
          <w:b/>
          <w:bCs/>
          <w:color w:val="auto"/>
          <w:kern w:val="32"/>
          <w:sz w:val="24"/>
          <w:szCs w:val="24"/>
          <w:lang w:val="en-AU"/>
        </w:rPr>
        <w:t>ASSET NOTES</w:t>
      </w:r>
      <w:bookmarkEnd w:id="99"/>
    </w:p>
    <w:p w14:paraId="75CE65B4" w14:textId="77777777" w:rsidR="00717BA5" w:rsidRPr="00717BA5" w:rsidRDefault="00717BA5" w:rsidP="00FD5F83">
      <w:pPr>
        <w:pStyle w:val="Heading5"/>
      </w:pPr>
      <w:r w:rsidRPr="00717BA5">
        <w:t>NOTE 11.   CASH AND INVESTMENTS</w:t>
      </w:r>
    </w:p>
    <w:p w14:paraId="0A20A055"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Description and Material Accounting Policies Relating to Cash and Investments</w:t>
      </w:r>
    </w:p>
    <w:p w14:paraId="20B39826"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Cash</w:t>
      </w:r>
    </w:p>
    <w:p w14:paraId="24E0B748"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Cash includes </w:t>
      </w:r>
      <w:r w:rsidRPr="00717BA5">
        <w:rPr>
          <w:rFonts w:ascii="Arial" w:eastAsia="Times New Roman" w:hAnsi="Arial" w:cs="Calibri"/>
          <w:color w:val="auto"/>
          <w:lang w:val="en-AU"/>
        </w:rPr>
        <w:t>cash at bank. ACT Leave holds four bank accounts with Westpac Banking Corporation, one for each administered scheme. The bank accounts earned a floating interest rate between 4.05% and 4.80% in 2025-26 (between 4.30% and 4.80% in 2024-25).</w:t>
      </w:r>
    </w:p>
    <w:p w14:paraId="5BE417F3"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Investments</w:t>
      </w:r>
    </w:p>
    <w:p w14:paraId="5877BA77"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Investments </w:t>
      </w:r>
      <w:r w:rsidRPr="00717BA5">
        <w:rPr>
          <w:rFonts w:ascii="Arial" w:eastAsia="Times New Roman" w:hAnsi="Arial" w:cs="Calibri"/>
          <w:color w:val="auto"/>
          <w:lang w:val="en-AU"/>
        </w:rPr>
        <w:t xml:space="preserve">made by ACT Leave are in accordance with the ACT Leave Investment Plan approved by the Treasurer. The Investment Plan sets a strategic asset allocation to meet ACT Leave’s investment return objective. The investment return objective for ACT Leave’s financial investments is the Australian Weekly Ordinary Time Earnings (AWOTE) averaged over five years + 2.5% per annum. </w:t>
      </w:r>
    </w:p>
    <w:p w14:paraId="0439445F"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Investments are held as units in wholesale pooled funds managed by an independent investment manager</w:t>
      </w:r>
      <w:r w:rsidRPr="00717BA5">
        <w:rPr>
          <w:rFonts w:ascii="Arial" w:eastAsia="Times New Roman" w:hAnsi="Arial" w:cs="Calibri"/>
          <w:color w:val="auto"/>
          <w:lang w:val="en-AU"/>
        </w:rPr>
        <w:t xml:space="preserve"> (Vanguard Australia), with the underlying portfolio including fixed interest investments, property securities, and equity investments which are valued by the fund manager based on the market value of these asset classes. Investments are measured at fair value with any adjustments to the carrying amount recorded in the Operating Statement. Fair value is based on quoted market prices as at the reporting date. The quoted market price used is the current bid price.</w:t>
      </w:r>
    </w:p>
    <w:p w14:paraId="24009B86" w14:textId="77777777" w:rsidR="00717BA5" w:rsidRPr="00717BA5" w:rsidRDefault="00717BA5" w:rsidP="00717BA5">
      <w:pPr>
        <w:adjustRightInd w:val="0"/>
        <w:snapToGrid w:val="0"/>
        <w:rPr>
          <w:rFonts w:ascii="Arial" w:eastAsia="Times New Roman" w:hAnsi="Arial" w:cs="Calibri"/>
          <w:b/>
          <w:color w:val="auto"/>
          <w:lang w:val="en-AU"/>
        </w:rPr>
      </w:pPr>
      <w:r w:rsidRPr="00717BA5">
        <w:rPr>
          <w:rFonts w:ascii="Arial" w:eastAsia="Times New Roman" w:hAnsi="Arial" w:cs="Arial"/>
          <w:color w:val="auto"/>
          <w:lang w:val="en-AU"/>
        </w:rPr>
        <w:t xml:space="preserve">Subsequent to initial measurement, investments are re-measured to fair value with changes in their fair value (gains/loss) recognised in the Operating Statement (Note </w:t>
      </w:r>
      <w:r w:rsidRPr="00717BA5">
        <w:rPr>
          <w:rFonts w:ascii="Arial" w:eastAsia="Times New Roman" w:hAnsi="Arial" w:cs="Calibri"/>
          <w:color w:val="auto"/>
          <w:lang w:val="en-AU"/>
        </w:rPr>
        <w:t xml:space="preserve">6 </w:t>
      </w:r>
      <w:r w:rsidRPr="00717BA5">
        <w:rPr>
          <w:rFonts w:ascii="Arial" w:eastAsia="Times New Roman" w:hAnsi="Arial" w:cs="Calibri"/>
          <w:i/>
          <w:snapToGrid w:val="0"/>
          <w:color w:val="auto"/>
          <w:lang w:val="en-AU"/>
        </w:rPr>
        <w:t>Gains from Remeasurement of Assets</w:t>
      </w:r>
      <w:r w:rsidRPr="00717BA5">
        <w:rPr>
          <w:rFonts w:ascii="Arial" w:eastAsia="Times New Roman" w:hAnsi="Arial" w:cs="Calibri"/>
          <w:color w:val="auto"/>
          <w:lang w:val="en-AU"/>
        </w:rPr>
        <w:t xml:space="preserve">). Distributions earned on these investments are disclosed in Note 7 </w:t>
      </w:r>
      <w:r w:rsidRPr="00717BA5">
        <w:rPr>
          <w:rFonts w:ascii="Arial" w:eastAsia="Times New Roman" w:hAnsi="Arial" w:cs="Calibri"/>
          <w:i/>
          <w:color w:val="auto"/>
          <w:lang w:val="en-AU"/>
        </w:rPr>
        <w:t>Investment Revenue</w:t>
      </w:r>
      <w:r w:rsidRPr="00717BA5">
        <w:rPr>
          <w:rFonts w:ascii="Arial" w:eastAsia="Times New Roman" w:hAnsi="Arial" w:cs="Calibri"/>
          <w:color w:val="auto"/>
          <w:lang w:val="en-AU"/>
        </w:rPr>
        <w:t>.</w:t>
      </w:r>
    </w:p>
    <w:p w14:paraId="465B2132" w14:textId="77777777" w:rsidR="00717BA5" w:rsidRPr="00717BA5" w:rsidRDefault="00717BA5" w:rsidP="00717BA5">
      <w:pPr>
        <w:numPr>
          <w:ilvl w:val="0"/>
          <w:numId w:val="80"/>
        </w:numPr>
        <w:spacing w:after="120" w:line="240" w:lineRule="auto"/>
        <w:ind w:left="357" w:hanging="357"/>
        <w:jc w:val="both"/>
        <w:rPr>
          <w:rFonts w:ascii="Arial" w:eastAsia="Times New Roman" w:hAnsi="Arial" w:cs="Arial"/>
          <w:b/>
          <w:bCs/>
          <w:color w:val="auto"/>
          <w:lang w:val="en-AU"/>
        </w:rPr>
      </w:pPr>
      <w:r w:rsidRPr="00717BA5">
        <w:rPr>
          <w:rFonts w:ascii="Arial" w:eastAsia="Times New Roman" w:hAnsi="Arial" w:cs="Arial"/>
          <w:b/>
          <w:bCs/>
          <w:color w:val="auto"/>
          <w:lang w:val="en-AU"/>
        </w:rPr>
        <w:t>Cash and Investment Balances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50"/>
        <w:gridCol w:w="1246"/>
        <w:gridCol w:w="607"/>
        <w:gridCol w:w="1246"/>
      </w:tblGrid>
      <w:tr w:rsidR="00717BA5" w:rsidRPr="00717BA5" w14:paraId="01C2EF63" w14:textId="77777777" w:rsidTr="00F0752D">
        <w:trPr>
          <w:trHeight w:val="272"/>
        </w:trPr>
        <w:tc>
          <w:tcPr>
            <w:tcW w:w="3443" w:type="pct"/>
            <w:tcBorders>
              <w:top w:val="nil"/>
              <w:left w:val="nil"/>
              <w:bottom w:val="nil"/>
              <w:right w:val="nil"/>
            </w:tcBorders>
            <w:vAlign w:val="bottom"/>
          </w:tcPr>
          <w:p w14:paraId="311559E0" w14:textId="77777777" w:rsidR="00717BA5" w:rsidRPr="00717BA5" w:rsidRDefault="00717BA5" w:rsidP="00717BA5">
            <w:pPr>
              <w:tabs>
                <w:tab w:val="left" w:pos="3306"/>
              </w:tabs>
              <w:spacing w:before="40" w:after="0" w:line="240" w:lineRule="auto"/>
              <w:rPr>
                <w:rFonts w:ascii="Arial" w:eastAsia="Times New Roman" w:hAnsi="Arial" w:cs="Arial"/>
                <w:b/>
                <w:color w:val="auto"/>
                <w:sz w:val="18"/>
                <w:szCs w:val="18"/>
                <w:lang w:val="en-AU" w:eastAsia="en-US"/>
              </w:rPr>
            </w:pPr>
          </w:p>
        </w:tc>
        <w:tc>
          <w:tcPr>
            <w:tcW w:w="626" w:type="pct"/>
            <w:tcBorders>
              <w:top w:val="nil"/>
              <w:left w:val="nil"/>
              <w:bottom w:val="nil"/>
              <w:right w:val="nil"/>
            </w:tcBorders>
            <w:vAlign w:val="bottom"/>
          </w:tcPr>
          <w:p w14:paraId="1B25B0A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p w14:paraId="0FF5EA8E" w14:textId="77777777" w:rsidR="00717BA5" w:rsidRPr="00717BA5" w:rsidRDefault="00717BA5" w:rsidP="00717BA5">
            <w:pPr>
              <w:tabs>
                <w:tab w:val="left" w:pos="3306"/>
              </w:tabs>
              <w:spacing w:before="40" w:after="0" w:line="240" w:lineRule="auto"/>
              <w:jc w:val="right"/>
              <w:rPr>
                <w:rFonts w:ascii="Arial" w:eastAsia="Times New Roman" w:hAnsi="Arial" w:cs="Arial"/>
                <w:b/>
                <w:color w:val="auto"/>
                <w:sz w:val="18"/>
                <w:szCs w:val="18"/>
                <w:lang w:val="en-AU" w:eastAsia="en-US"/>
              </w:rPr>
            </w:pPr>
            <w:r w:rsidRPr="00717BA5">
              <w:rPr>
                <w:rFonts w:ascii="Arial" w:eastAsia="Times New Roman" w:hAnsi="Arial" w:cs="Arial"/>
                <w:b/>
                <w:bCs/>
                <w:color w:val="auto"/>
                <w:sz w:val="18"/>
                <w:szCs w:val="18"/>
                <w:lang w:val="en-AU"/>
              </w:rPr>
              <w:t>$’000</w:t>
            </w:r>
          </w:p>
        </w:tc>
        <w:tc>
          <w:tcPr>
            <w:tcW w:w="305" w:type="pct"/>
            <w:tcBorders>
              <w:top w:val="nil"/>
              <w:left w:val="nil"/>
              <w:bottom w:val="nil"/>
              <w:right w:val="nil"/>
            </w:tcBorders>
            <w:vAlign w:val="bottom"/>
          </w:tcPr>
          <w:p w14:paraId="683409C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nil"/>
              <w:left w:val="nil"/>
              <w:bottom w:val="nil"/>
              <w:right w:val="nil"/>
            </w:tcBorders>
            <w:vAlign w:val="bottom"/>
          </w:tcPr>
          <w:p w14:paraId="2F68CA8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p w14:paraId="622D5FD9" w14:textId="77777777" w:rsidR="00717BA5" w:rsidRPr="00717BA5" w:rsidRDefault="00717BA5" w:rsidP="00717BA5">
            <w:pPr>
              <w:tabs>
                <w:tab w:val="left" w:pos="3306"/>
              </w:tabs>
              <w:spacing w:before="40" w:after="0" w:line="240" w:lineRule="auto"/>
              <w:jc w:val="right"/>
              <w:rPr>
                <w:rFonts w:ascii="Arial" w:eastAsia="Times New Roman" w:hAnsi="Arial" w:cs="Arial"/>
                <w:b/>
                <w:color w:val="auto"/>
                <w:sz w:val="18"/>
                <w:szCs w:val="18"/>
                <w:lang w:val="en-AU" w:eastAsia="en-US"/>
              </w:rPr>
            </w:pPr>
            <w:r w:rsidRPr="00717BA5">
              <w:rPr>
                <w:rFonts w:ascii="Arial" w:eastAsia="Times New Roman" w:hAnsi="Arial" w:cs="Arial"/>
                <w:b/>
                <w:bCs/>
                <w:color w:val="auto"/>
                <w:sz w:val="18"/>
                <w:szCs w:val="18"/>
                <w:lang w:val="en-AU"/>
              </w:rPr>
              <w:t>$’000</w:t>
            </w:r>
          </w:p>
        </w:tc>
      </w:tr>
      <w:tr w:rsidR="00717BA5" w:rsidRPr="00717BA5" w14:paraId="2AF4018E" w14:textId="77777777" w:rsidTr="00F0752D">
        <w:trPr>
          <w:trHeight w:val="272"/>
        </w:trPr>
        <w:tc>
          <w:tcPr>
            <w:tcW w:w="3443" w:type="pct"/>
            <w:tcBorders>
              <w:top w:val="nil"/>
              <w:left w:val="nil"/>
              <w:bottom w:val="nil"/>
              <w:right w:val="nil"/>
            </w:tcBorders>
            <w:vAlign w:val="bottom"/>
          </w:tcPr>
          <w:p w14:paraId="2E665D7E"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b/>
                <w:bCs/>
                <w:color w:val="auto"/>
                <w:sz w:val="18"/>
                <w:szCs w:val="18"/>
                <w:lang w:val="en-AU" w:eastAsia="en-US"/>
              </w:rPr>
              <w:t>Cash and Investments</w:t>
            </w:r>
          </w:p>
        </w:tc>
        <w:tc>
          <w:tcPr>
            <w:tcW w:w="626" w:type="pct"/>
            <w:tcBorders>
              <w:top w:val="nil"/>
              <w:left w:val="nil"/>
              <w:bottom w:val="nil"/>
              <w:right w:val="nil"/>
            </w:tcBorders>
            <w:vAlign w:val="bottom"/>
          </w:tcPr>
          <w:p w14:paraId="281D6AEB"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305" w:type="pct"/>
            <w:tcBorders>
              <w:top w:val="nil"/>
              <w:left w:val="nil"/>
              <w:bottom w:val="nil"/>
              <w:right w:val="nil"/>
            </w:tcBorders>
            <w:vAlign w:val="bottom"/>
          </w:tcPr>
          <w:p w14:paraId="0B9B7013"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nil"/>
              <w:right w:val="nil"/>
            </w:tcBorders>
            <w:vAlign w:val="bottom"/>
          </w:tcPr>
          <w:p w14:paraId="65272CF1"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69F5F1D4" w14:textId="77777777" w:rsidTr="00F0752D">
        <w:trPr>
          <w:trHeight w:val="82"/>
        </w:trPr>
        <w:tc>
          <w:tcPr>
            <w:tcW w:w="3443" w:type="pct"/>
            <w:tcBorders>
              <w:top w:val="nil"/>
              <w:left w:val="nil"/>
              <w:bottom w:val="nil"/>
              <w:right w:val="nil"/>
            </w:tcBorders>
            <w:vAlign w:val="bottom"/>
          </w:tcPr>
          <w:p w14:paraId="6DEC5C8E" w14:textId="77777777" w:rsidR="00717BA5" w:rsidRPr="00717BA5" w:rsidRDefault="00717BA5" w:rsidP="00717BA5">
            <w:pPr>
              <w:tabs>
                <w:tab w:val="left" w:pos="3306"/>
              </w:tabs>
              <w:spacing w:after="0" w:line="240" w:lineRule="auto"/>
              <w:rPr>
                <w:rFonts w:ascii="Arial" w:eastAsia="Times New Roman" w:hAnsi="Arial" w:cs="Arial"/>
                <w:b/>
                <w:bCs/>
                <w:i/>
                <w:iCs/>
                <w:color w:val="auto"/>
                <w:sz w:val="18"/>
                <w:szCs w:val="18"/>
                <w:lang w:val="en-AU" w:eastAsia="en-US"/>
              </w:rPr>
            </w:pPr>
            <w:r w:rsidRPr="00717BA5">
              <w:rPr>
                <w:rFonts w:ascii="Arial" w:eastAsia="Times New Roman" w:hAnsi="Arial" w:cs="Arial"/>
                <w:i/>
                <w:iCs/>
                <w:color w:val="auto"/>
                <w:sz w:val="18"/>
                <w:szCs w:val="18"/>
                <w:lang w:val="en-AU" w:eastAsia="en-US"/>
              </w:rPr>
              <w:t>Cash</w:t>
            </w:r>
          </w:p>
        </w:tc>
        <w:tc>
          <w:tcPr>
            <w:tcW w:w="626" w:type="pct"/>
            <w:tcBorders>
              <w:top w:val="nil"/>
              <w:left w:val="nil"/>
              <w:bottom w:val="nil"/>
              <w:right w:val="nil"/>
            </w:tcBorders>
            <w:vAlign w:val="bottom"/>
          </w:tcPr>
          <w:p w14:paraId="1FA7A7BA"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305" w:type="pct"/>
            <w:tcBorders>
              <w:top w:val="nil"/>
              <w:left w:val="nil"/>
              <w:bottom w:val="nil"/>
              <w:right w:val="nil"/>
            </w:tcBorders>
            <w:vAlign w:val="bottom"/>
          </w:tcPr>
          <w:p w14:paraId="7DDA5306"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nil"/>
              <w:right w:val="nil"/>
            </w:tcBorders>
            <w:vAlign w:val="bottom"/>
          </w:tcPr>
          <w:p w14:paraId="3BAFFFD2"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21EEA0AD" w14:textId="77777777" w:rsidTr="00F0752D">
        <w:trPr>
          <w:trHeight w:val="20"/>
        </w:trPr>
        <w:tc>
          <w:tcPr>
            <w:tcW w:w="3443" w:type="pct"/>
            <w:tcBorders>
              <w:top w:val="nil"/>
              <w:left w:val="nil"/>
              <w:bottom w:val="nil"/>
              <w:right w:val="nil"/>
            </w:tcBorders>
            <w:vAlign w:val="bottom"/>
          </w:tcPr>
          <w:p w14:paraId="1B4B4A5A" w14:textId="77777777" w:rsidR="00717BA5" w:rsidRPr="00717BA5" w:rsidRDefault="00717BA5" w:rsidP="00717BA5">
            <w:pPr>
              <w:spacing w:after="0" w:line="240" w:lineRule="auto"/>
              <w:ind w:left="405"/>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Building and Construction Industry</w:t>
            </w:r>
          </w:p>
        </w:tc>
        <w:tc>
          <w:tcPr>
            <w:tcW w:w="626" w:type="pct"/>
            <w:tcBorders>
              <w:top w:val="nil"/>
              <w:left w:val="nil"/>
              <w:bottom w:val="nil"/>
              <w:right w:val="nil"/>
            </w:tcBorders>
            <w:vAlign w:val="bottom"/>
          </w:tcPr>
          <w:p w14:paraId="32702D99"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5,069 </w:t>
            </w:r>
          </w:p>
        </w:tc>
        <w:tc>
          <w:tcPr>
            <w:tcW w:w="305" w:type="pct"/>
            <w:tcBorders>
              <w:top w:val="nil"/>
              <w:left w:val="nil"/>
              <w:bottom w:val="nil"/>
              <w:right w:val="nil"/>
            </w:tcBorders>
            <w:vAlign w:val="bottom"/>
          </w:tcPr>
          <w:p w14:paraId="14920453"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nil"/>
              <w:right w:val="nil"/>
            </w:tcBorders>
            <w:vAlign w:val="bottom"/>
          </w:tcPr>
          <w:p w14:paraId="40BCB167"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3,863</w:t>
            </w:r>
          </w:p>
        </w:tc>
      </w:tr>
      <w:tr w:rsidR="00717BA5" w:rsidRPr="00717BA5" w14:paraId="2FF7DC1A" w14:textId="77777777" w:rsidTr="00F0752D">
        <w:trPr>
          <w:trHeight w:val="23"/>
        </w:trPr>
        <w:tc>
          <w:tcPr>
            <w:tcW w:w="3443" w:type="pct"/>
            <w:tcBorders>
              <w:top w:val="nil"/>
              <w:left w:val="nil"/>
              <w:bottom w:val="nil"/>
              <w:right w:val="nil"/>
            </w:tcBorders>
            <w:vAlign w:val="bottom"/>
          </w:tcPr>
          <w:p w14:paraId="5A96C1AC" w14:textId="77777777" w:rsidR="00717BA5" w:rsidRPr="00717BA5" w:rsidRDefault="00717BA5" w:rsidP="00717BA5">
            <w:pPr>
              <w:spacing w:after="0" w:line="240" w:lineRule="auto"/>
              <w:ind w:left="405"/>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Services Industry</w:t>
            </w:r>
          </w:p>
        </w:tc>
        <w:tc>
          <w:tcPr>
            <w:tcW w:w="626" w:type="pct"/>
            <w:tcBorders>
              <w:top w:val="nil"/>
              <w:left w:val="nil"/>
              <w:bottom w:val="nil"/>
              <w:right w:val="nil"/>
            </w:tcBorders>
            <w:vAlign w:val="bottom"/>
          </w:tcPr>
          <w:p w14:paraId="6490BF7F"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407 </w:t>
            </w:r>
          </w:p>
        </w:tc>
        <w:tc>
          <w:tcPr>
            <w:tcW w:w="305" w:type="pct"/>
            <w:tcBorders>
              <w:top w:val="nil"/>
              <w:left w:val="nil"/>
              <w:bottom w:val="nil"/>
              <w:right w:val="nil"/>
            </w:tcBorders>
            <w:vAlign w:val="bottom"/>
          </w:tcPr>
          <w:p w14:paraId="200F4713"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nil"/>
              <w:right w:val="nil"/>
            </w:tcBorders>
            <w:vAlign w:val="bottom"/>
          </w:tcPr>
          <w:p w14:paraId="052678E0"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296</w:t>
            </w:r>
          </w:p>
        </w:tc>
      </w:tr>
      <w:tr w:rsidR="00717BA5" w:rsidRPr="00717BA5" w14:paraId="6E30E5C2" w14:textId="77777777" w:rsidTr="00F0752D">
        <w:trPr>
          <w:trHeight w:val="20"/>
        </w:trPr>
        <w:tc>
          <w:tcPr>
            <w:tcW w:w="3443" w:type="pct"/>
            <w:tcBorders>
              <w:top w:val="nil"/>
              <w:left w:val="nil"/>
              <w:bottom w:val="nil"/>
              <w:right w:val="nil"/>
            </w:tcBorders>
            <w:vAlign w:val="center"/>
          </w:tcPr>
          <w:p w14:paraId="52C3AA29" w14:textId="77777777" w:rsidR="00717BA5" w:rsidRPr="00717BA5" w:rsidRDefault="00717BA5" w:rsidP="00717BA5">
            <w:pPr>
              <w:spacing w:after="0" w:line="240" w:lineRule="auto"/>
              <w:ind w:left="405"/>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Community Sector Industry</w:t>
            </w:r>
          </w:p>
        </w:tc>
        <w:tc>
          <w:tcPr>
            <w:tcW w:w="626" w:type="pct"/>
            <w:tcBorders>
              <w:top w:val="nil"/>
              <w:left w:val="nil"/>
              <w:bottom w:val="nil"/>
              <w:right w:val="nil"/>
            </w:tcBorders>
            <w:vAlign w:val="center"/>
          </w:tcPr>
          <w:p w14:paraId="3763C322" w14:textId="77777777" w:rsidR="00717BA5" w:rsidRPr="00717BA5" w:rsidRDefault="00717BA5" w:rsidP="00717BA5">
            <w:pPr>
              <w:tabs>
                <w:tab w:val="left" w:pos="3306"/>
              </w:tabs>
              <w:spacing w:before="40"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2,709 </w:t>
            </w:r>
          </w:p>
        </w:tc>
        <w:tc>
          <w:tcPr>
            <w:tcW w:w="305" w:type="pct"/>
            <w:tcBorders>
              <w:top w:val="nil"/>
              <w:left w:val="nil"/>
              <w:bottom w:val="nil"/>
              <w:right w:val="nil"/>
            </w:tcBorders>
            <w:vAlign w:val="center"/>
          </w:tcPr>
          <w:p w14:paraId="0941B9D5" w14:textId="77777777" w:rsidR="00717BA5" w:rsidRPr="00717BA5" w:rsidRDefault="00717BA5" w:rsidP="00717BA5">
            <w:pPr>
              <w:tabs>
                <w:tab w:val="left" w:pos="3306"/>
              </w:tabs>
              <w:spacing w:before="40"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nil"/>
              <w:right w:val="nil"/>
            </w:tcBorders>
            <w:vAlign w:val="center"/>
          </w:tcPr>
          <w:p w14:paraId="3982E8FC" w14:textId="77777777" w:rsidR="00717BA5" w:rsidRPr="00717BA5" w:rsidRDefault="00717BA5" w:rsidP="00717BA5">
            <w:pPr>
              <w:tabs>
                <w:tab w:val="left" w:pos="3306"/>
              </w:tabs>
              <w:spacing w:before="40"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1,469</w:t>
            </w:r>
          </w:p>
        </w:tc>
      </w:tr>
      <w:tr w:rsidR="00717BA5" w:rsidRPr="00717BA5" w14:paraId="42AAA478" w14:textId="77777777" w:rsidTr="00F0752D">
        <w:trPr>
          <w:trHeight w:val="20"/>
        </w:trPr>
        <w:tc>
          <w:tcPr>
            <w:tcW w:w="3443" w:type="pct"/>
            <w:tcBorders>
              <w:top w:val="nil"/>
              <w:left w:val="nil"/>
              <w:bottom w:val="nil"/>
              <w:right w:val="nil"/>
            </w:tcBorders>
            <w:vAlign w:val="bottom"/>
          </w:tcPr>
          <w:p w14:paraId="64EB37FD" w14:textId="77777777" w:rsidR="00717BA5" w:rsidRPr="00717BA5" w:rsidRDefault="00717BA5" w:rsidP="00717BA5">
            <w:pPr>
              <w:spacing w:after="0" w:line="240" w:lineRule="auto"/>
              <w:ind w:left="405"/>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Security Industry</w:t>
            </w:r>
          </w:p>
        </w:tc>
        <w:tc>
          <w:tcPr>
            <w:tcW w:w="626" w:type="pct"/>
            <w:tcBorders>
              <w:top w:val="nil"/>
              <w:left w:val="nil"/>
              <w:bottom w:val="single" w:sz="2" w:space="0" w:color="auto"/>
              <w:right w:val="nil"/>
            </w:tcBorders>
            <w:vAlign w:val="bottom"/>
          </w:tcPr>
          <w:p w14:paraId="2ECFD022"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317 </w:t>
            </w:r>
          </w:p>
        </w:tc>
        <w:tc>
          <w:tcPr>
            <w:tcW w:w="305" w:type="pct"/>
            <w:tcBorders>
              <w:top w:val="nil"/>
              <w:left w:val="nil"/>
              <w:bottom w:val="nil"/>
              <w:right w:val="nil"/>
            </w:tcBorders>
            <w:vAlign w:val="bottom"/>
          </w:tcPr>
          <w:p w14:paraId="75707F6A"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single" w:sz="2" w:space="0" w:color="auto"/>
              <w:right w:val="nil"/>
            </w:tcBorders>
            <w:vAlign w:val="bottom"/>
          </w:tcPr>
          <w:p w14:paraId="77D50841"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314</w:t>
            </w:r>
          </w:p>
        </w:tc>
      </w:tr>
      <w:tr w:rsidR="00717BA5" w:rsidRPr="00717BA5" w14:paraId="1B9B168C" w14:textId="77777777" w:rsidTr="00F0752D">
        <w:trPr>
          <w:trHeight w:val="20"/>
        </w:trPr>
        <w:tc>
          <w:tcPr>
            <w:tcW w:w="3443" w:type="pct"/>
            <w:tcBorders>
              <w:top w:val="nil"/>
              <w:left w:val="nil"/>
              <w:bottom w:val="nil"/>
              <w:right w:val="nil"/>
            </w:tcBorders>
            <w:vAlign w:val="bottom"/>
          </w:tcPr>
          <w:p w14:paraId="27745701" w14:textId="20B4009A" w:rsidR="00717BA5" w:rsidRPr="00717BA5" w:rsidRDefault="00717BA5" w:rsidP="00717BA5">
            <w:pPr>
              <w:keepNext/>
              <w:tabs>
                <w:tab w:val="left" w:pos="3306"/>
              </w:tabs>
              <w:spacing w:after="0" w:line="240" w:lineRule="auto"/>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Total Cash</w:t>
            </w:r>
            <w:r w:rsidR="00FC0A57">
              <w:rPr>
                <w:rFonts w:ascii="ZWAdobeF" w:eastAsia="Times New Roman" w:hAnsi="ZWAdobeF" w:cs="ZWAdobeF"/>
                <w:bCs/>
                <w:color w:val="auto"/>
                <w:sz w:val="2"/>
                <w:szCs w:val="2"/>
                <w:lang w:val="en-AU" w:eastAsia="en-US"/>
              </w:rPr>
              <w:t>10F</w:t>
            </w:r>
            <w:r w:rsidRPr="00717BA5">
              <w:rPr>
                <w:rFonts w:ascii="Arial" w:eastAsia="Times New Roman" w:hAnsi="Arial" w:cs="Arial"/>
                <w:b/>
                <w:bCs/>
                <w:color w:val="auto"/>
                <w:sz w:val="18"/>
                <w:szCs w:val="18"/>
                <w:vertAlign w:val="superscript"/>
                <w:lang w:val="en-AU" w:eastAsia="en-US"/>
              </w:rPr>
              <w:footnoteReference w:id="12"/>
            </w:r>
          </w:p>
        </w:tc>
        <w:tc>
          <w:tcPr>
            <w:tcW w:w="626" w:type="pct"/>
            <w:tcBorders>
              <w:top w:val="single" w:sz="2" w:space="0" w:color="auto"/>
              <w:left w:val="nil"/>
              <w:bottom w:val="single" w:sz="4" w:space="0" w:color="auto"/>
              <w:right w:val="nil"/>
            </w:tcBorders>
            <w:vAlign w:val="bottom"/>
          </w:tcPr>
          <w:p w14:paraId="353A78D0"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8,501</w:t>
            </w:r>
          </w:p>
        </w:tc>
        <w:tc>
          <w:tcPr>
            <w:tcW w:w="305" w:type="pct"/>
            <w:tcBorders>
              <w:top w:val="nil"/>
              <w:left w:val="nil"/>
              <w:bottom w:val="nil"/>
              <w:right w:val="nil"/>
            </w:tcBorders>
            <w:vAlign w:val="bottom"/>
          </w:tcPr>
          <w:p w14:paraId="1F3986ED"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p>
        </w:tc>
        <w:tc>
          <w:tcPr>
            <w:tcW w:w="626" w:type="pct"/>
            <w:tcBorders>
              <w:top w:val="single" w:sz="2" w:space="0" w:color="auto"/>
              <w:left w:val="nil"/>
              <w:bottom w:val="single" w:sz="4" w:space="0" w:color="auto"/>
              <w:right w:val="nil"/>
            </w:tcBorders>
            <w:vAlign w:val="bottom"/>
          </w:tcPr>
          <w:p w14:paraId="7CF9F0E2"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5,942</w:t>
            </w:r>
          </w:p>
        </w:tc>
      </w:tr>
      <w:tr w:rsidR="00717BA5" w:rsidRPr="00717BA5" w14:paraId="73FF124A" w14:textId="77777777" w:rsidTr="00F0752D">
        <w:trPr>
          <w:trHeight w:val="20"/>
        </w:trPr>
        <w:tc>
          <w:tcPr>
            <w:tcW w:w="3443" w:type="pct"/>
            <w:tcBorders>
              <w:top w:val="nil"/>
              <w:left w:val="nil"/>
              <w:bottom w:val="nil"/>
              <w:right w:val="nil"/>
            </w:tcBorders>
            <w:vAlign w:val="bottom"/>
          </w:tcPr>
          <w:p w14:paraId="27BCC9DC" w14:textId="77777777" w:rsidR="00717BA5" w:rsidRPr="00717BA5" w:rsidRDefault="00717BA5" w:rsidP="00717BA5">
            <w:pPr>
              <w:keepNext/>
              <w:tabs>
                <w:tab w:val="left" w:pos="3306"/>
              </w:tabs>
              <w:spacing w:after="0" w:line="240" w:lineRule="auto"/>
              <w:rPr>
                <w:rFonts w:ascii="Arial" w:eastAsia="Times New Roman" w:hAnsi="Arial" w:cs="Arial"/>
                <w:b/>
                <w:bCs/>
                <w:color w:val="auto"/>
                <w:sz w:val="18"/>
                <w:szCs w:val="18"/>
                <w:highlight w:val="yellow"/>
                <w:lang w:val="en-AU" w:eastAsia="en-US"/>
              </w:rPr>
            </w:pPr>
          </w:p>
        </w:tc>
        <w:tc>
          <w:tcPr>
            <w:tcW w:w="626" w:type="pct"/>
            <w:tcBorders>
              <w:top w:val="single" w:sz="4" w:space="0" w:color="auto"/>
              <w:left w:val="nil"/>
              <w:bottom w:val="nil"/>
              <w:right w:val="nil"/>
            </w:tcBorders>
            <w:vAlign w:val="bottom"/>
          </w:tcPr>
          <w:p w14:paraId="1098BDF6"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p>
        </w:tc>
        <w:tc>
          <w:tcPr>
            <w:tcW w:w="305" w:type="pct"/>
            <w:tcBorders>
              <w:top w:val="nil"/>
              <w:left w:val="nil"/>
              <w:bottom w:val="nil"/>
              <w:right w:val="nil"/>
            </w:tcBorders>
            <w:vAlign w:val="bottom"/>
          </w:tcPr>
          <w:p w14:paraId="4EBC5351"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p>
        </w:tc>
        <w:tc>
          <w:tcPr>
            <w:tcW w:w="626" w:type="pct"/>
            <w:tcBorders>
              <w:top w:val="single" w:sz="4" w:space="0" w:color="auto"/>
              <w:left w:val="nil"/>
              <w:bottom w:val="nil"/>
              <w:right w:val="nil"/>
            </w:tcBorders>
            <w:vAlign w:val="bottom"/>
          </w:tcPr>
          <w:p w14:paraId="29D5392C"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p>
        </w:tc>
      </w:tr>
      <w:tr w:rsidR="00717BA5" w:rsidRPr="00717BA5" w14:paraId="1A0C3DFB" w14:textId="77777777" w:rsidTr="00F0752D">
        <w:trPr>
          <w:trHeight w:val="20"/>
        </w:trPr>
        <w:tc>
          <w:tcPr>
            <w:tcW w:w="3443" w:type="pct"/>
            <w:tcBorders>
              <w:top w:val="nil"/>
              <w:left w:val="nil"/>
              <w:bottom w:val="nil"/>
              <w:right w:val="nil"/>
            </w:tcBorders>
            <w:vAlign w:val="bottom"/>
          </w:tcPr>
          <w:p w14:paraId="1B6DA1C3" w14:textId="77777777" w:rsidR="00717BA5" w:rsidRPr="00717BA5" w:rsidRDefault="00717BA5" w:rsidP="00717BA5">
            <w:pPr>
              <w:tabs>
                <w:tab w:val="left" w:pos="3306"/>
              </w:tabs>
              <w:spacing w:after="0" w:line="240" w:lineRule="auto"/>
              <w:rPr>
                <w:rFonts w:ascii="Arial" w:eastAsia="Times New Roman" w:hAnsi="Arial" w:cs="Arial"/>
                <w:i/>
                <w:iCs/>
                <w:color w:val="auto"/>
                <w:sz w:val="18"/>
                <w:szCs w:val="18"/>
                <w:lang w:val="en-AU" w:eastAsia="en-US"/>
              </w:rPr>
            </w:pPr>
            <w:r w:rsidRPr="00717BA5">
              <w:rPr>
                <w:rFonts w:ascii="Arial" w:eastAsia="Times New Roman" w:hAnsi="Arial" w:cs="Arial"/>
                <w:i/>
                <w:iCs/>
                <w:color w:val="auto"/>
                <w:sz w:val="18"/>
                <w:szCs w:val="18"/>
                <w:lang w:val="en-AU" w:eastAsia="en-US"/>
              </w:rPr>
              <w:t>Investments</w:t>
            </w:r>
          </w:p>
        </w:tc>
        <w:tc>
          <w:tcPr>
            <w:tcW w:w="626" w:type="pct"/>
            <w:tcBorders>
              <w:top w:val="nil"/>
              <w:left w:val="nil"/>
              <w:bottom w:val="nil"/>
              <w:right w:val="nil"/>
            </w:tcBorders>
            <w:vAlign w:val="bottom"/>
          </w:tcPr>
          <w:p w14:paraId="57E37980"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305" w:type="pct"/>
            <w:tcBorders>
              <w:top w:val="nil"/>
              <w:left w:val="nil"/>
              <w:bottom w:val="nil"/>
              <w:right w:val="nil"/>
            </w:tcBorders>
            <w:vAlign w:val="bottom"/>
          </w:tcPr>
          <w:p w14:paraId="4CB8FE2A"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nil"/>
              <w:right w:val="nil"/>
            </w:tcBorders>
            <w:vAlign w:val="bottom"/>
          </w:tcPr>
          <w:p w14:paraId="6FFB62DA"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0F7A1C92" w14:textId="77777777" w:rsidTr="00F0752D">
        <w:trPr>
          <w:trHeight w:val="20"/>
        </w:trPr>
        <w:tc>
          <w:tcPr>
            <w:tcW w:w="3443" w:type="pct"/>
            <w:tcBorders>
              <w:top w:val="nil"/>
              <w:left w:val="nil"/>
              <w:bottom w:val="nil"/>
              <w:right w:val="nil"/>
            </w:tcBorders>
            <w:vAlign w:val="bottom"/>
          </w:tcPr>
          <w:p w14:paraId="62B29887" w14:textId="77777777" w:rsidR="00717BA5" w:rsidRPr="00717BA5" w:rsidRDefault="00717BA5" w:rsidP="00717BA5">
            <w:pPr>
              <w:spacing w:after="0" w:line="240" w:lineRule="auto"/>
              <w:ind w:left="405"/>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Building and Construction Industry</w:t>
            </w:r>
          </w:p>
        </w:tc>
        <w:tc>
          <w:tcPr>
            <w:tcW w:w="626" w:type="pct"/>
            <w:tcBorders>
              <w:top w:val="nil"/>
              <w:left w:val="nil"/>
              <w:bottom w:val="nil"/>
              <w:right w:val="nil"/>
            </w:tcBorders>
            <w:vAlign w:val="bottom"/>
          </w:tcPr>
          <w:p w14:paraId="789264C8"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216,233 </w:t>
            </w:r>
          </w:p>
        </w:tc>
        <w:tc>
          <w:tcPr>
            <w:tcW w:w="305" w:type="pct"/>
            <w:tcBorders>
              <w:top w:val="nil"/>
              <w:left w:val="nil"/>
              <w:bottom w:val="nil"/>
              <w:right w:val="nil"/>
            </w:tcBorders>
            <w:vAlign w:val="bottom"/>
          </w:tcPr>
          <w:p w14:paraId="23314285"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nil"/>
              <w:right w:val="nil"/>
            </w:tcBorders>
            <w:vAlign w:val="bottom"/>
          </w:tcPr>
          <w:p w14:paraId="33D1B784"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201,778</w:t>
            </w:r>
          </w:p>
        </w:tc>
      </w:tr>
      <w:tr w:rsidR="00717BA5" w:rsidRPr="00717BA5" w14:paraId="2254E839" w14:textId="77777777" w:rsidTr="00F0752D">
        <w:trPr>
          <w:trHeight w:val="20"/>
        </w:trPr>
        <w:tc>
          <w:tcPr>
            <w:tcW w:w="3443" w:type="pct"/>
            <w:tcBorders>
              <w:top w:val="nil"/>
              <w:left w:val="nil"/>
              <w:bottom w:val="nil"/>
              <w:right w:val="nil"/>
            </w:tcBorders>
            <w:vAlign w:val="bottom"/>
          </w:tcPr>
          <w:p w14:paraId="5AA6C9CE" w14:textId="77777777" w:rsidR="00717BA5" w:rsidRPr="00717BA5" w:rsidRDefault="00717BA5" w:rsidP="00717BA5">
            <w:pPr>
              <w:spacing w:after="0" w:line="240" w:lineRule="auto"/>
              <w:ind w:left="405"/>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Services Industry</w:t>
            </w:r>
          </w:p>
        </w:tc>
        <w:tc>
          <w:tcPr>
            <w:tcW w:w="626" w:type="pct"/>
            <w:tcBorders>
              <w:top w:val="nil"/>
              <w:left w:val="nil"/>
              <w:bottom w:val="nil"/>
              <w:right w:val="nil"/>
            </w:tcBorders>
            <w:vAlign w:val="bottom"/>
          </w:tcPr>
          <w:p w14:paraId="4B98C997"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23,434 </w:t>
            </w:r>
          </w:p>
        </w:tc>
        <w:tc>
          <w:tcPr>
            <w:tcW w:w="305" w:type="pct"/>
            <w:tcBorders>
              <w:top w:val="nil"/>
              <w:left w:val="nil"/>
              <w:bottom w:val="nil"/>
              <w:right w:val="nil"/>
            </w:tcBorders>
            <w:vAlign w:val="bottom"/>
          </w:tcPr>
          <w:p w14:paraId="3F7A72F5"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nil"/>
              <w:right w:val="nil"/>
            </w:tcBorders>
            <w:vAlign w:val="bottom"/>
          </w:tcPr>
          <w:p w14:paraId="5798F752"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23,606</w:t>
            </w:r>
          </w:p>
        </w:tc>
      </w:tr>
      <w:tr w:rsidR="00717BA5" w:rsidRPr="00717BA5" w14:paraId="5EFBC014" w14:textId="77777777" w:rsidTr="00F0752D">
        <w:trPr>
          <w:trHeight w:val="20"/>
        </w:trPr>
        <w:tc>
          <w:tcPr>
            <w:tcW w:w="3443" w:type="pct"/>
            <w:tcBorders>
              <w:top w:val="nil"/>
              <w:left w:val="nil"/>
              <w:bottom w:val="nil"/>
              <w:right w:val="nil"/>
            </w:tcBorders>
            <w:vAlign w:val="bottom"/>
          </w:tcPr>
          <w:p w14:paraId="2E5D879C" w14:textId="77777777" w:rsidR="00717BA5" w:rsidRPr="00717BA5" w:rsidRDefault="00717BA5" w:rsidP="00717BA5">
            <w:pPr>
              <w:spacing w:after="0" w:line="240" w:lineRule="auto"/>
              <w:ind w:left="405"/>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Community Sector Industry</w:t>
            </w:r>
          </w:p>
        </w:tc>
        <w:tc>
          <w:tcPr>
            <w:tcW w:w="626" w:type="pct"/>
            <w:tcBorders>
              <w:top w:val="nil"/>
              <w:left w:val="nil"/>
              <w:bottom w:val="nil"/>
              <w:right w:val="nil"/>
            </w:tcBorders>
            <w:vAlign w:val="bottom"/>
          </w:tcPr>
          <w:p w14:paraId="5528284A"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130,644 </w:t>
            </w:r>
          </w:p>
        </w:tc>
        <w:tc>
          <w:tcPr>
            <w:tcW w:w="305" w:type="pct"/>
            <w:tcBorders>
              <w:top w:val="nil"/>
              <w:left w:val="nil"/>
              <w:bottom w:val="nil"/>
              <w:right w:val="nil"/>
            </w:tcBorders>
            <w:vAlign w:val="bottom"/>
          </w:tcPr>
          <w:p w14:paraId="009E76B4"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nil"/>
              <w:right w:val="nil"/>
            </w:tcBorders>
            <w:vAlign w:val="bottom"/>
          </w:tcPr>
          <w:p w14:paraId="5A3C865F"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115,866</w:t>
            </w:r>
          </w:p>
        </w:tc>
      </w:tr>
      <w:tr w:rsidR="00717BA5" w:rsidRPr="00717BA5" w14:paraId="4573EFE0" w14:textId="77777777" w:rsidTr="00F0752D">
        <w:trPr>
          <w:trHeight w:val="20"/>
        </w:trPr>
        <w:tc>
          <w:tcPr>
            <w:tcW w:w="3443" w:type="pct"/>
            <w:tcBorders>
              <w:top w:val="nil"/>
              <w:left w:val="nil"/>
              <w:bottom w:val="nil"/>
              <w:right w:val="nil"/>
            </w:tcBorders>
            <w:vAlign w:val="bottom"/>
          </w:tcPr>
          <w:p w14:paraId="7B04B533" w14:textId="77777777" w:rsidR="00717BA5" w:rsidRPr="00717BA5" w:rsidRDefault="00717BA5" w:rsidP="00717BA5">
            <w:pPr>
              <w:spacing w:after="0" w:line="240" w:lineRule="auto"/>
              <w:ind w:left="405"/>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Security Industry</w:t>
            </w:r>
          </w:p>
        </w:tc>
        <w:tc>
          <w:tcPr>
            <w:tcW w:w="626" w:type="pct"/>
            <w:tcBorders>
              <w:top w:val="nil"/>
              <w:left w:val="nil"/>
              <w:bottom w:val="single" w:sz="4" w:space="0" w:color="auto"/>
              <w:right w:val="nil"/>
            </w:tcBorders>
            <w:vAlign w:val="bottom"/>
          </w:tcPr>
          <w:p w14:paraId="7EA861FB"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9,960 </w:t>
            </w:r>
          </w:p>
        </w:tc>
        <w:tc>
          <w:tcPr>
            <w:tcW w:w="305" w:type="pct"/>
            <w:tcBorders>
              <w:top w:val="nil"/>
              <w:left w:val="nil"/>
              <w:bottom w:val="nil"/>
              <w:right w:val="nil"/>
            </w:tcBorders>
            <w:vAlign w:val="bottom"/>
          </w:tcPr>
          <w:p w14:paraId="1CC3CF26"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c>
          <w:tcPr>
            <w:tcW w:w="626" w:type="pct"/>
            <w:tcBorders>
              <w:top w:val="nil"/>
              <w:left w:val="nil"/>
              <w:bottom w:val="single" w:sz="4" w:space="0" w:color="auto"/>
              <w:right w:val="nil"/>
            </w:tcBorders>
            <w:vAlign w:val="bottom"/>
          </w:tcPr>
          <w:p w14:paraId="1EEEAD1D"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9,822</w:t>
            </w:r>
          </w:p>
        </w:tc>
      </w:tr>
      <w:tr w:rsidR="00717BA5" w:rsidRPr="00717BA5" w14:paraId="32CB1238" w14:textId="77777777" w:rsidTr="00F0752D">
        <w:trPr>
          <w:trHeight w:val="20"/>
        </w:trPr>
        <w:tc>
          <w:tcPr>
            <w:tcW w:w="3443" w:type="pct"/>
            <w:tcBorders>
              <w:top w:val="nil"/>
              <w:left w:val="nil"/>
              <w:bottom w:val="nil"/>
              <w:right w:val="nil"/>
            </w:tcBorders>
            <w:vAlign w:val="bottom"/>
          </w:tcPr>
          <w:p w14:paraId="0BC64303" w14:textId="3487CE04" w:rsidR="00717BA5" w:rsidRPr="00717BA5" w:rsidRDefault="00717BA5" w:rsidP="00717BA5">
            <w:pPr>
              <w:tabs>
                <w:tab w:val="left" w:pos="3306"/>
              </w:tabs>
              <w:spacing w:before="40" w:after="0" w:line="240" w:lineRule="auto"/>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Total Investments</w:t>
            </w:r>
            <w:r w:rsidR="00FC0A57">
              <w:rPr>
                <w:rFonts w:ascii="ZWAdobeF" w:eastAsia="Times New Roman" w:hAnsi="ZWAdobeF" w:cs="ZWAdobeF"/>
                <w:bCs/>
                <w:color w:val="auto"/>
                <w:sz w:val="2"/>
                <w:szCs w:val="2"/>
                <w:lang w:val="en-AU" w:eastAsia="en-US"/>
              </w:rPr>
              <w:t>11F</w:t>
            </w:r>
            <w:r w:rsidRPr="00717BA5">
              <w:rPr>
                <w:rFonts w:ascii="Arial" w:eastAsia="Times New Roman" w:hAnsi="Arial" w:cs="Arial"/>
                <w:b/>
                <w:bCs/>
                <w:color w:val="auto"/>
                <w:sz w:val="18"/>
                <w:szCs w:val="18"/>
                <w:vertAlign w:val="superscript"/>
                <w:lang w:val="en-AU" w:eastAsia="en-US"/>
              </w:rPr>
              <w:footnoteReference w:id="13"/>
            </w:r>
          </w:p>
        </w:tc>
        <w:tc>
          <w:tcPr>
            <w:tcW w:w="626" w:type="pct"/>
            <w:tcBorders>
              <w:top w:val="single" w:sz="4" w:space="0" w:color="auto"/>
              <w:left w:val="nil"/>
              <w:bottom w:val="single" w:sz="2" w:space="0" w:color="auto"/>
              <w:right w:val="nil"/>
            </w:tcBorders>
            <w:vAlign w:val="bottom"/>
          </w:tcPr>
          <w:p w14:paraId="50058D60"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380,271</w:t>
            </w:r>
          </w:p>
        </w:tc>
        <w:tc>
          <w:tcPr>
            <w:tcW w:w="305" w:type="pct"/>
            <w:tcBorders>
              <w:top w:val="nil"/>
              <w:left w:val="nil"/>
              <w:bottom w:val="nil"/>
              <w:right w:val="nil"/>
            </w:tcBorders>
            <w:vAlign w:val="bottom"/>
          </w:tcPr>
          <w:p w14:paraId="000D7A10"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p>
        </w:tc>
        <w:tc>
          <w:tcPr>
            <w:tcW w:w="626" w:type="pct"/>
            <w:tcBorders>
              <w:top w:val="single" w:sz="4" w:space="0" w:color="auto"/>
              <w:left w:val="nil"/>
              <w:bottom w:val="single" w:sz="2" w:space="0" w:color="auto"/>
              <w:right w:val="nil"/>
            </w:tcBorders>
            <w:vAlign w:val="bottom"/>
          </w:tcPr>
          <w:p w14:paraId="201077A7"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351,072</w:t>
            </w:r>
          </w:p>
        </w:tc>
      </w:tr>
      <w:tr w:rsidR="00717BA5" w:rsidRPr="00717BA5" w14:paraId="64C4991D" w14:textId="77777777" w:rsidTr="00F0752D">
        <w:trPr>
          <w:trHeight w:val="20"/>
        </w:trPr>
        <w:tc>
          <w:tcPr>
            <w:tcW w:w="3443" w:type="pct"/>
            <w:tcBorders>
              <w:top w:val="nil"/>
              <w:left w:val="nil"/>
              <w:bottom w:val="nil"/>
              <w:right w:val="nil"/>
            </w:tcBorders>
            <w:vAlign w:val="bottom"/>
          </w:tcPr>
          <w:p w14:paraId="3386B993"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highlight w:val="yellow"/>
                <w:lang w:val="en-AU" w:eastAsia="en-US"/>
              </w:rPr>
            </w:pPr>
          </w:p>
        </w:tc>
        <w:tc>
          <w:tcPr>
            <w:tcW w:w="626" w:type="pct"/>
            <w:tcBorders>
              <w:top w:val="single" w:sz="2" w:space="0" w:color="auto"/>
              <w:left w:val="nil"/>
              <w:bottom w:val="single" w:sz="4" w:space="0" w:color="auto"/>
              <w:right w:val="nil"/>
            </w:tcBorders>
            <w:vAlign w:val="bottom"/>
          </w:tcPr>
          <w:p w14:paraId="5289FDF7" w14:textId="77777777" w:rsidR="00717BA5" w:rsidRPr="00717BA5" w:rsidRDefault="00717BA5" w:rsidP="00717BA5">
            <w:pPr>
              <w:tabs>
                <w:tab w:val="left" w:pos="3306"/>
              </w:tabs>
              <w:spacing w:before="40" w:after="0" w:line="240" w:lineRule="auto"/>
              <w:jc w:val="right"/>
              <w:rPr>
                <w:rFonts w:ascii="Arial" w:eastAsia="Times New Roman" w:hAnsi="Arial" w:cs="Arial"/>
                <w:b/>
                <w:bCs/>
                <w:color w:val="auto"/>
                <w:sz w:val="18"/>
                <w:szCs w:val="18"/>
                <w:lang w:val="en-AU" w:eastAsia="en-US"/>
              </w:rPr>
            </w:pPr>
          </w:p>
        </w:tc>
        <w:tc>
          <w:tcPr>
            <w:tcW w:w="305" w:type="pct"/>
            <w:tcBorders>
              <w:top w:val="nil"/>
              <w:left w:val="nil"/>
              <w:bottom w:val="nil"/>
              <w:right w:val="nil"/>
            </w:tcBorders>
            <w:vAlign w:val="bottom"/>
          </w:tcPr>
          <w:p w14:paraId="12E0C41A" w14:textId="77777777" w:rsidR="00717BA5" w:rsidRPr="00717BA5" w:rsidRDefault="00717BA5" w:rsidP="00717BA5">
            <w:pPr>
              <w:tabs>
                <w:tab w:val="left" w:pos="3306"/>
              </w:tabs>
              <w:spacing w:before="40" w:after="0" w:line="240" w:lineRule="auto"/>
              <w:jc w:val="right"/>
              <w:rPr>
                <w:rFonts w:ascii="Arial" w:eastAsia="Times New Roman" w:hAnsi="Arial" w:cs="Arial"/>
                <w:b/>
                <w:bCs/>
                <w:color w:val="auto"/>
                <w:sz w:val="18"/>
                <w:szCs w:val="18"/>
                <w:lang w:val="en-AU" w:eastAsia="en-US"/>
              </w:rPr>
            </w:pPr>
          </w:p>
        </w:tc>
        <w:tc>
          <w:tcPr>
            <w:tcW w:w="626" w:type="pct"/>
            <w:tcBorders>
              <w:top w:val="single" w:sz="2" w:space="0" w:color="auto"/>
              <w:left w:val="nil"/>
              <w:bottom w:val="single" w:sz="4" w:space="0" w:color="auto"/>
              <w:right w:val="nil"/>
            </w:tcBorders>
            <w:vAlign w:val="bottom"/>
          </w:tcPr>
          <w:p w14:paraId="53CFC4FA" w14:textId="77777777" w:rsidR="00717BA5" w:rsidRPr="00717BA5" w:rsidRDefault="00717BA5" w:rsidP="00717BA5">
            <w:pPr>
              <w:tabs>
                <w:tab w:val="left" w:pos="3306"/>
              </w:tabs>
              <w:spacing w:before="40" w:after="0" w:line="240" w:lineRule="auto"/>
              <w:jc w:val="right"/>
              <w:rPr>
                <w:rFonts w:ascii="Arial" w:eastAsia="Times New Roman" w:hAnsi="Arial" w:cs="Arial"/>
                <w:b/>
                <w:bCs/>
                <w:color w:val="auto"/>
                <w:sz w:val="18"/>
                <w:szCs w:val="18"/>
                <w:lang w:val="en-AU" w:eastAsia="en-US"/>
              </w:rPr>
            </w:pPr>
          </w:p>
        </w:tc>
      </w:tr>
      <w:tr w:rsidR="00717BA5" w:rsidRPr="00717BA5" w14:paraId="41A23AEC" w14:textId="77777777" w:rsidTr="00F0752D">
        <w:trPr>
          <w:trHeight w:val="20"/>
        </w:trPr>
        <w:tc>
          <w:tcPr>
            <w:tcW w:w="3443" w:type="pct"/>
            <w:tcBorders>
              <w:top w:val="nil"/>
              <w:left w:val="nil"/>
              <w:bottom w:val="nil"/>
              <w:right w:val="nil"/>
            </w:tcBorders>
            <w:vAlign w:val="bottom"/>
          </w:tcPr>
          <w:p w14:paraId="6532D5C2" w14:textId="77777777" w:rsidR="00717BA5" w:rsidRPr="00717BA5" w:rsidRDefault="00717BA5" w:rsidP="00717BA5">
            <w:pPr>
              <w:tabs>
                <w:tab w:val="left" w:pos="3306"/>
              </w:tabs>
              <w:spacing w:before="40" w:after="0" w:line="240" w:lineRule="auto"/>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Total Cash and Investments</w:t>
            </w:r>
          </w:p>
        </w:tc>
        <w:tc>
          <w:tcPr>
            <w:tcW w:w="626" w:type="pct"/>
            <w:tcBorders>
              <w:top w:val="single" w:sz="4" w:space="0" w:color="auto"/>
              <w:left w:val="nil"/>
              <w:bottom w:val="double" w:sz="4" w:space="0" w:color="auto"/>
              <w:right w:val="nil"/>
            </w:tcBorders>
            <w:vAlign w:val="bottom"/>
          </w:tcPr>
          <w:p w14:paraId="6A3F66B7"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388,772</w:t>
            </w:r>
          </w:p>
        </w:tc>
        <w:tc>
          <w:tcPr>
            <w:tcW w:w="305" w:type="pct"/>
            <w:tcBorders>
              <w:top w:val="nil"/>
              <w:left w:val="nil"/>
              <w:bottom w:val="nil"/>
              <w:right w:val="nil"/>
            </w:tcBorders>
            <w:vAlign w:val="bottom"/>
          </w:tcPr>
          <w:p w14:paraId="1D546242"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p>
        </w:tc>
        <w:tc>
          <w:tcPr>
            <w:tcW w:w="626" w:type="pct"/>
            <w:tcBorders>
              <w:top w:val="single" w:sz="4" w:space="0" w:color="auto"/>
              <w:left w:val="nil"/>
              <w:bottom w:val="double" w:sz="4" w:space="0" w:color="auto"/>
              <w:right w:val="nil"/>
            </w:tcBorders>
            <w:vAlign w:val="bottom"/>
          </w:tcPr>
          <w:p w14:paraId="494A4768"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357,014</w:t>
            </w:r>
          </w:p>
        </w:tc>
      </w:tr>
    </w:tbl>
    <w:p w14:paraId="07BB36EC" w14:textId="77777777" w:rsidR="00717BA5" w:rsidRPr="00717BA5" w:rsidRDefault="00717BA5" w:rsidP="00717BA5">
      <w:pPr>
        <w:spacing w:after="0" w:line="240" w:lineRule="auto"/>
        <w:rPr>
          <w:rFonts w:ascii="Arial" w:eastAsia="SimSun" w:hAnsi="Arial" w:cs="Arial"/>
          <w:color w:val="auto"/>
          <w:lang w:val="en-AU"/>
        </w:rPr>
      </w:pPr>
    </w:p>
    <w:p w14:paraId="2E62D985" w14:textId="77777777" w:rsidR="00717BA5" w:rsidRPr="00717BA5" w:rsidRDefault="00717BA5" w:rsidP="00FD5F83">
      <w:pPr>
        <w:pStyle w:val="Heading5"/>
        <w:rPr>
          <w:i/>
        </w:rPr>
      </w:pPr>
      <w:r w:rsidRPr="00717BA5">
        <w:lastRenderedPageBreak/>
        <w:t>NOTE 11.   CASH AND INVESTMENTS</w:t>
      </w:r>
      <w:r w:rsidRPr="00717BA5">
        <w:rPr>
          <w:i/>
        </w:rPr>
        <w:t xml:space="preserve"> - CONTINUED</w:t>
      </w:r>
    </w:p>
    <w:p w14:paraId="213F80FC" w14:textId="77777777" w:rsidR="00717BA5" w:rsidRPr="00717BA5" w:rsidRDefault="00717BA5" w:rsidP="00717BA5">
      <w:pPr>
        <w:numPr>
          <w:ilvl w:val="0"/>
          <w:numId w:val="80"/>
        </w:numPr>
        <w:spacing w:after="120" w:line="240" w:lineRule="auto"/>
        <w:ind w:left="414" w:hanging="357"/>
        <w:jc w:val="both"/>
        <w:rPr>
          <w:rFonts w:ascii="Arial" w:eastAsia="SimSun" w:hAnsi="Arial" w:cs="Arial"/>
          <w:color w:val="auto"/>
          <w:lang w:val="en-AU"/>
        </w:rPr>
      </w:pPr>
      <w:r w:rsidRPr="00717BA5">
        <w:rPr>
          <w:rFonts w:ascii="Arial" w:eastAsia="SimSun" w:hAnsi="Arial" w:cs="Arial"/>
          <w:b/>
          <w:bCs/>
          <w:color w:val="auto"/>
          <w:sz w:val="18"/>
          <w:szCs w:val="18"/>
          <w:lang w:val="en-AU" w:eastAsia="en-US"/>
        </w:rPr>
        <w:t>Reconciliation of Cash at the End of the Reporting Period in the Statement of Cash Flows to the Equivalent Items in the Balance Sheet.</w:t>
      </w:r>
    </w:p>
    <w:tbl>
      <w:tblPr>
        <w:tblW w:w="5000" w:type="pct"/>
        <w:tblLook w:val="00A0" w:firstRow="1" w:lastRow="0" w:firstColumn="1" w:lastColumn="0" w:noHBand="0" w:noVBand="0"/>
      </w:tblPr>
      <w:tblGrid>
        <w:gridCol w:w="6945"/>
        <w:gridCol w:w="1277"/>
        <w:gridCol w:w="519"/>
        <w:gridCol w:w="1208"/>
      </w:tblGrid>
      <w:tr w:rsidR="00717BA5" w:rsidRPr="00717BA5" w14:paraId="72A16EAC" w14:textId="77777777" w:rsidTr="00F0752D">
        <w:trPr>
          <w:trHeight w:val="272"/>
        </w:trPr>
        <w:tc>
          <w:tcPr>
            <w:tcW w:w="3490" w:type="pct"/>
            <w:vAlign w:val="bottom"/>
          </w:tcPr>
          <w:p w14:paraId="1C4409D5"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p>
        </w:tc>
        <w:tc>
          <w:tcPr>
            <w:tcW w:w="642" w:type="pct"/>
            <w:vAlign w:val="bottom"/>
          </w:tcPr>
          <w:p w14:paraId="7939F26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p w14:paraId="3F14C12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261" w:type="pct"/>
            <w:vAlign w:val="bottom"/>
          </w:tcPr>
          <w:p w14:paraId="1A42619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07" w:type="pct"/>
            <w:vAlign w:val="bottom"/>
          </w:tcPr>
          <w:p w14:paraId="7FA78E3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p w14:paraId="5A07A71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5D081680" w14:textId="77777777" w:rsidTr="00F0752D">
        <w:trPr>
          <w:trHeight w:val="57"/>
        </w:trPr>
        <w:tc>
          <w:tcPr>
            <w:tcW w:w="3490" w:type="pct"/>
            <w:vAlign w:val="bottom"/>
          </w:tcPr>
          <w:p w14:paraId="361FB678"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Total Cash Recorded in the Balance Sheet</w:t>
            </w:r>
          </w:p>
        </w:tc>
        <w:tc>
          <w:tcPr>
            <w:tcW w:w="642" w:type="pct"/>
            <w:tcBorders>
              <w:bottom w:val="single" w:sz="4" w:space="0" w:color="auto"/>
            </w:tcBorders>
            <w:vAlign w:val="bottom"/>
          </w:tcPr>
          <w:p w14:paraId="79A7E85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8,501</w:t>
            </w:r>
          </w:p>
        </w:tc>
        <w:tc>
          <w:tcPr>
            <w:tcW w:w="261" w:type="pct"/>
            <w:tcBorders>
              <w:bottom w:val="single" w:sz="4" w:space="0" w:color="auto"/>
            </w:tcBorders>
            <w:vAlign w:val="bottom"/>
          </w:tcPr>
          <w:p w14:paraId="39894E2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07" w:type="pct"/>
            <w:tcBorders>
              <w:bottom w:val="single" w:sz="4" w:space="0" w:color="auto"/>
            </w:tcBorders>
            <w:vAlign w:val="bottom"/>
          </w:tcPr>
          <w:p w14:paraId="63876A5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5,942</w:t>
            </w:r>
          </w:p>
        </w:tc>
      </w:tr>
      <w:tr w:rsidR="00717BA5" w:rsidRPr="00717BA5" w14:paraId="191C2B77" w14:textId="77777777" w:rsidTr="00F0752D">
        <w:trPr>
          <w:trHeight w:val="57"/>
        </w:trPr>
        <w:tc>
          <w:tcPr>
            <w:tcW w:w="3490" w:type="pct"/>
            <w:vAlign w:val="bottom"/>
          </w:tcPr>
          <w:p w14:paraId="1A54067E"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b/>
                <w:bCs/>
                <w:color w:val="auto"/>
                <w:sz w:val="18"/>
                <w:szCs w:val="18"/>
                <w:lang w:val="en-AU" w:eastAsia="en-US"/>
              </w:rPr>
              <w:t xml:space="preserve">Cash at the End of the Reporting Period as Recorded in the </w:t>
            </w:r>
            <w:r w:rsidRPr="00717BA5">
              <w:rPr>
                <w:rFonts w:ascii="Arial" w:eastAsia="Times New Roman" w:hAnsi="Arial" w:cs="Arial"/>
                <w:b/>
                <w:color w:val="auto"/>
                <w:sz w:val="18"/>
                <w:szCs w:val="18"/>
                <w:lang w:val="en-AU" w:eastAsia="en-US"/>
              </w:rPr>
              <w:t>Statement of Cash Flows</w:t>
            </w:r>
          </w:p>
        </w:tc>
        <w:tc>
          <w:tcPr>
            <w:tcW w:w="642" w:type="pct"/>
            <w:tcBorders>
              <w:top w:val="single" w:sz="4" w:space="0" w:color="auto"/>
              <w:bottom w:val="double" w:sz="4" w:space="0" w:color="auto"/>
            </w:tcBorders>
            <w:vAlign w:val="bottom"/>
          </w:tcPr>
          <w:p w14:paraId="2489C90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8,501</w:t>
            </w:r>
          </w:p>
        </w:tc>
        <w:tc>
          <w:tcPr>
            <w:tcW w:w="261" w:type="pct"/>
            <w:tcBorders>
              <w:top w:val="single" w:sz="4" w:space="0" w:color="auto"/>
              <w:bottom w:val="double" w:sz="4" w:space="0" w:color="auto"/>
            </w:tcBorders>
            <w:vAlign w:val="bottom"/>
          </w:tcPr>
          <w:p w14:paraId="54F195F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07" w:type="pct"/>
            <w:tcBorders>
              <w:top w:val="single" w:sz="4" w:space="0" w:color="auto"/>
              <w:bottom w:val="double" w:sz="4" w:space="0" w:color="auto"/>
            </w:tcBorders>
            <w:vAlign w:val="bottom"/>
          </w:tcPr>
          <w:p w14:paraId="5312F3B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5,942</w:t>
            </w:r>
          </w:p>
        </w:tc>
      </w:tr>
    </w:tbl>
    <w:p w14:paraId="68BC3D5C" w14:textId="77777777" w:rsidR="00717BA5" w:rsidRPr="00717BA5" w:rsidRDefault="00717BA5" w:rsidP="00717BA5">
      <w:pPr>
        <w:numPr>
          <w:ilvl w:val="0"/>
          <w:numId w:val="80"/>
        </w:numPr>
        <w:spacing w:before="120" w:after="120" w:line="240" w:lineRule="auto"/>
        <w:ind w:left="470" w:hanging="357"/>
        <w:jc w:val="both"/>
        <w:rPr>
          <w:rFonts w:ascii="Arial" w:eastAsia="SimSun" w:hAnsi="Arial" w:cs="Arial"/>
          <w:b/>
          <w:bCs/>
          <w:color w:val="auto"/>
          <w:sz w:val="18"/>
          <w:szCs w:val="18"/>
          <w:lang w:val="en-AU" w:eastAsia="en-US"/>
        </w:rPr>
      </w:pPr>
      <w:r w:rsidRPr="00717BA5">
        <w:rPr>
          <w:rFonts w:ascii="Arial" w:eastAsia="SimSun" w:hAnsi="Arial" w:cs="Arial"/>
          <w:b/>
          <w:bCs/>
          <w:color w:val="auto"/>
          <w:sz w:val="18"/>
          <w:szCs w:val="18"/>
          <w:lang w:val="en-AU" w:eastAsia="en-US"/>
        </w:rPr>
        <w:t>Reconciliation of the Operating Result to Net Cash Inflows from Operating Activities</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17"/>
        <w:gridCol w:w="1328"/>
        <w:gridCol w:w="222"/>
        <w:gridCol w:w="1585"/>
        <w:gridCol w:w="234"/>
      </w:tblGrid>
      <w:tr w:rsidR="00717BA5" w:rsidRPr="00717BA5" w14:paraId="2E2D2B89" w14:textId="77777777" w:rsidTr="00F0752D">
        <w:trPr>
          <w:gridAfter w:val="1"/>
          <w:wAfter w:w="115" w:type="pct"/>
          <w:trHeight w:val="20"/>
        </w:trPr>
        <w:tc>
          <w:tcPr>
            <w:tcW w:w="3346" w:type="pct"/>
            <w:tcBorders>
              <w:top w:val="nil"/>
              <w:left w:val="nil"/>
              <w:bottom w:val="nil"/>
              <w:right w:val="nil"/>
            </w:tcBorders>
            <w:vAlign w:val="bottom"/>
          </w:tcPr>
          <w:p w14:paraId="188AD70E"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Operating Result </w:t>
            </w:r>
          </w:p>
        </w:tc>
        <w:tc>
          <w:tcPr>
            <w:tcW w:w="652" w:type="pct"/>
            <w:tcBorders>
              <w:top w:val="nil"/>
              <w:left w:val="nil"/>
              <w:bottom w:val="nil"/>
              <w:right w:val="nil"/>
            </w:tcBorders>
            <w:vAlign w:val="bottom"/>
          </w:tcPr>
          <w:p w14:paraId="2168E564" w14:textId="77777777" w:rsidR="00717BA5" w:rsidRPr="00717BA5" w:rsidRDefault="00717BA5" w:rsidP="00717BA5">
            <w:pPr>
              <w:tabs>
                <w:tab w:val="left" w:pos="3306"/>
              </w:tabs>
              <w:spacing w:before="40"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5,465</w:t>
            </w:r>
          </w:p>
        </w:tc>
        <w:tc>
          <w:tcPr>
            <w:tcW w:w="109" w:type="pct"/>
            <w:tcBorders>
              <w:top w:val="nil"/>
              <w:left w:val="nil"/>
              <w:bottom w:val="nil"/>
              <w:right w:val="nil"/>
            </w:tcBorders>
            <w:vAlign w:val="bottom"/>
          </w:tcPr>
          <w:p w14:paraId="5034F4BC"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1A9DAE1C"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25,158</w:t>
            </w:r>
          </w:p>
        </w:tc>
      </w:tr>
      <w:tr w:rsidR="00717BA5" w:rsidRPr="00717BA5" w14:paraId="22EFDDDA" w14:textId="77777777" w:rsidTr="00F0752D">
        <w:trPr>
          <w:gridAfter w:val="1"/>
          <w:wAfter w:w="115" w:type="pct"/>
          <w:trHeight w:val="20"/>
        </w:trPr>
        <w:tc>
          <w:tcPr>
            <w:tcW w:w="3346" w:type="pct"/>
            <w:tcBorders>
              <w:top w:val="nil"/>
              <w:left w:val="nil"/>
              <w:bottom w:val="nil"/>
              <w:right w:val="nil"/>
            </w:tcBorders>
            <w:vAlign w:val="bottom"/>
          </w:tcPr>
          <w:p w14:paraId="15EBE590" w14:textId="77777777" w:rsidR="00717BA5" w:rsidRPr="00717BA5" w:rsidRDefault="00717BA5" w:rsidP="00717BA5">
            <w:pPr>
              <w:tabs>
                <w:tab w:val="left" w:pos="3306"/>
              </w:tabs>
              <w:spacing w:before="120" w:after="0" w:line="240" w:lineRule="auto"/>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Add/(Less) Non-Cash Items</w:t>
            </w:r>
          </w:p>
        </w:tc>
        <w:tc>
          <w:tcPr>
            <w:tcW w:w="652" w:type="pct"/>
            <w:tcBorders>
              <w:top w:val="nil"/>
              <w:left w:val="nil"/>
              <w:bottom w:val="nil"/>
              <w:right w:val="nil"/>
            </w:tcBorders>
            <w:vAlign w:val="bottom"/>
          </w:tcPr>
          <w:p w14:paraId="15D28109"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p>
        </w:tc>
        <w:tc>
          <w:tcPr>
            <w:tcW w:w="109" w:type="pct"/>
            <w:tcBorders>
              <w:top w:val="nil"/>
              <w:left w:val="nil"/>
              <w:bottom w:val="nil"/>
              <w:right w:val="nil"/>
            </w:tcBorders>
            <w:vAlign w:val="bottom"/>
          </w:tcPr>
          <w:p w14:paraId="47ACE0D4"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4E3A0573"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2977E960" w14:textId="77777777" w:rsidTr="00F0752D">
        <w:trPr>
          <w:gridAfter w:val="1"/>
          <w:wAfter w:w="115" w:type="pct"/>
          <w:trHeight w:val="20"/>
        </w:trPr>
        <w:tc>
          <w:tcPr>
            <w:tcW w:w="3346" w:type="pct"/>
            <w:tcBorders>
              <w:top w:val="nil"/>
              <w:left w:val="nil"/>
              <w:bottom w:val="nil"/>
              <w:right w:val="nil"/>
            </w:tcBorders>
            <w:vAlign w:val="bottom"/>
          </w:tcPr>
          <w:p w14:paraId="671EBC33"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(Gain) on Investments</w:t>
            </w:r>
          </w:p>
        </w:tc>
        <w:tc>
          <w:tcPr>
            <w:tcW w:w="652" w:type="pct"/>
            <w:tcBorders>
              <w:top w:val="nil"/>
              <w:left w:val="nil"/>
              <w:bottom w:val="nil"/>
              <w:right w:val="nil"/>
            </w:tcBorders>
            <w:vAlign w:val="bottom"/>
          </w:tcPr>
          <w:p w14:paraId="2126DFB9"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(9,060)</w:t>
            </w:r>
          </w:p>
        </w:tc>
        <w:tc>
          <w:tcPr>
            <w:tcW w:w="109" w:type="pct"/>
            <w:tcBorders>
              <w:top w:val="nil"/>
              <w:left w:val="nil"/>
              <w:bottom w:val="nil"/>
              <w:right w:val="nil"/>
            </w:tcBorders>
            <w:vAlign w:val="bottom"/>
          </w:tcPr>
          <w:p w14:paraId="6B6184F6"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1736B985"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(30,005)</w:t>
            </w:r>
          </w:p>
        </w:tc>
      </w:tr>
      <w:tr w:rsidR="00717BA5" w:rsidRPr="00717BA5" w14:paraId="5D5EFD7F" w14:textId="77777777" w:rsidTr="00F0752D">
        <w:trPr>
          <w:gridAfter w:val="1"/>
          <w:wAfter w:w="115" w:type="pct"/>
          <w:trHeight w:val="20"/>
        </w:trPr>
        <w:tc>
          <w:tcPr>
            <w:tcW w:w="3346" w:type="pct"/>
            <w:tcBorders>
              <w:top w:val="nil"/>
              <w:left w:val="nil"/>
              <w:bottom w:val="nil"/>
              <w:right w:val="nil"/>
            </w:tcBorders>
            <w:vAlign w:val="bottom"/>
          </w:tcPr>
          <w:p w14:paraId="7840DB58"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Investments Income</w:t>
            </w:r>
          </w:p>
        </w:tc>
        <w:tc>
          <w:tcPr>
            <w:tcW w:w="652" w:type="pct"/>
            <w:tcBorders>
              <w:top w:val="nil"/>
              <w:left w:val="nil"/>
              <w:bottom w:val="nil"/>
              <w:right w:val="nil"/>
            </w:tcBorders>
            <w:vAlign w:val="bottom"/>
          </w:tcPr>
          <w:p w14:paraId="6B2BA625"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(13,103)</w:t>
            </w:r>
          </w:p>
        </w:tc>
        <w:tc>
          <w:tcPr>
            <w:tcW w:w="109" w:type="pct"/>
            <w:tcBorders>
              <w:top w:val="nil"/>
              <w:left w:val="nil"/>
              <w:bottom w:val="nil"/>
              <w:right w:val="nil"/>
            </w:tcBorders>
            <w:vAlign w:val="bottom"/>
          </w:tcPr>
          <w:p w14:paraId="0491B7EE"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6549DAE2"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(9,625)</w:t>
            </w:r>
          </w:p>
        </w:tc>
      </w:tr>
      <w:tr w:rsidR="00717BA5" w:rsidRPr="00717BA5" w14:paraId="0517BBB4" w14:textId="77777777" w:rsidTr="00F0752D">
        <w:trPr>
          <w:gridAfter w:val="1"/>
          <w:wAfter w:w="115" w:type="pct"/>
          <w:trHeight w:val="20"/>
        </w:trPr>
        <w:tc>
          <w:tcPr>
            <w:tcW w:w="3346" w:type="pct"/>
            <w:tcBorders>
              <w:top w:val="nil"/>
              <w:left w:val="nil"/>
              <w:bottom w:val="nil"/>
              <w:right w:val="nil"/>
            </w:tcBorders>
            <w:vAlign w:val="bottom"/>
          </w:tcPr>
          <w:p w14:paraId="202FD279"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Depreciation and Amortisation</w:t>
            </w:r>
          </w:p>
        </w:tc>
        <w:tc>
          <w:tcPr>
            <w:tcW w:w="652" w:type="pct"/>
            <w:tcBorders>
              <w:top w:val="nil"/>
              <w:left w:val="nil"/>
              <w:bottom w:val="nil"/>
              <w:right w:val="nil"/>
            </w:tcBorders>
            <w:vAlign w:val="bottom"/>
          </w:tcPr>
          <w:p w14:paraId="65AA1D8F"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254</w:t>
            </w:r>
          </w:p>
        </w:tc>
        <w:tc>
          <w:tcPr>
            <w:tcW w:w="109" w:type="pct"/>
            <w:tcBorders>
              <w:top w:val="nil"/>
              <w:left w:val="nil"/>
              <w:bottom w:val="nil"/>
              <w:right w:val="nil"/>
            </w:tcBorders>
            <w:vAlign w:val="bottom"/>
          </w:tcPr>
          <w:p w14:paraId="4A3CDA3B"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1B8CD6C3"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317</w:t>
            </w:r>
          </w:p>
        </w:tc>
      </w:tr>
      <w:tr w:rsidR="00717BA5" w:rsidRPr="00717BA5" w14:paraId="54592A2D" w14:textId="77777777" w:rsidTr="00F0752D">
        <w:trPr>
          <w:gridAfter w:val="1"/>
          <w:wAfter w:w="115" w:type="pct"/>
          <w:trHeight w:val="20"/>
        </w:trPr>
        <w:tc>
          <w:tcPr>
            <w:tcW w:w="3346" w:type="pct"/>
            <w:tcBorders>
              <w:top w:val="nil"/>
              <w:left w:val="nil"/>
              <w:bottom w:val="nil"/>
              <w:right w:val="nil"/>
            </w:tcBorders>
            <w:vAlign w:val="bottom"/>
          </w:tcPr>
          <w:p w14:paraId="7A889917"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Waivers and Impairment Losses</w:t>
            </w:r>
          </w:p>
        </w:tc>
        <w:tc>
          <w:tcPr>
            <w:tcW w:w="652" w:type="pct"/>
            <w:tcBorders>
              <w:top w:val="nil"/>
              <w:left w:val="nil"/>
              <w:bottom w:val="nil"/>
              <w:right w:val="nil"/>
            </w:tcBorders>
            <w:vAlign w:val="bottom"/>
          </w:tcPr>
          <w:p w14:paraId="65660A1A"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457</w:t>
            </w:r>
          </w:p>
        </w:tc>
        <w:tc>
          <w:tcPr>
            <w:tcW w:w="109" w:type="pct"/>
            <w:tcBorders>
              <w:top w:val="nil"/>
              <w:left w:val="nil"/>
              <w:bottom w:val="nil"/>
              <w:right w:val="nil"/>
            </w:tcBorders>
            <w:vAlign w:val="bottom"/>
          </w:tcPr>
          <w:p w14:paraId="169E864D"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5A92FF4E"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241</w:t>
            </w:r>
          </w:p>
        </w:tc>
      </w:tr>
      <w:tr w:rsidR="00717BA5" w:rsidRPr="00717BA5" w:rsidDel="0003230C" w14:paraId="30F9C94D" w14:textId="77777777" w:rsidTr="00F0752D">
        <w:trPr>
          <w:gridAfter w:val="1"/>
          <w:wAfter w:w="115" w:type="pct"/>
          <w:trHeight w:val="20"/>
        </w:trPr>
        <w:tc>
          <w:tcPr>
            <w:tcW w:w="3346" w:type="pct"/>
            <w:tcBorders>
              <w:top w:val="nil"/>
              <w:left w:val="nil"/>
              <w:bottom w:val="nil"/>
              <w:right w:val="nil"/>
            </w:tcBorders>
            <w:vAlign w:val="bottom"/>
          </w:tcPr>
          <w:p w14:paraId="7BB3EE30" w14:textId="77777777" w:rsidR="00717BA5" w:rsidRPr="00717BA5" w:rsidDel="0003230C"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Other Non-Cash Items</w:t>
            </w:r>
          </w:p>
        </w:tc>
        <w:tc>
          <w:tcPr>
            <w:tcW w:w="652" w:type="pct"/>
            <w:tcBorders>
              <w:top w:val="nil"/>
              <w:left w:val="nil"/>
              <w:bottom w:val="nil"/>
              <w:right w:val="nil"/>
            </w:tcBorders>
            <w:vAlign w:val="bottom"/>
          </w:tcPr>
          <w:p w14:paraId="40C5B294"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(85)</w:t>
            </w:r>
          </w:p>
        </w:tc>
        <w:tc>
          <w:tcPr>
            <w:tcW w:w="109" w:type="pct"/>
            <w:tcBorders>
              <w:top w:val="nil"/>
              <w:left w:val="nil"/>
              <w:bottom w:val="nil"/>
              <w:right w:val="nil"/>
            </w:tcBorders>
            <w:vAlign w:val="bottom"/>
          </w:tcPr>
          <w:p w14:paraId="7B60BD71"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4950848C"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(12)</w:t>
            </w:r>
          </w:p>
        </w:tc>
      </w:tr>
      <w:tr w:rsidR="00717BA5" w:rsidRPr="00717BA5" w14:paraId="3220B7DD" w14:textId="77777777" w:rsidTr="00F0752D">
        <w:trPr>
          <w:gridAfter w:val="1"/>
          <w:wAfter w:w="115" w:type="pct"/>
          <w:trHeight w:val="20"/>
        </w:trPr>
        <w:tc>
          <w:tcPr>
            <w:tcW w:w="3346" w:type="pct"/>
            <w:tcBorders>
              <w:top w:val="nil"/>
              <w:left w:val="nil"/>
              <w:bottom w:val="nil"/>
              <w:right w:val="nil"/>
            </w:tcBorders>
            <w:vAlign w:val="bottom"/>
          </w:tcPr>
          <w:p w14:paraId="79AC4BA9"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b/>
                <w:bCs/>
                <w:color w:val="auto"/>
                <w:sz w:val="18"/>
                <w:szCs w:val="18"/>
                <w:lang w:val="en-AU" w:eastAsia="en-US"/>
              </w:rPr>
              <w:t>Cash Before Changes in Operating Assets and Liabilities</w:t>
            </w:r>
          </w:p>
        </w:tc>
        <w:tc>
          <w:tcPr>
            <w:tcW w:w="652" w:type="pct"/>
            <w:tcBorders>
              <w:top w:val="single" w:sz="2" w:space="0" w:color="auto"/>
              <w:left w:val="nil"/>
              <w:bottom w:val="nil"/>
              <w:right w:val="nil"/>
            </w:tcBorders>
            <w:vAlign w:val="bottom"/>
          </w:tcPr>
          <w:p w14:paraId="61DF978A" w14:textId="77777777" w:rsidR="00717BA5" w:rsidRPr="00717BA5" w:rsidRDefault="00717BA5" w:rsidP="00717BA5">
            <w:pPr>
              <w:tabs>
                <w:tab w:val="left" w:pos="3306"/>
              </w:tabs>
              <w:spacing w:after="0" w:line="240" w:lineRule="auto"/>
              <w:ind w:left="62" w:hanging="40"/>
              <w:jc w:val="right"/>
              <w:rPr>
                <w:rFonts w:ascii="Arial" w:eastAsia="Times New Roman" w:hAnsi="Arial" w:cs="Arial"/>
                <w:b/>
                <w:color w:val="auto"/>
                <w:sz w:val="18"/>
                <w:szCs w:val="18"/>
                <w:lang w:val="en-AU" w:eastAsia="en-US"/>
              </w:rPr>
            </w:pPr>
            <w:r w:rsidRPr="00717BA5">
              <w:rPr>
                <w:rFonts w:ascii="Arial" w:eastAsia="Times New Roman" w:hAnsi="Arial" w:cs="Arial"/>
                <w:b/>
                <w:bCs/>
                <w:color w:val="auto"/>
                <w:sz w:val="18"/>
                <w:szCs w:val="18"/>
                <w:lang w:val="en-AU" w:eastAsia="en-US"/>
              </w:rPr>
              <w:t>(21,537)</w:t>
            </w:r>
          </w:p>
        </w:tc>
        <w:tc>
          <w:tcPr>
            <w:tcW w:w="109" w:type="pct"/>
            <w:tcBorders>
              <w:top w:val="single" w:sz="2" w:space="0" w:color="auto"/>
              <w:left w:val="nil"/>
              <w:bottom w:val="nil"/>
              <w:right w:val="nil"/>
            </w:tcBorders>
            <w:vAlign w:val="bottom"/>
          </w:tcPr>
          <w:p w14:paraId="59C580CB"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b/>
                <w:color w:val="auto"/>
                <w:sz w:val="18"/>
                <w:szCs w:val="18"/>
                <w:lang w:val="en-AU" w:eastAsia="en-US"/>
              </w:rPr>
            </w:pPr>
          </w:p>
        </w:tc>
        <w:tc>
          <w:tcPr>
            <w:tcW w:w="778" w:type="pct"/>
            <w:tcBorders>
              <w:top w:val="single" w:sz="2" w:space="0" w:color="auto"/>
              <w:left w:val="nil"/>
              <w:bottom w:val="nil"/>
              <w:right w:val="nil"/>
            </w:tcBorders>
            <w:vAlign w:val="bottom"/>
          </w:tcPr>
          <w:p w14:paraId="08EAC8A9" w14:textId="77777777" w:rsidR="00717BA5" w:rsidRPr="00717BA5" w:rsidRDefault="00717BA5" w:rsidP="00717BA5">
            <w:pPr>
              <w:tabs>
                <w:tab w:val="left" w:pos="3306"/>
              </w:tabs>
              <w:spacing w:after="0" w:line="240" w:lineRule="auto"/>
              <w:jc w:val="right"/>
              <w:rPr>
                <w:rFonts w:ascii="Arial" w:eastAsia="Times New Roman" w:hAnsi="Arial" w:cs="Arial"/>
                <w:b/>
                <w:color w:val="auto"/>
                <w:sz w:val="18"/>
                <w:szCs w:val="18"/>
                <w:lang w:val="en-AU" w:eastAsia="en-US"/>
              </w:rPr>
            </w:pPr>
            <w:r w:rsidRPr="00717BA5">
              <w:rPr>
                <w:rFonts w:ascii="Arial" w:eastAsia="Times New Roman" w:hAnsi="Arial" w:cs="Arial"/>
                <w:b/>
                <w:color w:val="auto"/>
                <w:sz w:val="18"/>
                <w:szCs w:val="18"/>
                <w:lang w:val="en-AU" w:eastAsia="en-US"/>
              </w:rPr>
              <w:t>(39,084)</w:t>
            </w:r>
          </w:p>
        </w:tc>
      </w:tr>
      <w:tr w:rsidR="00717BA5" w:rsidRPr="00717BA5" w14:paraId="308AFA4E" w14:textId="77777777" w:rsidTr="00F0752D">
        <w:trPr>
          <w:gridAfter w:val="1"/>
          <w:wAfter w:w="115" w:type="pct"/>
          <w:trHeight w:val="20"/>
        </w:trPr>
        <w:tc>
          <w:tcPr>
            <w:tcW w:w="3346" w:type="pct"/>
            <w:tcBorders>
              <w:top w:val="nil"/>
              <w:left w:val="nil"/>
              <w:bottom w:val="nil"/>
              <w:right w:val="nil"/>
            </w:tcBorders>
            <w:vAlign w:val="bottom"/>
          </w:tcPr>
          <w:p w14:paraId="2C3A632A"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p>
        </w:tc>
        <w:tc>
          <w:tcPr>
            <w:tcW w:w="652" w:type="pct"/>
            <w:tcBorders>
              <w:top w:val="single" w:sz="2" w:space="0" w:color="auto"/>
              <w:left w:val="nil"/>
              <w:bottom w:val="nil"/>
              <w:right w:val="nil"/>
            </w:tcBorders>
            <w:vAlign w:val="bottom"/>
          </w:tcPr>
          <w:p w14:paraId="56FB1FD8"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p>
        </w:tc>
        <w:tc>
          <w:tcPr>
            <w:tcW w:w="109" w:type="pct"/>
            <w:tcBorders>
              <w:top w:val="single" w:sz="2" w:space="0" w:color="auto"/>
              <w:left w:val="nil"/>
              <w:bottom w:val="nil"/>
              <w:right w:val="nil"/>
            </w:tcBorders>
            <w:vAlign w:val="bottom"/>
          </w:tcPr>
          <w:p w14:paraId="7B017649"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single" w:sz="2" w:space="0" w:color="auto"/>
              <w:left w:val="nil"/>
              <w:bottom w:val="nil"/>
              <w:right w:val="nil"/>
            </w:tcBorders>
            <w:vAlign w:val="bottom"/>
          </w:tcPr>
          <w:p w14:paraId="0223C00A"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4C6CDB32" w14:textId="77777777" w:rsidTr="00F0752D">
        <w:trPr>
          <w:gridAfter w:val="1"/>
          <w:wAfter w:w="115" w:type="pct"/>
          <w:trHeight w:val="20"/>
        </w:trPr>
        <w:tc>
          <w:tcPr>
            <w:tcW w:w="3346" w:type="pct"/>
            <w:tcBorders>
              <w:top w:val="nil"/>
              <w:left w:val="nil"/>
              <w:bottom w:val="nil"/>
              <w:right w:val="nil"/>
            </w:tcBorders>
            <w:vAlign w:val="bottom"/>
          </w:tcPr>
          <w:p w14:paraId="5EB13E6E" w14:textId="77777777" w:rsidR="00717BA5" w:rsidRPr="00717BA5" w:rsidRDefault="00717BA5" w:rsidP="00717BA5">
            <w:pPr>
              <w:tabs>
                <w:tab w:val="left" w:pos="3306"/>
              </w:tabs>
              <w:spacing w:before="40" w:after="0" w:line="240" w:lineRule="auto"/>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 xml:space="preserve">Changes in Operating Assets and Liabilities </w:t>
            </w:r>
          </w:p>
        </w:tc>
        <w:tc>
          <w:tcPr>
            <w:tcW w:w="652" w:type="pct"/>
            <w:tcBorders>
              <w:top w:val="nil"/>
              <w:left w:val="nil"/>
              <w:bottom w:val="nil"/>
              <w:right w:val="nil"/>
            </w:tcBorders>
            <w:vAlign w:val="bottom"/>
          </w:tcPr>
          <w:p w14:paraId="50B4E65D"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p>
        </w:tc>
        <w:tc>
          <w:tcPr>
            <w:tcW w:w="109" w:type="pct"/>
            <w:tcBorders>
              <w:top w:val="nil"/>
              <w:left w:val="nil"/>
              <w:bottom w:val="nil"/>
              <w:right w:val="nil"/>
            </w:tcBorders>
            <w:vAlign w:val="bottom"/>
          </w:tcPr>
          <w:p w14:paraId="46F666E9"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75D6CC69"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784E6136" w14:textId="77777777" w:rsidTr="00F0752D">
        <w:trPr>
          <w:gridAfter w:val="1"/>
          <w:wAfter w:w="115" w:type="pct"/>
          <w:trHeight w:val="20"/>
        </w:trPr>
        <w:tc>
          <w:tcPr>
            <w:tcW w:w="3346" w:type="pct"/>
            <w:tcBorders>
              <w:top w:val="nil"/>
              <w:left w:val="nil"/>
              <w:bottom w:val="nil"/>
              <w:right w:val="nil"/>
            </w:tcBorders>
            <w:vAlign w:val="bottom"/>
          </w:tcPr>
          <w:p w14:paraId="0721DB2B"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(Increase) in Trade or Other Receivables</w:t>
            </w:r>
          </w:p>
        </w:tc>
        <w:tc>
          <w:tcPr>
            <w:tcW w:w="652" w:type="pct"/>
            <w:tcBorders>
              <w:top w:val="nil"/>
              <w:left w:val="nil"/>
              <w:bottom w:val="nil"/>
              <w:right w:val="nil"/>
            </w:tcBorders>
            <w:vAlign w:val="bottom"/>
          </w:tcPr>
          <w:p w14:paraId="38E1B778"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(3,704)</w:t>
            </w:r>
          </w:p>
        </w:tc>
        <w:tc>
          <w:tcPr>
            <w:tcW w:w="109" w:type="pct"/>
            <w:tcBorders>
              <w:top w:val="nil"/>
              <w:left w:val="nil"/>
              <w:bottom w:val="nil"/>
              <w:right w:val="nil"/>
            </w:tcBorders>
            <w:vAlign w:val="bottom"/>
          </w:tcPr>
          <w:p w14:paraId="46484EEF"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5F090695"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(2,595)</w:t>
            </w:r>
          </w:p>
        </w:tc>
      </w:tr>
      <w:tr w:rsidR="00717BA5" w:rsidRPr="00717BA5" w14:paraId="29045E7B" w14:textId="77777777" w:rsidTr="00F0752D">
        <w:trPr>
          <w:trHeight w:val="20"/>
        </w:trPr>
        <w:tc>
          <w:tcPr>
            <w:tcW w:w="3346" w:type="pct"/>
            <w:tcBorders>
              <w:top w:val="nil"/>
              <w:left w:val="nil"/>
              <w:bottom w:val="nil"/>
              <w:right w:val="nil"/>
            </w:tcBorders>
            <w:vAlign w:val="bottom"/>
          </w:tcPr>
          <w:p w14:paraId="71F441B6"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Decrease in Other Assets</w:t>
            </w:r>
          </w:p>
        </w:tc>
        <w:tc>
          <w:tcPr>
            <w:tcW w:w="652" w:type="pct"/>
            <w:tcBorders>
              <w:top w:val="nil"/>
              <w:left w:val="nil"/>
              <w:bottom w:val="nil"/>
              <w:right w:val="nil"/>
            </w:tcBorders>
            <w:vAlign w:val="bottom"/>
          </w:tcPr>
          <w:p w14:paraId="4289CEF0"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w:t>
            </w:r>
          </w:p>
        </w:tc>
        <w:tc>
          <w:tcPr>
            <w:tcW w:w="109" w:type="pct"/>
            <w:tcBorders>
              <w:top w:val="nil"/>
              <w:left w:val="nil"/>
              <w:bottom w:val="nil"/>
              <w:right w:val="nil"/>
            </w:tcBorders>
            <w:vAlign w:val="bottom"/>
          </w:tcPr>
          <w:p w14:paraId="3BD4B5B7"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6A4BEFDD"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8</w:t>
            </w:r>
          </w:p>
        </w:tc>
        <w:tc>
          <w:tcPr>
            <w:tcW w:w="115" w:type="pct"/>
            <w:tcBorders>
              <w:top w:val="nil"/>
              <w:left w:val="nil"/>
              <w:bottom w:val="nil"/>
              <w:right w:val="nil"/>
            </w:tcBorders>
            <w:vAlign w:val="bottom"/>
          </w:tcPr>
          <w:p w14:paraId="7E3DEEF0" w14:textId="77777777" w:rsidR="00717BA5" w:rsidRPr="00717BA5" w:rsidRDefault="00717BA5" w:rsidP="00717BA5">
            <w:pPr>
              <w:spacing w:after="0" w:line="240" w:lineRule="auto"/>
              <w:rPr>
                <w:rFonts w:ascii="Arial" w:eastAsia="SimSun" w:hAnsi="Arial" w:cs="Arial"/>
                <w:color w:val="auto"/>
                <w:sz w:val="18"/>
                <w:szCs w:val="18"/>
                <w:lang w:val="en-AU" w:eastAsia="en-US"/>
              </w:rPr>
            </w:pPr>
          </w:p>
        </w:tc>
      </w:tr>
      <w:tr w:rsidR="00717BA5" w:rsidRPr="00717BA5" w14:paraId="0D44A834" w14:textId="77777777" w:rsidTr="00F0752D">
        <w:trPr>
          <w:gridAfter w:val="1"/>
          <w:wAfter w:w="115" w:type="pct"/>
          <w:trHeight w:val="20"/>
        </w:trPr>
        <w:tc>
          <w:tcPr>
            <w:tcW w:w="3346" w:type="pct"/>
            <w:tcBorders>
              <w:top w:val="nil"/>
              <w:left w:val="nil"/>
              <w:bottom w:val="nil"/>
              <w:right w:val="nil"/>
            </w:tcBorders>
            <w:vAlign w:val="bottom"/>
          </w:tcPr>
          <w:p w14:paraId="27A960BD"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Increase in Accrued Long Service Leave Liability </w:t>
            </w:r>
          </w:p>
        </w:tc>
        <w:tc>
          <w:tcPr>
            <w:tcW w:w="652" w:type="pct"/>
            <w:tcBorders>
              <w:top w:val="nil"/>
              <w:left w:val="nil"/>
              <w:bottom w:val="nil"/>
              <w:right w:val="nil"/>
            </w:tcBorders>
            <w:vAlign w:val="bottom"/>
          </w:tcPr>
          <w:p w14:paraId="27F0F426"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28,485</w:t>
            </w:r>
          </w:p>
        </w:tc>
        <w:tc>
          <w:tcPr>
            <w:tcW w:w="109" w:type="pct"/>
            <w:tcBorders>
              <w:top w:val="nil"/>
              <w:left w:val="nil"/>
              <w:bottom w:val="nil"/>
              <w:right w:val="nil"/>
            </w:tcBorders>
            <w:vAlign w:val="bottom"/>
          </w:tcPr>
          <w:p w14:paraId="61D32633"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7C6D6EE8"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24,238</w:t>
            </w:r>
          </w:p>
        </w:tc>
      </w:tr>
      <w:tr w:rsidR="00717BA5" w:rsidRPr="00717BA5" w14:paraId="60639BDE" w14:textId="77777777" w:rsidTr="00F0752D">
        <w:trPr>
          <w:gridAfter w:val="1"/>
          <w:wAfter w:w="115" w:type="pct"/>
          <w:trHeight w:val="20"/>
        </w:trPr>
        <w:tc>
          <w:tcPr>
            <w:tcW w:w="3346" w:type="pct"/>
            <w:tcBorders>
              <w:top w:val="nil"/>
              <w:left w:val="nil"/>
              <w:bottom w:val="nil"/>
              <w:right w:val="nil"/>
            </w:tcBorders>
            <w:vAlign w:val="bottom"/>
          </w:tcPr>
          <w:p w14:paraId="1DF5985A" w14:textId="77777777" w:rsidR="00717BA5" w:rsidRPr="00717BA5" w:rsidRDefault="00717BA5" w:rsidP="00717BA5">
            <w:pPr>
              <w:tabs>
                <w:tab w:val="left" w:pos="3306"/>
              </w:tabs>
              <w:spacing w:before="40" w:after="0" w:line="240" w:lineRule="auto"/>
              <w:rPr>
                <w:rFonts w:ascii="Arial" w:eastAsia="Times New Roman" w:hAnsi="Arial" w:cs="Arial"/>
                <w:b/>
                <w:color w:val="auto"/>
                <w:sz w:val="18"/>
                <w:szCs w:val="18"/>
                <w:lang w:val="en-AU" w:eastAsia="en-US"/>
              </w:rPr>
            </w:pPr>
            <w:r w:rsidRPr="00717BA5">
              <w:rPr>
                <w:rFonts w:ascii="Arial" w:eastAsia="Times New Roman" w:hAnsi="Arial" w:cs="Arial"/>
                <w:color w:val="auto"/>
                <w:sz w:val="18"/>
                <w:szCs w:val="18"/>
                <w:lang w:val="en-AU" w:eastAsia="en-US"/>
              </w:rPr>
              <w:t>Increase in Other Payables</w:t>
            </w:r>
          </w:p>
        </w:tc>
        <w:tc>
          <w:tcPr>
            <w:tcW w:w="652" w:type="pct"/>
            <w:tcBorders>
              <w:top w:val="nil"/>
              <w:left w:val="nil"/>
              <w:bottom w:val="nil"/>
              <w:right w:val="nil"/>
            </w:tcBorders>
            <w:vAlign w:val="bottom"/>
          </w:tcPr>
          <w:p w14:paraId="71E276C8"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931</w:t>
            </w:r>
          </w:p>
        </w:tc>
        <w:tc>
          <w:tcPr>
            <w:tcW w:w="109" w:type="pct"/>
            <w:tcBorders>
              <w:top w:val="nil"/>
              <w:left w:val="nil"/>
              <w:bottom w:val="nil"/>
              <w:right w:val="nil"/>
            </w:tcBorders>
            <w:vAlign w:val="bottom"/>
          </w:tcPr>
          <w:p w14:paraId="17F3B871"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nil"/>
              <w:right w:val="nil"/>
            </w:tcBorders>
            <w:vAlign w:val="bottom"/>
          </w:tcPr>
          <w:p w14:paraId="7BF77C2C"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1,050</w:t>
            </w:r>
          </w:p>
        </w:tc>
      </w:tr>
      <w:tr w:rsidR="00717BA5" w:rsidRPr="00717BA5" w14:paraId="2A7732D4" w14:textId="77777777" w:rsidTr="00F0752D">
        <w:trPr>
          <w:gridAfter w:val="1"/>
          <w:wAfter w:w="115" w:type="pct"/>
          <w:trHeight w:val="20"/>
        </w:trPr>
        <w:tc>
          <w:tcPr>
            <w:tcW w:w="3346" w:type="pct"/>
            <w:tcBorders>
              <w:top w:val="nil"/>
              <w:left w:val="nil"/>
              <w:bottom w:val="nil"/>
              <w:right w:val="nil"/>
            </w:tcBorders>
            <w:vAlign w:val="bottom"/>
          </w:tcPr>
          <w:p w14:paraId="685F8576" w14:textId="77777777" w:rsidR="00717BA5" w:rsidRPr="00717BA5" w:rsidRDefault="00717BA5" w:rsidP="00717BA5">
            <w:pPr>
              <w:tabs>
                <w:tab w:val="left" w:pos="3306"/>
              </w:tabs>
              <w:spacing w:before="40"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Increase in Other Liabilities</w:t>
            </w:r>
          </w:p>
        </w:tc>
        <w:tc>
          <w:tcPr>
            <w:tcW w:w="652" w:type="pct"/>
            <w:tcBorders>
              <w:top w:val="nil"/>
              <w:left w:val="nil"/>
              <w:bottom w:val="single" w:sz="2" w:space="0" w:color="auto"/>
              <w:right w:val="nil"/>
            </w:tcBorders>
            <w:vAlign w:val="bottom"/>
          </w:tcPr>
          <w:p w14:paraId="338FFCB3" w14:textId="77777777" w:rsidR="00717BA5" w:rsidRPr="00717BA5" w:rsidRDefault="00717BA5" w:rsidP="00717BA5">
            <w:pPr>
              <w:tabs>
                <w:tab w:val="left" w:pos="3306"/>
              </w:tabs>
              <w:spacing w:after="0" w:line="240" w:lineRule="auto"/>
              <w:ind w:left="62" w:hanging="40"/>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139</w:t>
            </w:r>
          </w:p>
        </w:tc>
        <w:tc>
          <w:tcPr>
            <w:tcW w:w="109" w:type="pct"/>
            <w:tcBorders>
              <w:top w:val="nil"/>
              <w:left w:val="nil"/>
              <w:bottom w:val="single" w:sz="2" w:space="0" w:color="auto"/>
              <w:right w:val="nil"/>
            </w:tcBorders>
            <w:vAlign w:val="bottom"/>
          </w:tcPr>
          <w:p w14:paraId="35DE2A08"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color w:val="auto"/>
                <w:sz w:val="18"/>
                <w:szCs w:val="18"/>
                <w:lang w:val="en-AU" w:eastAsia="en-US"/>
              </w:rPr>
            </w:pPr>
          </w:p>
        </w:tc>
        <w:tc>
          <w:tcPr>
            <w:tcW w:w="778" w:type="pct"/>
            <w:tcBorders>
              <w:top w:val="nil"/>
              <w:left w:val="nil"/>
              <w:bottom w:val="single" w:sz="2" w:space="0" w:color="auto"/>
              <w:right w:val="nil"/>
            </w:tcBorders>
            <w:vAlign w:val="bottom"/>
          </w:tcPr>
          <w:p w14:paraId="26FF47EE"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141</w:t>
            </w:r>
          </w:p>
        </w:tc>
      </w:tr>
      <w:tr w:rsidR="00717BA5" w:rsidRPr="00717BA5" w14:paraId="47979AEB" w14:textId="77777777" w:rsidTr="00F0752D">
        <w:trPr>
          <w:gridAfter w:val="1"/>
          <w:wAfter w:w="115" w:type="pct"/>
          <w:trHeight w:val="20"/>
        </w:trPr>
        <w:tc>
          <w:tcPr>
            <w:tcW w:w="3346" w:type="pct"/>
            <w:tcBorders>
              <w:top w:val="nil"/>
              <w:left w:val="nil"/>
              <w:bottom w:val="nil"/>
              <w:right w:val="nil"/>
            </w:tcBorders>
            <w:vAlign w:val="bottom"/>
          </w:tcPr>
          <w:p w14:paraId="39E5BFCA" w14:textId="77777777" w:rsidR="00717BA5" w:rsidRPr="00717BA5" w:rsidRDefault="00717BA5" w:rsidP="00717BA5">
            <w:pPr>
              <w:tabs>
                <w:tab w:val="left" w:pos="3306"/>
              </w:tabs>
              <w:spacing w:before="40" w:after="0" w:line="240" w:lineRule="auto"/>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Net Changes in Operating Assets and Liabilities</w:t>
            </w:r>
          </w:p>
        </w:tc>
        <w:tc>
          <w:tcPr>
            <w:tcW w:w="652" w:type="pct"/>
            <w:tcBorders>
              <w:top w:val="single" w:sz="2" w:space="0" w:color="auto"/>
              <w:left w:val="nil"/>
              <w:bottom w:val="single" w:sz="2" w:space="0" w:color="auto"/>
              <w:right w:val="nil"/>
            </w:tcBorders>
            <w:vAlign w:val="bottom"/>
          </w:tcPr>
          <w:p w14:paraId="3DFB7AE1" w14:textId="77777777" w:rsidR="00717BA5" w:rsidRPr="00717BA5" w:rsidRDefault="00717BA5" w:rsidP="00717BA5">
            <w:pPr>
              <w:tabs>
                <w:tab w:val="left" w:pos="3306"/>
              </w:tabs>
              <w:spacing w:after="0" w:line="240" w:lineRule="auto"/>
              <w:jc w:val="right"/>
              <w:rPr>
                <w:rFonts w:ascii="Arial" w:eastAsia="Times New Roman" w:hAnsi="Arial" w:cs="Arial"/>
                <w:b/>
                <w:color w:val="auto"/>
                <w:sz w:val="18"/>
                <w:szCs w:val="18"/>
                <w:lang w:val="en-AU" w:eastAsia="en-US"/>
              </w:rPr>
            </w:pPr>
            <w:r w:rsidRPr="00717BA5">
              <w:rPr>
                <w:rFonts w:ascii="Arial" w:eastAsia="Times New Roman" w:hAnsi="Arial" w:cs="Arial"/>
                <w:b/>
                <w:bCs/>
                <w:color w:val="auto"/>
                <w:sz w:val="18"/>
                <w:szCs w:val="18"/>
                <w:lang w:val="en-AU" w:eastAsia="en-US"/>
              </w:rPr>
              <w:t>25,853</w:t>
            </w:r>
          </w:p>
        </w:tc>
        <w:tc>
          <w:tcPr>
            <w:tcW w:w="109" w:type="pct"/>
            <w:tcBorders>
              <w:top w:val="single" w:sz="2" w:space="0" w:color="auto"/>
              <w:left w:val="nil"/>
              <w:bottom w:val="single" w:sz="2" w:space="0" w:color="auto"/>
              <w:right w:val="nil"/>
            </w:tcBorders>
            <w:vAlign w:val="bottom"/>
          </w:tcPr>
          <w:p w14:paraId="73A5E30D"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b/>
                <w:color w:val="auto"/>
                <w:sz w:val="18"/>
                <w:szCs w:val="18"/>
                <w:lang w:val="en-AU" w:eastAsia="en-US"/>
              </w:rPr>
            </w:pPr>
          </w:p>
        </w:tc>
        <w:tc>
          <w:tcPr>
            <w:tcW w:w="778" w:type="pct"/>
            <w:tcBorders>
              <w:top w:val="single" w:sz="2" w:space="0" w:color="auto"/>
              <w:left w:val="nil"/>
              <w:bottom w:val="single" w:sz="2" w:space="0" w:color="auto"/>
              <w:right w:val="nil"/>
            </w:tcBorders>
            <w:vAlign w:val="bottom"/>
          </w:tcPr>
          <w:p w14:paraId="3E045758" w14:textId="77777777" w:rsidR="00717BA5" w:rsidRPr="00717BA5" w:rsidRDefault="00717BA5" w:rsidP="00717BA5">
            <w:pPr>
              <w:tabs>
                <w:tab w:val="left" w:pos="3306"/>
              </w:tabs>
              <w:spacing w:after="0" w:line="240" w:lineRule="auto"/>
              <w:jc w:val="right"/>
              <w:rPr>
                <w:rFonts w:ascii="Arial" w:eastAsia="Times New Roman" w:hAnsi="Arial" w:cs="Arial"/>
                <w:b/>
                <w:color w:val="auto"/>
                <w:sz w:val="18"/>
                <w:szCs w:val="18"/>
                <w:lang w:val="en-AU" w:eastAsia="en-US"/>
              </w:rPr>
            </w:pPr>
            <w:r w:rsidRPr="00717BA5">
              <w:rPr>
                <w:rFonts w:ascii="Arial" w:eastAsia="Times New Roman" w:hAnsi="Arial" w:cs="Arial"/>
                <w:b/>
                <w:color w:val="auto"/>
                <w:sz w:val="18"/>
                <w:szCs w:val="18"/>
                <w:lang w:val="en-AU" w:eastAsia="en-US"/>
              </w:rPr>
              <w:t>22,842</w:t>
            </w:r>
          </w:p>
        </w:tc>
      </w:tr>
      <w:tr w:rsidR="00717BA5" w:rsidRPr="00717BA5" w14:paraId="40BF0CFE" w14:textId="77777777" w:rsidTr="00F0752D">
        <w:trPr>
          <w:gridAfter w:val="1"/>
          <w:wAfter w:w="115" w:type="pct"/>
          <w:trHeight w:val="20"/>
        </w:trPr>
        <w:tc>
          <w:tcPr>
            <w:tcW w:w="3346" w:type="pct"/>
            <w:tcBorders>
              <w:top w:val="nil"/>
              <w:left w:val="nil"/>
              <w:bottom w:val="nil"/>
              <w:right w:val="nil"/>
            </w:tcBorders>
            <w:vAlign w:val="bottom"/>
          </w:tcPr>
          <w:p w14:paraId="1E1EFBF2" w14:textId="77777777" w:rsidR="00717BA5" w:rsidRPr="00717BA5" w:rsidRDefault="00717BA5" w:rsidP="00717BA5">
            <w:pPr>
              <w:tabs>
                <w:tab w:val="left" w:pos="3306"/>
              </w:tabs>
              <w:spacing w:before="40" w:after="0" w:line="240" w:lineRule="auto"/>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Net Cash Inflows from Operating Activities</w:t>
            </w:r>
          </w:p>
        </w:tc>
        <w:tc>
          <w:tcPr>
            <w:tcW w:w="652" w:type="pct"/>
            <w:tcBorders>
              <w:top w:val="single" w:sz="2" w:space="0" w:color="auto"/>
              <w:left w:val="nil"/>
              <w:bottom w:val="double" w:sz="4" w:space="0" w:color="auto"/>
              <w:right w:val="nil"/>
            </w:tcBorders>
            <w:vAlign w:val="bottom"/>
          </w:tcPr>
          <w:p w14:paraId="25B42CD6" w14:textId="77777777" w:rsidR="00717BA5" w:rsidRPr="00717BA5" w:rsidRDefault="00717BA5" w:rsidP="00717BA5">
            <w:pPr>
              <w:tabs>
                <w:tab w:val="left" w:pos="3306"/>
              </w:tabs>
              <w:spacing w:after="0" w:line="240" w:lineRule="auto"/>
              <w:ind w:left="62" w:hanging="40"/>
              <w:jc w:val="right"/>
              <w:rPr>
                <w:rFonts w:ascii="Arial" w:eastAsia="Times New Roman" w:hAnsi="Arial" w:cs="Arial"/>
                <w:b/>
                <w:color w:val="auto"/>
                <w:sz w:val="18"/>
                <w:szCs w:val="18"/>
                <w:lang w:val="en-AU" w:eastAsia="en-US"/>
              </w:rPr>
            </w:pPr>
            <w:r w:rsidRPr="00717BA5">
              <w:rPr>
                <w:rFonts w:ascii="Arial" w:eastAsia="Times New Roman" w:hAnsi="Arial" w:cs="Arial"/>
                <w:b/>
                <w:bCs/>
                <w:color w:val="auto"/>
                <w:sz w:val="18"/>
                <w:szCs w:val="18"/>
                <w:lang w:val="en-AU" w:eastAsia="en-US"/>
              </w:rPr>
              <w:t>9,781</w:t>
            </w:r>
          </w:p>
        </w:tc>
        <w:tc>
          <w:tcPr>
            <w:tcW w:w="109" w:type="pct"/>
            <w:tcBorders>
              <w:top w:val="single" w:sz="2" w:space="0" w:color="auto"/>
              <w:left w:val="nil"/>
              <w:bottom w:val="double" w:sz="4" w:space="0" w:color="auto"/>
              <w:right w:val="nil"/>
            </w:tcBorders>
            <w:vAlign w:val="bottom"/>
          </w:tcPr>
          <w:p w14:paraId="0C28D0E2"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b/>
                <w:color w:val="auto"/>
                <w:sz w:val="18"/>
                <w:szCs w:val="18"/>
                <w:lang w:val="en-AU" w:eastAsia="en-US"/>
              </w:rPr>
            </w:pPr>
          </w:p>
        </w:tc>
        <w:tc>
          <w:tcPr>
            <w:tcW w:w="778" w:type="pct"/>
            <w:tcBorders>
              <w:top w:val="single" w:sz="2" w:space="0" w:color="auto"/>
              <w:left w:val="nil"/>
              <w:bottom w:val="double" w:sz="4" w:space="0" w:color="auto"/>
              <w:right w:val="nil"/>
            </w:tcBorders>
            <w:vAlign w:val="bottom"/>
          </w:tcPr>
          <w:p w14:paraId="14E217FD" w14:textId="77777777" w:rsidR="00717BA5" w:rsidRPr="00717BA5" w:rsidRDefault="00717BA5" w:rsidP="00717BA5">
            <w:pPr>
              <w:tabs>
                <w:tab w:val="left" w:pos="3306"/>
              </w:tabs>
              <w:spacing w:after="0" w:line="240" w:lineRule="auto"/>
              <w:jc w:val="right"/>
              <w:rPr>
                <w:rFonts w:ascii="Arial" w:eastAsia="Times New Roman" w:hAnsi="Arial" w:cs="Arial"/>
                <w:b/>
                <w:color w:val="auto"/>
                <w:sz w:val="18"/>
                <w:szCs w:val="18"/>
                <w:lang w:val="en-AU" w:eastAsia="en-US"/>
              </w:rPr>
            </w:pPr>
            <w:r w:rsidRPr="00717BA5">
              <w:rPr>
                <w:rFonts w:ascii="Arial" w:eastAsia="Times New Roman" w:hAnsi="Arial" w:cs="Arial"/>
                <w:b/>
                <w:color w:val="auto"/>
                <w:sz w:val="18"/>
                <w:szCs w:val="18"/>
                <w:lang w:val="en-AU" w:eastAsia="en-US"/>
              </w:rPr>
              <w:t>8,916</w:t>
            </w:r>
          </w:p>
        </w:tc>
      </w:tr>
      <w:tr w:rsidR="00717BA5" w:rsidRPr="00717BA5" w14:paraId="48B47BEE" w14:textId="77777777" w:rsidTr="00F0752D">
        <w:trPr>
          <w:gridAfter w:val="1"/>
          <w:wAfter w:w="115" w:type="pct"/>
          <w:trHeight w:val="272"/>
        </w:trPr>
        <w:tc>
          <w:tcPr>
            <w:tcW w:w="3346" w:type="pct"/>
            <w:tcBorders>
              <w:top w:val="nil"/>
              <w:left w:val="nil"/>
              <w:bottom w:val="nil"/>
              <w:right w:val="nil"/>
            </w:tcBorders>
            <w:vAlign w:val="bottom"/>
          </w:tcPr>
          <w:p w14:paraId="7C623C12" w14:textId="77777777" w:rsidR="00717BA5" w:rsidRPr="00717BA5" w:rsidRDefault="00717BA5" w:rsidP="00717BA5">
            <w:pPr>
              <w:tabs>
                <w:tab w:val="left" w:pos="3306"/>
              </w:tabs>
              <w:spacing w:before="40" w:after="0" w:line="240" w:lineRule="auto"/>
              <w:rPr>
                <w:rFonts w:ascii="Arial" w:eastAsia="Times New Roman" w:hAnsi="Arial" w:cs="Arial"/>
                <w:b/>
                <w:bCs/>
                <w:color w:val="auto"/>
                <w:sz w:val="18"/>
                <w:szCs w:val="18"/>
                <w:lang w:val="en-AU" w:eastAsia="en-US"/>
              </w:rPr>
            </w:pPr>
          </w:p>
        </w:tc>
        <w:tc>
          <w:tcPr>
            <w:tcW w:w="652" w:type="pct"/>
            <w:tcBorders>
              <w:top w:val="double" w:sz="4" w:space="0" w:color="auto"/>
              <w:left w:val="nil"/>
              <w:bottom w:val="nil"/>
              <w:right w:val="nil"/>
            </w:tcBorders>
            <w:vAlign w:val="bottom"/>
          </w:tcPr>
          <w:p w14:paraId="5FA76989" w14:textId="77777777" w:rsidR="00717BA5" w:rsidRPr="00717BA5" w:rsidRDefault="00717BA5" w:rsidP="00717BA5">
            <w:pPr>
              <w:tabs>
                <w:tab w:val="left" w:pos="3306"/>
              </w:tabs>
              <w:spacing w:after="0" w:line="240" w:lineRule="auto"/>
              <w:ind w:left="62" w:hanging="40"/>
              <w:jc w:val="right"/>
              <w:rPr>
                <w:rFonts w:ascii="Arial" w:eastAsia="Times New Roman" w:hAnsi="Arial" w:cs="Arial"/>
                <w:b/>
                <w:bCs/>
                <w:color w:val="auto"/>
                <w:sz w:val="18"/>
                <w:szCs w:val="18"/>
                <w:lang w:val="en-AU" w:eastAsia="en-US"/>
              </w:rPr>
            </w:pPr>
          </w:p>
        </w:tc>
        <w:tc>
          <w:tcPr>
            <w:tcW w:w="109" w:type="pct"/>
            <w:tcBorders>
              <w:top w:val="double" w:sz="4" w:space="0" w:color="auto"/>
              <w:left w:val="nil"/>
              <w:bottom w:val="nil"/>
              <w:right w:val="nil"/>
            </w:tcBorders>
            <w:vAlign w:val="bottom"/>
          </w:tcPr>
          <w:p w14:paraId="3488954C" w14:textId="77777777" w:rsidR="00717BA5" w:rsidRPr="00717BA5" w:rsidRDefault="00717BA5" w:rsidP="00717BA5">
            <w:pPr>
              <w:tabs>
                <w:tab w:val="left" w:pos="3306"/>
              </w:tabs>
              <w:spacing w:after="0" w:line="240" w:lineRule="auto"/>
              <w:ind w:left="62" w:firstLine="511"/>
              <w:jc w:val="right"/>
              <w:rPr>
                <w:rFonts w:ascii="Arial" w:eastAsia="Times New Roman" w:hAnsi="Arial" w:cs="Arial"/>
                <w:b/>
                <w:bCs/>
                <w:color w:val="auto"/>
                <w:sz w:val="18"/>
                <w:szCs w:val="18"/>
                <w:lang w:val="en-AU" w:eastAsia="en-US"/>
              </w:rPr>
            </w:pPr>
          </w:p>
        </w:tc>
        <w:tc>
          <w:tcPr>
            <w:tcW w:w="778" w:type="pct"/>
            <w:tcBorders>
              <w:top w:val="double" w:sz="4" w:space="0" w:color="auto"/>
              <w:left w:val="nil"/>
              <w:bottom w:val="nil"/>
              <w:right w:val="nil"/>
            </w:tcBorders>
            <w:vAlign w:val="bottom"/>
          </w:tcPr>
          <w:p w14:paraId="76D446FE"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p>
        </w:tc>
      </w:tr>
    </w:tbl>
    <w:p w14:paraId="4F032477" w14:textId="77777777" w:rsidR="00717BA5" w:rsidRPr="00717BA5" w:rsidRDefault="00717BA5" w:rsidP="00717BA5">
      <w:pPr>
        <w:numPr>
          <w:ilvl w:val="0"/>
          <w:numId w:val="80"/>
        </w:numPr>
        <w:spacing w:before="240" w:after="0" w:line="240" w:lineRule="auto"/>
        <w:ind w:left="470" w:hanging="357"/>
        <w:contextualSpacing/>
        <w:rPr>
          <w:rFonts w:ascii="Arial" w:eastAsia="SimSun" w:hAnsi="Arial" w:cs="Arial"/>
          <w:b/>
          <w:bCs/>
          <w:color w:val="auto"/>
          <w:sz w:val="18"/>
          <w:szCs w:val="18"/>
          <w:lang w:val="en-AU" w:eastAsia="en-US"/>
        </w:rPr>
      </w:pPr>
      <w:r w:rsidRPr="00717BA5">
        <w:rPr>
          <w:rFonts w:ascii="Arial" w:eastAsia="SimSun" w:hAnsi="Arial" w:cs="Arial"/>
          <w:b/>
          <w:bCs/>
          <w:color w:val="auto"/>
          <w:sz w:val="18"/>
          <w:szCs w:val="18"/>
          <w:lang w:val="en-AU" w:eastAsia="en-US"/>
        </w:rPr>
        <w:t>Reconciliation of liabilities arising from financing activities</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13"/>
        <w:gridCol w:w="2310"/>
      </w:tblGrid>
      <w:tr w:rsidR="00717BA5" w:rsidRPr="00717BA5" w14:paraId="134E9881" w14:textId="77777777" w:rsidTr="00F0752D">
        <w:trPr>
          <w:trHeight w:val="272"/>
        </w:trPr>
        <w:tc>
          <w:tcPr>
            <w:tcW w:w="3836" w:type="pct"/>
            <w:tcBorders>
              <w:top w:val="nil"/>
              <w:left w:val="nil"/>
              <w:bottom w:val="nil"/>
              <w:right w:val="nil"/>
            </w:tcBorders>
            <w:vAlign w:val="bottom"/>
          </w:tcPr>
          <w:p w14:paraId="469ABC40" w14:textId="77777777" w:rsidR="00717BA5" w:rsidRPr="00717BA5" w:rsidRDefault="00717BA5" w:rsidP="00717BA5">
            <w:pPr>
              <w:spacing w:before="120" w:after="0" w:line="240" w:lineRule="auto"/>
              <w:ind w:left="425"/>
              <w:rPr>
                <w:rFonts w:ascii="Arial" w:eastAsia="SimSun" w:hAnsi="Arial" w:cs="Arial"/>
                <w:color w:val="auto"/>
                <w:sz w:val="18"/>
                <w:szCs w:val="18"/>
                <w:lang w:val="en-AU" w:eastAsia="en-US"/>
              </w:rPr>
            </w:pPr>
          </w:p>
        </w:tc>
        <w:tc>
          <w:tcPr>
            <w:tcW w:w="1164" w:type="pct"/>
            <w:tcBorders>
              <w:top w:val="nil"/>
              <w:left w:val="nil"/>
              <w:bottom w:val="nil"/>
              <w:right w:val="nil"/>
            </w:tcBorders>
            <w:vAlign w:val="bottom"/>
          </w:tcPr>
          <w:p w14:paraId="3934C6FB"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Lease Liabilities</w:t>
            </w:r>
          </w:p>
          <w:p w14:paraId="38C25BF5" w14:textId="77777777" w:rsidR="00717BA5" w:rsidRPr="00717BA5" w:rsidRDefault="00717BA5" w:rsidP="00717BA5">
            <w:pPr>
              <w:spacing w:after="0" w:line="240" w:lineRule="auto"/>
              <w:jc w:val="right"/>
              <w:rPr>
                <w:rFonts w:ascii="Arial" w:eastAsia="SimSun" w:hAnsi="Arial" w:cs="Arial"/>
                <w:color w:val="auto"/>
                <w:sz w:val="18"/>
                <w:szCs w:val="18"/>
                <w:lang w:val="en-AU" w:eastAsia="en-US"/>
              </w:rPr>
            </w:pPr>
            <w:r w:rsidRPr="00717BA5">
              <w:rPr>
                <w:rFonts w:ascii="Arial" w:eastAsia="SimSun" w:hAnsi="Arial" w:cs="Arial"/>
                <w:b/>
                <w:bCs/>
                <w:color w:val="auto"/>
                <w:sz w:val="18"/>
                <w:szCs w:val="18"/>
                <w:lang w:val="en-AU" w:eastAsia="en-US"/>
              </w:rPr>
              <w:t>$’000</w:t>
            </w:r>
          </w:p>
        </w:tc>
      </w:tr>
      <w:tr w:rsidR="00717BA5" w:rsidRPr="00717BA5" w14:paraId="3F6866F3" w14:textId="77777777" w:rsidTr="00F0752D">
        <w:trPr>
          <w:trHeight w:val="272"/>
        </w:trPr>
        <w:tc>
          <w:tcPr>
            <w:tcW w:w="3836" w:type="pct"/>
            <w:tcBorders>
              <w:top w:val="nil"/>
              <w:left w:val="nil"/>
              <w:bottom w:val="nil"/>
              <w:right w:val="nil"/>
            </w:tcBorders>
            <w:vAlign w:val="bottom"/>
          </w:tcPr>
          <w:p w14:paraId="493D3FD0" w14:textId="77777777" w:rsidR="00717BA5" w:rsidRPr="00717BA5" w:rsidRDefault="00717BA5" w:rsidP="00717BA5">
            <w:pPr>
              <w:tabs>
                <w:tab w:val="left" w:pos="3306"/>
              </w:tabs>
              <w:spacing w:after="0" w:line="240" w:lineRule="auto"/>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2026</w:t>
            </w:r>
          </w:p>
        </w:tc>
        <w:tc>
          <w:tcPr>
            <w:tcW w:w="1164" w:type="pct"/>
            <w:tcBorders>
              <w:top w:val="nil"/>
              <w:left w:val="nil"/>
              <w:bottom w:val="nil"/>
              <w:right w:val="nil"/>
            </w:tcBorders>
            <w:vAlign w:val="bottom"/>
          </w:tcPr>
          <w:p w14:paraId="4DC5FC2F"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7DA69533" w14:textId="77777777" w:rsidTr="00F0752D">
        <w:trPr>
          <w:trHeight w:val="20"/>
        </w:trPr>
        <w:tc>
          <w:tcPr>
            <w:tcW w:w="3836" w:type="pct"/>
            <w:tcBorders>
              <w:top w:val="nil"/>
              <w:left w:val="nil"/>
              <w:bottom w:val="nil"/>
              <w:right w:val="nil"/>
            </w:tcBorders>
            <w:vAlign w:val="bottom"/>
          </w:tcPr>
          <w:p w14:paraId="234243E2"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Carrying Amount at the Beginning of the Reporting Period</w:t>
            </w:r>
          </w:p>
        </w:tc>
        <w:tc>
          <w:tcPr>
            <w:tcW w:w="1164" w:type="pct"/>
            <w:tcBorders>
              <w:top w:val="nil"/>
              <w:left w:val="nil"/>
              <w:bottom w:val="nil"/>
              <w:right w:val="nil"/>
            </w:tcBorders>
            <w:vAlign w:val="bottom"/>
          </w:tcPr>
          <w:p w14:paraId="4032F324"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1,499</w:t>
            </w:r>
          </w:p>
        </w:tc>
      </w:tr>
      <w:tr w:rsidR="00717BA5" w:rsidRPr="00717BA5" w14:paraId="68941A5E" w14:textId="77777777" w:rsidTr="00F0752D">
        <w:trPr>
          <w:trHeight w:val="20"/>
        </w:trPr>
        <w:tc>
          <w:tcPr>
            <w:tcW w:w="3836" w:type="pct"/>
            <w:tcBorders>
              <w:top w:val="nil"/>
              <w:left w:val="nil"/>
              <w:bottom w:val="nil"/>
              <w:right w:val="nil"/>
            </w:tcBorders>
            <w:vAlign w:val="bottom"/>
          </w:tcPr>
          <w:p w14:paraId="7AB6BFA8"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Cash Flow Changes</w:t>
            </w:r>
          </w:p>
        </w:tc>
        <w:tc>
          <w:tcPr>
            <w:tcW w:w="1164" w:type="pct"/>
            <w:tcBorders>
              <w:top w:val="nil"/>
              <w:left w:val="nil"/>
              <w:bottom w:val="nil"/>
              <w:right w:val="nil"/>
            </w:tcBorders>
            <w:vAlign w:val="bottom"/>
          </w:tcPr>
          <w:p w14:paraId="4FE3933B"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rsidDel="0003230C" w14:paraId="3A132AA5" w14:textId="77777777" w:rsidTr="00F0752D">
        <w:trPr>
          <w:trHeight w:val="20"/>
        </w:trPr>
        <w:tc>
          <w:tcPr>
            <w:tcW w:w="3836" w:type="pct"/>
            <w:tcBorders>
              <w:top w:val="nil"/>
              <w:left w:val="nil"/>
              <w:bottom w:val="nil"/>
              <w:right w:val="nil"/>
            </w:tcBorders>
            <w:vAlign w:val="bottom"/>
          </w:tcPr>
          <w:p w14:paraId="14C4837C" w14:textId="77777777" w:rsidR="00717BA5" w:rsidRPr="00717BA5" w:rsidDel="0003230C"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Cash Paid</w:t>
            </w:r>
          </w:p>
        </w:tc>
        <w:tc>
          <w:tcPr>
            <w:tcW w:w="1164" w:type="pct"/>
            <w:tcBorders>
              <w:top w:val="nil"/>
              <w:left w:val="nil"/>
              <w:bottom w:val="nil"/>
              <w:right w:val="nil"/>
            </w:tcBorders>
            <w:vAlign w:val="bottom"/>
          </w:tcPr>
          <w:p w14:paraId="51F4DEC6" w14:textId="77777777" w:rsidR="00717BA5" w:rsidRPr="00717BA5" w:rsidDel="0003230C"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(180)</w:t>
            </w:r>
          </w:p>
        </w:tc>
      </w:tr>
      <w:tr w:rsidR="00717BA5" w:rsidRPr="00717BA5" w14:paraId="10A54B69" w14:textId="77777777" w:rsidTr="00F0752D">
        <w:trPr>
          <w:trHeight w:val="20"/>
        </w:trPr>
        <w:tc>
          <w:tcPr>
            <w:tcW w:w="3836" w:type="pct"/>
            <w:tcBorders>
              <w:top w:val="nil"/>
              <w:left w:val="nil"/>
              <w:bottom w:val="nil"/>
              <w:right w:val="nil"/>
            </w:tcBorders>
            <w:vAlign w:val="bottom"/>
          </w:tcPr>
          <w:p w14:paraId="0C57D82E"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Non-Cash Changes</w:t>
            </w:r>
          </w:p>
        </w:tc>
        <w:tc>
          <w:tcPr>
            <w:tcW w:w="1164" w:type="pct"/>
            <w:tcBorders>
              <w:top w:val="nil"/>
              <w:left w:val="nil"/>
              <w:bottom w:val="nil"/>
              <w:right w:val="nil"/>
            </w:tcBorders>
            <w:vAlign w:val="bottom"/>
          </w:tcPr>
          <w:p w14:paraId="210D2731"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6E641C2A" w14:textId="77777777" w:rsidTr="00F0752D">
        <w:trPr>
          <w:trHeight w:val="20"/>
        </w:trPr>
        <w:tc>
          <w:tcPr>
            <w:tcW w:w="3836" w:type="pct"/>
            <w:tcBorders>
              <w:top w:val="nil"/>
              <w:left w:val="nil"/>
              <w:bottom w:val="nil"/>
              <w:right w:val="nil"/>
            </w:tcBorders>
            <w:vAlign w:val="bottom"/>
          </w:tcPr>
          <w:p w14:paraId="304AAEFF"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Other Movements</w:t>
            </w:r>
          </w:p>
        </w:tc>
        <w:tc>
          <w:tcPr>
            <w:tcW w:w="1164" w:type="pct"/>
            <w:tcBorders>
              <w:top w:val="nil"/>
              <w:left w:val="nil"/>
              <w:bottom w:val="nil"/>
              <w:right w:val="nil"/>
            </w:tcBorders>
            <w:vAlign w:val="bottom"/>
          </w:tcPr>
          <w:p w14:paraId="3C283ACA"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29</w:t>
            </w:r>
          </w:p>
        </w:tc>
      </w:tr>
      <w:tr w:rsidR="00717BA5" w:rsidRPr="00717BA5" w14:paraId="63D0909B" w14:textId="77777777" w:rsidTr="00F0752D">
        <w:trPr>
          <w:trHeight w:val="20"/>
        </w:trPr>
        <w:tc>
          <w:tcPr>
            <w:tcW w:w="3836" w:type="pct"/>
            <w:tcBorders>
              <w:top w:val="nil"/>
              <w:left w:val="nil"/>
              <w:bottom w:val="nil"/>
              <w:right w:val="nil"/>
            </w:tcBorders>
            <w:vAlign w:val="bottom"/>
          </w:tcPr>
          <w:p w14:paraId="11996DB9" w14:textId="77777777" w:rsidR="00717BA5" w:rsidRPr="00717BA5" w:rsidRDefault="00717BA5" w:rsidP="00717BA5">
            <w:pPr>
              <w:tabs>
                <w:tab w:val="left" w:pos="3306"/>
              </w:tabs>
              <w:spacing w:after="0" w:line="240" w:lineRule="auto"/>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Carrying Amount at the End of the Reporting Period</w:t>
            </w:r>
          </w:p>
        </w:tc>
        <w:tc>
          <w:tcPr>
            <w:tcW w:w="1164" w:type="pct"/>
            <w:tcBorders>
              <w:top w:val="single" w:sz="4" w:space="0" w:color="auto"/>
              <w:left w:val="nil"/>
              <w:bottom w:val="double" w:sz="4" w:space="0" w:color="auto"/>
              <w:right w:val="nil"/>
            </w:tcBorders>
            <w:vAlign w:val="bottom"/>
          </w:tcPr>
          <w:p w14:paraId="46130C6D"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1,348</w:t>
            </w:r>
          </w:p>
        </w:tc>
      </w:tr>
      <w:tr w:rsidR="00717BA5" w:rsidRPr="00717BA5" w14:paraId="471112C7" w14:textId="77777777" w:rsidTr="00F0752D">
        <w:trPr>
          <w:trHeight w:val="20"/>
        </w:trPr>
        <w:tc>
          <w:tcPr>
            <w:tcW w:w="3836" w:type="pct"/>
            <w:tcBorders>
              <w:top w:val="nil"/>
              <w:left w:val="nil"/>
              <w:bottom w:val="nil"/>
              <w:right w:val="nil"/>
            </w:tcBorders>
            <w:vAlign w:val="bottom"/>
          </w:tcPr>
          <w:p w14:paraId="5348706F"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b/>
                <w:bCs/>
                <w:color w:val="auto"/>
                <w:sz w:val="18"/>
                <w:szCs w:val="18"/>
                <w:lang w:val="en-AU" w:eastAsia="en-US"/>
              </w:rPr>
              <w:t>2025</w:t>
            </w:r>
          </w:p>
        </w:tc>
        <w:tc>
          <w:tcPr>
            <w:tcW w:w="1164" w:type="pct"/>
            <w:tcBorders>
              <w:top w:val="double" w:sz="4" w:space="0" w:color="auto"/>
              <w:left w:val="nil"/>
              <w:bottom w:val="nil"/>
              <w:right w:val="nil"/>
            </w:tcBorders>
            <w:vAlign w:val="bottom"/>
          </w:tcPr>
          <w:p w14:paraId="1D0E4245"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3A4370EB" w14:textId="77777777" w:rsidTr="00F0752D">
        <w:trPr>
          <w:trHeight w:val="20"/>
        </w:trPr>
        <w:tc>
          <w:tcPr>
            <w:tcW w:w="3836" w:type="pct"/>
            <w:tcBorders>
              <w:top w:val="nil"/>
              <w:left w:val="nil"/>
              <w:bottom w:val="nil"/>
              <w:right w:val="nil"/>
            </w:tcBorders>
            <w:vAlign w:val="bottom"/>
          </w:tcPr>
          <w:p w14:paraId="750A4198"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Carrying Amount at the Beginning of the Reporting Period</w:t>
            </w:r>
          </w:p>
        </w:tc>
        <w:tc>
          <w:tcPr>
            <w:tcW w:w="1164" w:type="pct"/>
            <w:tcBorders>
              <w:top w:val="nil"/>
              <w:left w:val="nil"/>
              <w:bottom w:val="nil"/>
              <w:right w:val="nil"/>
            </w:tcBorders>
            <w:vAlign w:val="bottom"/>
          </w:tcPr>
          <w:p w14:paraId="2583543D"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1,595</w:t>
            </w:r>
          </w:p>
        </w:tc>
      </w:tr>
      <w:tr w:rsidR="00717BA5" w:rsidRPr="00717BA5" w14:paraId="6D17575E" w14:textId="77777777" w:rsidTr="00F0752D">
        <w:trPr>
          <w:trHeight w:val="20"/>
        </w:trPr>
        <w:tc>
          <w:tcPr>
            <w:tcW w:w="3836" w:type="pct"/>
            <w:tcBorders>
              <w:top w:val="nil"/>
              <w:left w:val="nil"/>
              <w:bottom w:val="nil"/>
              <w:right w:val="nil"/>
            </w:tcBorders>
            <w:vAlign w:val="bottom"/>
          </w:tcPr>
          <w:p w14:paraId="484FA928"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Cash Flow Changes</w:t>
            </w:r>
          </w:p>
        </w:tc>
        <w:tc>
          <w:tcPr>
            <w:tcW w:w="1164" w:type="pct"/>
            <w:tcBorders>
              <w:top w:val="nil"/>
              <w:left w:val="nil"/>
              <w:bottom w:val="nil"/>
              <w:right w:val="nil"/>
            </w:tcBorders>
            <w:vAlign w:val="bottom"/>
          </w:tcPr>
          <w:p w14:paraId="33194FCE"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rsidDel="0003230C" w14:paraId="219276E7" w14:textId="77777777" w:rsidTr="00F0752D">
        <w:trPr>
          <w:trHeight w:val="20"/>
        </w:trPr>
        <w:tc>
          <w:tcPr>
            <w:tcW w:w="3836" w:type="pct"/>
            <w:tcBorders>
              <w:top w:val="nil"/>
              <w:left w:val="nil"/>
              <w:bottom w:val="nil"/>
              <w:right w:val="nil"/>
            </w:tcBorders>
            <w:vAlign w:val="bottom"/>
          </w:tcPr>
          <w:p w14:paraId="337FA091" w14:textId="77777777" w:rsidR="00717BA5" w:rsidRPr="00717BA5" w:rsidDel="0003230C"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Cash Paid</w:t>
            </w:r>
          </w:p>
        </w:tc>
        <w:tc>
          <w:tcPr>
            <w:tcW w:w="1164" w:type="pct"/>
            <w:tcBorders>
              <w:top w:val="nil"/>
              <w:left w:val="nil"/>
              <w:bottom w:val="nil"/>
              <w:right w:val="nil"/>
            </w:tcBorders>
            <w:vAlign w:val="bottom"/>
          </w:tcPr>
          <w:p w14:paraId="423FB869" w14:textId="77777777" w:rsidR="00717BA5" w:rsidRPr="00717BA5" w:rsidDel="0003230C"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(166)</w:t>
            </w:r>
          </w:p>
        </w:tc>
      </w:tr>
      <w:tr w:rsidR="00717BA5" w:rsidRPr="00717BA5" w14:paraId="632389A6" w14:textId="77777777" w:rsidTr="00F0752D">
        <w:trPr>
          <w:trHeight w:val="20"/>
        </w:trPr>
        <w:tc>
          <w:tcPr>
            <w:tcW w:w="3836" w:type="pct"/>
            <w:tcBorders>
              <w:top w:val="nil"/>
              <w:left w:val="nil"/>
              <w:bottom w:val="nil"/>
              <w:right w:val="nil"/>
            </w:tcBorders>
            <w:vAlign w:val="bottom"/>
          </w:tcPr>
          <w:p w14:paraId="0AE83ED5"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Non-Cash Changes</w:t>
            </w:r>
          </w:p>
        </w:tc>
        <w:tc>
          <w:tcPr>
            <w:tcW w:w="1164" w:type="pct"/>
            <w:tcBorders>
              <w:top w:val="nil"/>
              <w:left w:val="nil"/>
              <w:bottom w:val="nil"/>
              <w:right w:val="nil"/>
            </w:tcBorders>
            <w:vAlign w:val="bottom"/>
          </w:tcPr>
          <w:p w14:paraId="0ABF2CBA"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170DD83D" w14:textId="77777777" w:rsidTr="00F0752D">
        <w:trPr>
          <w:trHeight w:val="20"/>
        </w:trPr>
        <w:tc>
          <w:tcPr>
            <w:tcW w:w="3836" w:type="pct"/>
            <w:tcBorders>
              <w:top w:val="nil"/>
              <w:left w:val="nil"/>
              <w:bottom w:val="nil"/>
              <w:right w:val="nil"/>
            </w:tcBorders>
            <w:vAlign w:val="bottom"/>
          </w:tcPr>
          <w:p w14:paraId="65649A57"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New Leases</w:t>
            </w:r>
          </w:p>
        </w:tc>
        <w:tc>
          <w:tcPr>
            <w:tcW w:w="1164" w:type="pct"/>
            <w:tcBorders>
              <w:top w:val="nil"/>
              <w:left w:val="nil"/>
              <w:bottom w:val="nil"/>
              <w:right w:val="nil"/>
            </w:tcBorders>
            <w:vAlign w:val="bottom"/>
          </w:tcPr>
          <w:p w14:paraId="5F81F12B"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39</w:t>
            </w:r>
          </w:p>
        </w:tc>
      </w:tr>
      <w:tr w:rsidR="00717BA5" w:rsidRPr="00717BA5" w14:paraId="01EBB54D" w14:textId="77777777" w:rsidTr="00F0752D">
        <w:trPr>
          <w:trHeight w:val="20"/>
        </w:trPr>
        <w:tc>
          <w:tcPr>
            <w:tcW w:w="3836" w:type="pct"/>
            <w:tcBorders>
              <w:top w:val="nil"/>
              <w:left w:val="nil"/>
              <w:bottom w:val="nil"/>
              <w:right w:val="nil"/>
            </w:tcBorders>
            <w:vAlign w:val="bottom"/>
          </w:tcPr>
          <w:p w14:paraId="092D58EE"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 xml:space="preserve">     Other Movements</w:t>
            </w:r>
          </w:p>
        </w:tc>
        <w:tc>
          <w:tcPr>
            <w:tcW w:w="1164" w:type="pct"/>
            <w:tcBorders>
              <w:top w:val="nil"/>
              <w:left w:val="nil"/>
              <w:bottom w:val="single" w:sz="4" w:space="0" w:color="auto"/>
              <w:right w:val="nil"/>
            </w:tcBorders>
            <w:vAlign w:val="bottom"/>
          </w:tcPr>
          <w:p w14:paraId="2BB961DA"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31</w:t>
            </w:r>
          </w:p>
        </w:tc>
      </w:tr>
      <w:tr w:rsidR="00717BA5" w:rsidRPr="00717BA5" w14:paraId="381CE24F" w14:textId="77777777" w:rsidTr="00F0752D">
        <w:trPr>
          <w:trHeight w:val="20"/>
        </w:trPr>
        <w:tc>
          <w:tcPr>
            <w:tcW w:w="3836" w:type="pct"/>
            <w:tcBorders>
              <w:top w:val="nil"/>
              <w:left w:val="nil"/>
              <w:bottom w:val="nil"/>
              <w:right w:val="nil"/>
            </w:tcBorders>
            <w:vAlign w:val="bottom"/>
          </w:tcPr>
          <w:p w14:paraId="4A96FAED" w14:textId="77777777" w:rsidR="00717BA5" w:rsidRPr="00717BA5" w:rsidRDefault="00717BA5" w:rsidP="00717BA5">
            <w:pPr>
              <w:tabs>
                <w:tab w:val="left" w:pos="3306"/>
              </w:tabs>
              <w:spacing w:after="0" w:line="240" w:lineRule="auto"/>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Carrying Amount at the End of the Reporting Period</w:t>
            </w:r>
          </w:p>
        </w:tc>
        <w:tc>
          <w:tcPr>
            <w:tcW w:w="1164" w:type="pct"/>
            <w:tcBorders>
              <w:top w:val="single" w:sz="4" w:space="0" w:color="auto"/>
              <w:left w:val="nil"/>
              <w:bottom w:val="double" w:sz="4" w:space="0" w:color="auto"/>
              <w:right w:val="nil"/>
            </w:tcBorders>
            <w:vAlign w:val="bottom"/>
          </w:tcPr>
          <w:p w14:paraId="1D253988"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1,499</w:t>
            </w:r>
          </w:p>
        </w:tc>
      </w:tr>
    </w:tbl>
    <w:p w14:paraId="4722CA9D" w14:textId="77777777" w:rsidR="00717BA5" w:rsidRPr="00717BA5" w:rsidRDefault="00717BA5" w:rsidP="00717BA5">
      <w:pPr>
        <w:spacing w:after="0" w:line="240" w:lineRule="auto"/>
        <w:rPr>
          <w:rFonts w:ascii="Arial" w:eastAsia="SimSun" w:hAnsi="Arial" w:cs="Arial"/>
          <w:color w:val="auto"/>
          <w:lang w:val="en-AU"/>
        </w:rPr>
      </w:pPr>
    </w:p>
    <w:p w14:paraId="1CC3C1AE" w14:textId="77777777" w:rsidR="00717BA5" w:rsidRPr="00717BA5" w:rsidRDefault="00717BA5" w:rsidP="00717BA5">
      <w:pPr>
        <w:spacing w:after="0" w:line="240" w:lineRule="auto"/>
        <w:rPr>
          <w:rFonts w:ascii="Arial" w:eastAsia="Times New Roman" w:hAnsi="Arial" w:cs="Arial"/>
          <w:b/>
          <w:bCs/>
          <w:color w:val="auto"/>
          <w:sz w:val="24"/>
          <w:szCs w:val="24"/>
          <w:lang w:val="en-AU"/>
        </w:rPr>
      </w:pPr>
      <w:r w:rsidRPr="00717BA5">
        <w:rPr>
          <w:rFonts w:ascii="Arial" w:eastAsia="SimSun" w:hAnsi="Arial" w:cs="Arial"/>
          <w:i/>
          <w:iCs/>
          <w:color w:val="auto"/>
          <w:sz w:val="24"/>
          <w:szCs w:val="24"/>
          <w:lang w:val="en-AU"/>
        </w:rPr>
        <w:br w:type="page"/>
      </w:r>
    </w:p>
    <w:p w14:paraId="1CE9DF1E" w14:textId="77777777" w:rsidR="00717BA5" w:rsidRPr="008309D2" w:rsidRDefault="00717BA5" w:rsidP="00FD5F83">
      <w:pPr>
        <w:pStyle w:val="Heading5"/>
      </w:pPr>
      <w:r w:rsidRPr="00717BA5">
        <w:lastRenderedPageBreak/>
        <w:t>NOTE 12</w:t>
      </w:r>
      <w:r w:rsidRPr="008309D2">
        <w:t xml:space="preserve">.   </w:t>
      </w:r>
      <w:r w:rsidRPr="00717BA5">
        <w:t>RECEIVABLES</w:t>
      </w:r>
    </w:p>
    <w:p w14:paraId="5321507F"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Description and Material Accounting Policies Relating to Receivables</w:t>
      </w:r>
    </w:p>
    <w:p w14:paraId="401A06BB"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Accounts Receivable</w:t>
      </w:r>
    </w:p>
    <w:p w14:paraId="418111AB"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Accounts </w:t>
      </w:r>
      <w:r w:rsidRPr="00717BA5">
        <w:rPr>
          <w:rFonts w:ascii="Arial" w:eastAsia="Times New Roman" w:hAnsi="Arial" w:cs="Calibri"/>
          <w:color w:val="auto"/>
          <w:lang w:val="en-AU"/>
        </w:rPr>
        <w:t>Receivable (including employer and contractor contribution receivables and other receivables) are measured at amortised cost, with any adjustments to the carrying amount being recorded in the Operating Statement. Employer and contractor contributions are received on a quarterly basis.</w:t>
      </w:r>
    </w:p>
    <w:p w14:paraId="0F8FAFE1"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Expected Credit Losses – Accounts Receivable</w:t>
      </w:r>
    </w:p>
    <w:p w14:paraId="165B0DA7"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Accounts </w:t>
      </w:r>
      <w:r w:rsidRPr="00717BA5">
        <w:rPr>
          <w:rFonts w:ascii="Arial" w:eastAsia="Times New Roman" w:hAnsi="Arial" w:cs="Calibri"/>
          <w:color w:val="auto"/>
          <w:lang w:val="en-AU"/>
        </w:rPr>
        <w:t>Receivable are assessed for impairment at each reporting date using an expected credit loss provision assessment matrix. Where there is objective evidence that a receivable may not be collected, an assessment of the likelihood of the recovery of a receivable has been performed to determine to what extent, if any, an allowance for impairment loss must be recognised.</w:t>
      </w:r>
    </w:p>
    <w:p w14:paraId="3E277B03"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The allowance for expected credit loss represents the amount of employer and contractor </w:t>
      </w:r>
      <w:r w:rsidRPr="00717BA5">
        <w:rPr>
          <w:rFonts w:ascii="Arial" w:eastAsia="Times New Roman" w:hAnsi="Arial" w:cs="Calibri"/>
          <w:color w:val="auto"/>
          <w:lang w:val="en-AU"/>
        </w:rPr>
        <w:t>receivables, trade receivables and other receivables ACT Leave estimates will not be repaid. The allowance for impairment losses is based on objective evidence and a review of overdue balances. ACT Leave measures expected credit losses of a financial instrument in a way that reflects:</w:t>
      </w:r>
    </w:p>
    <w:p w14:paraId="0BA6F68A" w14:textId="77777777" w:rsidR="00717BA5" w:rsidRPr="00717BA5" w:rsidRDefault="00717BA5" w:rsidP="00717BA5">
      <w:pPr>
        <w:numPr>
          <w:ilvl w:val="0"/>
          <w:numId w:val="102"/>
        </w:numPr>
        <w:spacing w:after="120" w:line="240" w:lineRule="auto"/>
        <w:ind w:left="425" w:hanging="425"/>
        <w:rPr>
          <w:rFonts w:ascii="Arial" w:eastAsia="Times New Roman" w:hAnsi="Arial" w:cs="Arial"/>
          <w:color w:val="auto"/>
          <w:lang w:val="en-AU"/>
        </w:rPr>
      </w:pPr>
      <w:r w:rsidRPr="00717BA5">
        <w:rPr>
          <w:rFonts w:ascii="Arial" w:eastAsia="Times New Roman" w:hAnsi="Arial" w:cs="Arial"/>
          <w:color w:val="auto"/>
          <w:lang w:val="en-AU"/>
        </w:rPr>
        <w:t>an unbiased and probability-weighted amount that is determined by evaluating a range of possible outcomes</w:t>
      </w:r>
    </w:p>
    <w:p w14:paraId="1F4CB472" w14:textId="77777777" w:rsidR="00717BA5" w:rsidRPr="00717BA5" w:rsidRDefault="00717BA5" w:rsidP="00717BA5">
      <w:pPr>
        <w:numPr>
          <w:ilvl w:val="0"/>
          <w:numId w:val="102"/>
        </w:numPr>
        <w:spacing w:after="120" w:line="240" w:lineRule="auto"/>
        <w:ind w:left="425" w:hanging="425"/>
        <w:rPr>
          <w:rFonts w:ascii="Arial" w:eastAsia="Times New Roman" w:hAnsi="Arial" w:cs="Arial"/>
          <w:color w:val="auto"/>
          <w:lang w:val="en-AU"/>
        </w:rPr>
      </w:pPr>
      <w:r w:rsidRPr="00717BA5">
        <w:rPr>
          <w:rFonts w:ascii="Arial" w:eastAsia="Times New Roman" w:hAnsi="Arial" w:cs="Arial"/>
          <w:color w:val="auto"/>
          <w:lang w:val="en-AU"/>
        </w:rPr>
        <w:t>the time value of money and</w:t>
      </w:r>
    </w:p>
    <w:p w14:paraId="5CB3489D" w14:textId="77777777" w:rsidR="00717BA5" w:rsidRPr="00717BA5" w:rsidRDefault="00717BA5" w:rsidP="00717BA5">
      <w:pPr>
        <w:numPr>
          <w:ilvl w:val="0"/>
          <w:numId w:val="102"/>
        </w:numPr>
        <w:spacing w:after="120" w:line="240" w:lineRule="auto"/>
        <w:ind w:left="425" w:hanging="425"/>
        <w:rPr>
          <w:rFonts w:ascii="Arial" w:eastAsia="Times New Roman" w:hAnsi="Arial" w:cs="Arial"/>
          <w:color w:val="auto"/>
          <w:lang w:val="en-AU"/>
        </w:rPr>
      </w:pPr>
      <w:r w:rsidRPr="00717BA5">
        <w:rPr>
          <w:rFonts w:ascii="Arial" w:eastAsia="Times New Roman" w:hAnsi="Arial" w:cs="Arial"/>
          <w:color w:val="auto"/>
          <w:lang w:val="en-AU"/>
        </w:rPr>
        <w:t>reasonable and supportable information that is available without undue cost or effort at the reporting date about past events, current conditions and forecasts of future economic conditions.</w:t>
      </w:r>
    </w:p>
    <w:p w14:paraId="64F588A6"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The amount of the expected credit loss is recognised in the Operating Statement</w:t>
      </w:r>
      <w:r w:rsidRPr="00717BA5">
        <w:rPr>
          <w:rFonts w:ascii="Arial" w:eastAsia="Times New Roman" w:hAnsi="Arial" w:cs="Calibri"/>
          <w:color w:val="auto"/>
          <w:lang w:val="en-AU"/>
        </w:rPr>
        <w:t xml:space="preserve"> (see Note 10 – </w:t>
      </w:r>
      <w:r w:rsidRPr="00717BA5">
        <w:rPr>
          <w:rFonts w:ascii="Arial" w:eastAsia="Times New Roman" w:hAnsi="Arial" w:cs="Calibri"/>
          <w:i/>
          <w:color w:val="auto"/>
          <w:lang w:val="en-AU"/>
        </w:rPr>
        <w:t>Other Expenses</w:t>
      </w:r>
      <w:r w:rsidRPr="00717BA5">
        <w:rPr>
          <w:rFonts w:ascii="Arial" w:eastAsia="Times New Roman" w:hAnsi="Arial" w:cs="Calibri"/>
          <w:color w:val="auto"/>
          <w:lang w:val="en-AU"/>
        </w:rPr>
        <w:t>). Where ACT Leave has no reasonable expectation of recovering an amount owed by a debtor and ceases action to collect the debt as the cost to recover the debt is more than the debt is worth, the debt is written off by directly reducing the receivable against the loss allowance.</w:t>
      </w:r>
    </w:p>
    <w:p w14:paraId="3A882B6F" w14:textId="77777777" w:rsidR="00717BA5" w:rsidRPr="00717BA5" w:rsidRDefault="00717BA5" w:rsidP="00717BA5">
      <w:pPr>
        <w:adjustRightInd w:val="0"/>
        <w:snapToGrid w:val="0"/>
        <w:rPr>
          <w:rFonts w:ascii="Arial" w:eastAsia="Times New Roman" w:hAnsi="Arial" w:cs="Calibri"/>
          <w:color w:val="auto"/>
          <w:lang w:eastAsia="zh-TW"/>
        </w:rPr>
      </w:pPr>
      <w:r w:rsidRPr="00717BA5">
        <w:rPr>
          <w:rFonts w:ascii="Arial" w:eastAsia="Times New Roman" w:hAnsi="Arial" w:cs="Arial"/>
          <w:color w:val="auto"/>
          <w:lang w:val="en-AU"/>
        </w:rPr>
        <w:t>ACT Leave</w:t>
      </w:r>
      <w:r w:rsidRPr="00717BA5">
        <w:rPr>
          <w:rFonts w:ascii="Arial" w:eastAsia="Times New Roman" w:hAnsi="Arial" w:cs="Calibri"/>
          <w:color w:val="auto"/>
          <w:lang w:val="en-AU"/>
        </w:rPr>
        <w:t xml:space="preserve"> applied the simplified approach under AASB 9 </w:t>
      </w:r>
      <w:r w:rsidRPr="00717BA5">
        <w:rPr>
          <w:rFonts w:ascii="Arial" w:eastAsia="Times New Roman" w:hAnsi="Arial" w:cs="Calibri"/>
          <w:i/>
          <w:iCs/>
          <w:color w:val="auto"/>
          <w:lang w:val="en-AU"/>
        </w:rPr>
        <w:t>Financial Instruments</w:t>
      </w:r>
      <w:r w:rsidRPr="00717BA5">
        <w:rPr>
          <w:rFonts w:ascii="Arial" w:eastAsia="Times New Roman" w:hAnsi="Arial" w:cs="Calibri"/>
          <w:color w:val="auto"/>
          <w:lang w:val="en-AU"/>
        </w:rPr>
        <w:t>, to calculate the allowance for expected credit loss, which uses a lifetime expected loss for all receivables. A provision matrix is used to calculate the expected credit loss</w:t>
      </w:r>
      <w:r w:rsidRPr="00717BA5">
        <w:rPr>
          <w:rFonts w:ascii="Arial" w:eastAsia="Times New Roman" w:hAnsi="Arial" w:cs="Calibri"/>
          <w:color w:val="auto"/>
          <w:lang w:eastAsia="zh-TW"/>
        </w:rPr>
        <w:t xml:space="preserve"> based on its historical credit loss experience, adjusted for forward looking factors specific to the debtors and the economic environment. </w:t>
      </w:r>
    </w:p>
    <w:p w14:paraId="14F72714" w14:textId="77777777" w:rsidR="00717BA5" w:rsidRPr="00717BA5" w:rsidRDefault="00717BA5" w:rsidP="00717BA5">
      <w:pPr>
        <w:adjustRightInd w:val="0"/>
        <w:snapToGrid w:val="0"/>
        <w:rPr>
          <w:rFonts w:ascii="Arial" w:eastAsia="Times New Roman" w:hAnsi="Arial" w:cs="Calibri"/>
          <w:color w:val="auto"/>
          <w:lang w:eastAsia="zh-TW"/>
        </w:rPr>
      </w:pPr>
      <w:r w:rsidRPr="00717BA5">
        <w:rPr>
          <w:rFonts w:ascii="Arial" w:eastAsia="Times New Roman" w:hAnsi="Arial" w:cs="Calibri"/>
          <w:color w:val="auto"/>
          <w:lang w:eastAsia="zh-TW"/>
        </w:rPr>
        <w:t>Loss rates are calculated separately for each administered scheme. The calculations reflect historical, observed default rates based on credit losses experienced on past submitted quarterly returns during the last three years preceding 30 June 2026. The historical default rates are adjusted by reasonable and supportable forward-looking information for expected changes in macroeconomic indicators that affect the future recovery of those receivables.</w:t>
      </w:r>
    </w:p>
    <w:p w14:paraId="68A2F75D" w14:textId="77777777" w:rsidR="00717BA5" w:rsidRPr="00717BA5" w:rsidRDefault="00717BA5" w:rsidP="00717BA5">
      <w:pPr>
        <w:spacing w:after="0" w:line="240" w:lineRule="auto"/>
        <w:rPr>
          <w:rFonts w:ascii="Arial" w:eastAsia="SimSun" w:hAnsi="Arial" w:cs="Arial"/>
          <w:color w:val="auto"/>
          <w:sz w:val="18"/>
          <w:szCs w:val="18"/>
          <w:lang w:eastAsia="zh-TW"/>
        </w:rPr>
      </w:pPr>
      <w:r w:rsidRPr="00717BA5">
        <w:rPr>
          <w:rFonts w:ascii="Arial" w:eastAsia="SimSun" w:hAnsi="Arial" w:cs="Arial"/>
          <w:color w:val="auto"/>
          <w:sz w:val="18"/>
          <w:szCs w:val="18"/>
          <w:lang w:eastAsia="zh-TW"/>
        </w:rPr>
        <w:br w:type="page"/>
      </w:r>
    </w:p>
    <w:p w14:paraId="4EF8A777" w14:textId="77777777" w:rsidR="00717BA5" w:rsidRPr="008309D2" w:rsidRDefault="00717BA5" w:rsidP="009B3326">
      <w:pPr>
        <w:pStyle w:val="Heading5"/>
      </w:pPr>
      <w:r w:rsidRPr="00717BA5">
        <w:lastRenderedPageBreak/>
        <w:t>NOTE 12.   RECEIVABLES - CONTINUED</w:t>
      </w:r>
    </w:p>
    <w:tbl>
      <w:tblPr>
        <w:tblW w:w="5000" w:type="pct"/>
        <w:tblLook w:val="04A0" w:firstRow="1" w:lastRow="0" w:firstColumn="1" w:lastColumn="0" w:noHBand="0" w:noVBand="1"/>
      </w:tblPr>
      <w:tblGrid>
        <w:gridCol w:w="6821"/>
        <w:gridCol w:w="1218"/>
        <w:gridCol w:w="577"/>
        <w:gridCol w:w="1333"/>
      </w:tblGrid>
      <w:tr w:rsidR="00717BA5" w:rsidRPr="00717BA5" w14:paraId="4153C4A0" w14:textId="77777777" w:rsidTr="00F0752D">
        <w:trPr>
          <w:trHeight w:val="272"/>
        </w:trPr>
        <w:tc>
          <w:tcPr>
            <w:tcW w:w="3428" w:type="pct"/>
            <w:tcBorders>
              <w:top w:val="nil"/>
              <w:left w:val="nil"/>
              <w:right w:val="nil"/>
            </w:tcBorders>
            <w:shd w:val="clear" w:color="000000" w:fill="FFFFFF"/>
          </w:tcPr>
          <w:p w14:paraId="343D63A9" w14:textId="77777777" w:rsidR="00717BA5" w:rsidRPr="00717BA5" w:rsidRDefault="00717BA5" w:rsidP="00717BA5">
            <w:pPr>
              <w:spacing w:after="0" w:line="240" w:lineRule="auto"/>
              <w:jc w:val="both"/>
              <w:rPr>
                <w:rFonts w:ascii="Arial" w:eastAsia="Times New Roman" w:hAnsi="Arial" w:cs="Arial"/>
                <w:b/>
                <w:bCs/>
                <w:color w:val="auto"/>
                <w:sz w:val="18"/>
                <w:szCs w:val="18"/>
                <w:lang w:val="en-AU"/>
              </w:rPr>
            </w:pPr>
          </w:p>
        </w:tc>
        <w:tc>
          <w:tcPr>
            <w:tcW w:w="612" w:type="pct"/>
            <w:tcBorders>
              <w:top w:val="nil"/>
              <w:left w:val="nil"/>
              <w:bottom w:val="nil"/>
              <w:right w:val="nil"/>
            </w:tcBorders>
            <w:shd w:val="clear" w:color="000000" w:fill="FFFFFF"/>
            <w:vAlign w:val="bottom"/>
          </w:tcPr>
          <w:p w14:paraId="322525A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290" w:type="pct"/>
            <w:tcBorders>
              <w:top w:val="nil"/>
              <w:left w:val="nil"/>
              <w:bottom w:val="nil"/>
              <w:right w:val="nil"/>
            </w:tcBorders>
            <w:shd w:val="clear" w:color="000000" w:fill="FFFFFF"/>
            <w:vAlign w:val="bottom"/>
          </w:tcPr>
          <w:p w14:paraId="5622810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70" w:type="pct"/>
            <w:tcBorders>
              <w:top w:val="nil"/>
              <w:left w:val="nil"/>
              <w:bottom w:val="nil"/>
              <w:right w:val="nil"/>
            </w:tcBorders>
            <w:shd w:val="clear" w:color="000000" w:fill="FFFFFF"/>
            <w:noWrap/>
            <w:vAlign w:val="bottom"/>
          </w:tcPr>
          <w:p w14:paraId="04BC27E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79BA3C50" w14:textId="77777777" w:rsidTr="00F0752D">
        <w:trPr>
          <w:trHeight w:val="272"/>
        </w:trPr>
        <w:tc>
          <w:tcPr>
            <w:tcW w:w="3428" w:type="pct"/>
            <w:tcBorders>
              <w:top w:val="nil"/>
              <w:left w:val="nil"/>
              <w:right w:val="nil"/>
            </w:tcBorders>
            <w:shd w:val="clear" w:color="000000" w:fill="FFFFFF"/>
            <w:vAlign w:val="bottom"/>
          </w:tcPr>
          <w:p w14:paraId="45AB03B1"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Current Receivables</w:t>
            </w:r>
          </w:p>
        </w:tc>
        <w:tc>
          <w:tcPr>
            <w:tcW w:w="612" w:type="pct"/>
            <w:tcBorders>
              <w:top w:val="nil"/>
              <w:left w:val="nil"/>
              <w:right w:val="nil"/>
            </w:tcBorders>
            <w:shd w:val="clear" w:color="000000" w:fill="FFFFFF"/>
            <w:vAlign w:val="bottom"/>
          </w:tcPr>
          <w:p w14:paraId="4CB987C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290" w:type="pct"/>
            <w:tcBorders>
              <w:top w:val="nil"/>
              <w:left w:val="nil"/>
              <w:right w:val="nil"/>
            </w:tcBorders>
            <w:shd w:val="clear" w:color="000000" w:fill="FFFFFF"/>
            <w:vAlign w:val="bottom"/>
          </w:tcPr>
          <w:p w14:paraId="049A950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70" w:type="pct"/>
            <w:tcBorders>
              <w:top w:val="nil"/>
              <w:left w:val="nil"/>
              <w:right w:val="nil"/>
            </w:tcBorders>
            <w:shd w:val="clear" w:color="000000" w:fill="FFFFFF"/>
            <w:noWrap/>
            <w:vAlign w:val="bottom"/>
          </w:tcPr>
          <w:p w14:paraId="39547FD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$’000 </w:t>
            </w:r>
          </w:p>
        </w:tc>
      </w:tr>
      <w:tr w:rsidR="00717BA5" w:rsidRPr="00717BA5" w14:paraId="04DDF327" w14:textId="77777777" w:rsidTr="00F0752D">
        <w:trPr>
          <w:trHeight w:val="20"/>
        </w:trPr>
        <w:tc>
          <w:tcPr>
            <w:tcW w:w="3428" w:type="pct"/>
            <w:tcBorders>
              <w:top w:val="nil"/>
              <w:left w:val="nil"/>
              <w:bottom w:val="nil"/>
              <w:right w:val="nil"/>
            </w:tcBorders>
            <w:shd w:val="clear" w:color="000000" w:fill="FFFFFF"/>
            <w:vAlign w:val="bottom"/>
          </w:tcPr>
          <w:p w14:paraId="78A8D301" w14:textId="77777777" w:rsidR="00717BA5" w:rsidRPr="00717BA5" w:rsidRDefault="00717BA5" w:rsidP="00717BA5">
            <w:pPr>
              <w:spacing w:after="0" w:line="240" w:lineRule="auto"/>
              <w:rPr>
                <w:rFonts w:ascii="Arial" w:eastAsia="Times New Roman" w:hAnsi="Arial" w:cs="Arial"/>
                <w:color w:val="auto"/>
                <w:sz w:val="18"/>
                <w:szCs w:val="18"/>
                <w:vertAlign w:val="superscript"/>
                <w:lang w:val="en-AU"/>
              </w:rPr>
            </w:pPr>
            <w:r w:rsidRPr="00717BA5">
              <w:rPr>
                <w:rFonts w:ascii="Arial" w:eastAsia="Times New Roman" w:hAnsi="Arial" w:cs="Arial"/>
                <w:color w:val="auto"/>
                <w:sz w:val="18"/>
                <w:szCs w:val="18"/>
                <w:lang w:val="en-AU"/>
              </w:rPr>
              <w:t>Employer and Contractor Contributions Receivable</w:t>
            </w:r>
          </w:p>
        </w:tc>
        <w:tc>
          <w:tcPr>
            <w:tcW w:w="612" w:type="pct"/>
            <w:tcBorders>
              <w:top w:val="nil"/>
              <w:left w:val="nil"/>
              <w:right w:val="nil"/>
            </w:tcBorders>
            <w:shd w:val="clear" w:color="000000" w:fill="FFFFFF"/>
            <w:vAlign w:val="bottom"/>
          </w:tcPr>
          <w:p w14:paraId="7FB3B6A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2,282</w:t>
            </w:r>
          </w:p>
        </w:tc>
        <w:tc>
          <w:tcPr>
            <w:tcW w:w="290" w:type="pct"/>
            <w:tcBorders>
              <w:top w:val="nil"/>
              <w:left w:val="nil"/>
              <w:bottom w:val="nil"/>
              <w:right w:val="nil"/>
            </w:tcBorders>
            <w:shd w:val="clear" w:color="000000" w:fill="FFFFFF"/>
            <w:vAlign w:val="bottom"/>
          </w:tcPr>
          <w:p w14:paraId="2C726CF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tcBorders>
              <w:top w:val="nil"/>
              <w:left w:val="nil"/>
              <w:right w:val="nil"/>
            </w:tcBorders>
            <w:shd w:val="clear" w:color="000000" w:fill="FFFFFF"/>
            <w:noWrap/>
            <w:vAlign w:val="bottom"/>
          </w:tcPr>
          <w:p w14:paraId="3CCC4E2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2,330</w:t>
            </w:r>
          </w:p>
        </w:tc>
      </w:tr>
      <w:tr w:rsidR="00717BA5" w:rsidRPr="00717BA5" w14:paraId="2114238F" w14:textId="77777777" w:rsidTr="00F0752D">
        <w:trPr>
          <w:trHeight w:val="20"/>
        </w:trPr>
        <w:tc>
          <w:tcPr>
            <w:tcW w:w="3428" w:type="pct"/>
            <w:tcBorders>
              <w:top w:val="nil"/>
              <w:left w:val="nil"/>
              <w:bottom w:val="nil"/>
              <w:right w:val="nil"/>
            </w:tcBorders>
            <w:shd w:val="clear" w:color="000000" w:fill="FFFFFF"/>
            <w:vAlign w:val="bottom"/>
          </w:tcPr>
          <w:p w14:paraId="51C5C442"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Less: Expected Credit Loss Allowance</w:t>
            </w:r>
          </w:p>
        </w:tc>
        <w:tc>
          <w:tcPr>
            <w:tcW w:w="612" w:type="pct"/>
            <w:tcBorders>
              <w:top w:val="nil"/>
              <w:left w:val="nil"/>
              <w:right w:val="nil"/>
            </w:tcBorders>
            <w:vAlign w:val="bottom"/>
          </w:tcPr>
          <w:p w14:paraId="2B06EE7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(465)</w:t>
            </w:r>
          </w:p>
        </w:tc>
        <w:tc>
          <w:tcPr>
            <w:tcW w:w="290" w:type="pct"/>
            <w:tcBorders>
              <w:top w:val="nil"/>
              <w:left w:val="nil"/>
              <w:right w:val="nil"/>
            </w:tcBorders>
            <w:shd w:val="clear" w:color="000000" w:fill="FFFFFF"/>
            <w:vAlign w:val="bottom"/>
          </w:tcPr>
          <w:p w14:paraId="43F6566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tcBorders>
              <w:top w:val="nil"/>
              <w:left w:val="nil"/>
              <w:right w:val="nil"/>
            </w:tcBorders>
            <w:noWrap/>
            <w:vAlign w:val="bottom"/>
          </w:tcPr>
          <w:p w14:paraId="5C5E19E4" w14:textId="77777777" w:rsidR="00717BA5" w:rsidRPr="00717BA5" w:rsidRDefault="00717BA5" w:rsidP="00717BA5">
            <w:pPr>
              <w:tabs>
                <w:tab w:val="center" w:pos="414"/>
                <w:tab w:val="right" w:pos="829"/>
              </w:tabs>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(455)</w:t>
            </w:r>
          </w:p>
        </w:tc>
      </w:tr>
      <w:tr w:rsidR="00717BA5" w:rsidRPr="00717BA5" w14:paraId="71C5CBF6" w14:textId="77777777" w:rsidTr="00F0752D">
        <w:trPr>
          <w:trHeight w:val="20"/>
        </w:trPr>
        <w:tc>
          <w:tcPr>
            <w:tcW w:w="3428" w:type="pct"/>
            <w:tcBorders>
              <w:top w:val="nil"/>
              <w:left w:val="nil"/>
              <w:bottom w:val="nil"/>
              <w:right w:val="nil"/>
            </w:tcBorders>
            <w:shd w:val="clear" w:color="000000" w:fill="FFFFFF"/>
            <w:vAlign w:val="bottom"/>
          </w:tcPr>
          <w:p w14:paraId="1CA4F5B9" w14:textId="58F74086"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Accrued Industry Contributions</w:t>
            </w:r>
            <w:r w:rsidR="00FC0A57">
              <w:rPr>
                <w:rFonts w:ascii="ZWAdobeF" w:eastAsia="Times New Roman" w:hAnsi="ZWAdobeF" w:cs="ZWAdobeF"/>
                <w:color w:val="auto"/>
                <w:sz w:val="2"/>
                <w:szCs w:val="2"/>
                <w:lang w:val="en-AU"/>
              </w:rPr>
              <w:t>12F</w:t>
            </w:r>
            <w:r w:rsidRPr="00717BA5">
              <w:rPr>
                <w:rFonts w:ascii="Arial" w:eastAsia="Times New Roman" w:hAnsi="Arial" w:cs="Arial"/>
                <w:color w:val="auto"/>
                <w:sz w:val="18"/>
                <w:szCs w:val="18"/>
                <w:vertAlign w:val="superscript"/>
                <w:lang w:val="en-AU"/>
              </w:rPr>
              <w:footnoteReference w:id="14"/>
            </w:r>
          </w:p>
        </w:tc>
        <w:tc>
          <w:tcPr>
            <w:tcW w:w="612" w:type="pct"/>
            <w:tcBorders>
              <w:left w:val="nil"/>
              <w:right w:val="nil"/>
            </w:tcBorders>
            <w:shd w:val="clear" w:color="000000" w:fill="FFFFFF"/>
            <w:vAlign w:val="bottom"/>
          </w:tcPr>
          <w:p w14:paraId="7F738CB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11,259</w:t>
            </w:r>
          </w:p>
        </w:tc>
        <w:tc>
          <w:tcPr>
            <w:tcW w:w="290" w:type="pct"/>
            <w:tcBorders>
              <w:left w:val="nil"/>
              <w:bottom w:val="nil"/>
              <w:right w:val="nil"/>
            </w:tcBorders>
            <w:shd w:val="clear" w:color="000000" w:fill="FFFFFF"/>
            <w:vAlign w:val="bottom"/>
          </w:tcPr>
          <w:p w14:paraId="0EE9AEB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tcBorders>
              <w:left w:val="nil"/>
              <w:right w:val="nil"/>
            </w:tcBorders>
            <w:shd w:val="clear" w:color="000000" w:fill="FFFFFF"/>
            <w:noWrap/>
            <w:vAlign w:val="bottom"/>
          </w:tcPr>
          <w:p w14:paraId="35E01D0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10,381</w:t>
            </w:r>
          </w:p>
        </w:tc>
      </w:tr>
      <w:tr w:rsidR="00717BA5" w:rsidRPr="00717BA5" w14:paraId="368D57FD" w14:textId="77777777" w:rsidTr="00F0752D">
        <w:trPr>
          <w:trHeight w:val="20"/>
        </w:trPr>
        <w:tc>
          <w:tcPr>
            <w:tcW w:w="3428" w:type="pct"/>
            <w:tcBorders>
              <w:top w:val="nil"/>
              <w:left w:val="nil"/>
              <w:right w:val="nil"/>
            </w:tcBorders>
            <w:shd w:val="clear" w:color="000000" w:fill="FFFFFF"/>
            <w:vAlign w:val="bottom"/>
          </w:tcPr>
          <w:p w14:paraId="4C2E8E55" w14:textId="2073430D"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Accrued Investment Income</w:t>
            </w:r>
            <w:r w:rsidR="00FC0A57">
              <w:rPr>
                <w:rFonts w:ascii="ZWAdobeF" w:eastAsia="Times New Roman" w:hAnsi="ZWAdobeF" w:cs="ZWAdobeF"/>
                <w:color w:val="auto"/>
                <w:sz w:val="2"/>
                <w:szCs w:val="2"/>
                <w:lang w:val="en-AU"/>
              </w:rPr>
              <w:t>13F</w:t>
            </w:r>
            <w:r w:rsidRPr="00717BA5">
              <w:rPr>
                <w:rFonts w:ascii="Arial" w:eastAsia="Times New Roman" w:hAnsi="Arial" w:cs="Arial"/>
                <w:color w:val="auto"/>
                <w:sz w:val="18"/>
                <w:szCs w:val="18"/>
                <w:vertAlign w:val="superscript"/>
                <w:lang w:val="en-AU"/>
              </w:rPr>
              <w:footnoteReference w:id="15"/>
            </w:r>
          </w:p>
        </w:tc>
        <w:tc>
          <w:tcPr>
            <w:tcW w:w="612" w:type="pct"/>
            <w:tcBorders>
              <w:top w:val="nil"/>
              <w:left w:val="nil"/>
              <w:right w:val="nil"/>
            </w:tcBorders>
            <w:shd w:val="clear" w:color="000000" w:fill="FFFFFF"/>
            <w:vAlign w:val="bottom"/>
          </w:tcPr>
          <w:p w14:paraId="3117375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5,933</w:t>
            </w:r>
          </w:p>
        </w:tc>
        <w:tc>
          <w:tcPr>
            <w:tcW w:w="290" w:type="pct"/>
            <w:tcBorders>
              <w:top w:val="nil"/>
              <w:left w:val="nil"/>
              <w:right w:val="nil"/>
            </w:tcBorders>
            <w:shd w:val="clear" w:color="000000" w:fill="FFFFFF"/>
            <w:vAlign w:val="bottom"/>
          </w:tcPr>
          <w:p w14:paraId="62B38E2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tcBorders>
              <w:top w:val="nil"/>
              <w:left w:val="nil"/>
              <w:right w:val="nil"/>
            </w:tcBorders>
            <w:shd w:val="clear" w:color="000000" w:fill="FFFFFF"/>
            <w:noWrap/>
            <w:vAlign w:val="bottom"/>
          </w:tcPr>
          <w:p w14:paraId="1D613DD2" w14:textId="77777777" w:rsidR="00717BA5" w:rsidRPr="00717BA5" w:rsidRDefault="00717BA5" w:rsidP="00717BA5">
            <w:pPr>
              <w:tabs>
                <w:tab w:val="center" w:pos="414"/>
                <w:tab w:val="right" w:pos="829"/>
              </w:tabs>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3,475</w:t>
            </w:r>
          </w:p>
        </w:tc>
      </w:tr>
      <w:tr w:rsidR="00717BA5" w:rsidRPr="00717BA5" w14:paraId="32D89B96" w14:textId="77777777" w:rsidTr="00F0752D">
        <w:trPr>
          <w:trHeight w:val="20"/>
        </w:trPr>
        <w:tc>
          <w:tcPr>
            <w:tcW w:w="3428" w:type="pct"/>
            <w:tcBorders>
              <w:left w:val="nil"/>
              <w:right w:val="nil"/>
            </w:tcBorders>
            <w:shd w:val="clear" w:color="000000" w:fill="FFFFFF"/>
            <w:vAlign w:val="bottom"/>
          </w:tcPr>
          <w:p w14:paraId="67754F50"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GST Receivable</w:t>
            </w:r>
          </w:p>
        </w:tc>
        <w:tc>
          <w:tcPr>
            <w:tcW w:w="612" w:type="pct"/>
            <w:tcBorders>
              <w:left w:val="nil"/>
              <w:right w:val="nil"/>
            </w:tcBorders>
            <w:shd w:val="clear" w:color="000000" w:fill="FFFFFF"/>
            <w:vAlign w:val="bottom"/>
          </w:tcPr>
          <w:p w14:paraId="1A70981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65</w:t>
            </w:r>
          </w:p>
        </w:tc>
        <w:tc>
          <w:tcPr>
            <w:tcW w:w="290" w:type="pct"/>
            <w:tcBorders>
              <w:left w:val="nil"/>
              <w:right w:val="nil"/>
            </w:tcBorders>
            <w:shd w:val="clear" w:color="000000" w:fill="FFFFFF"/>
            <w:vAlign w:val="bottom"/>
          </w:tcPr>
          <w:p w14:paraId="6C867C2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tcBorders>
              <w:left w:val="nil"/>
              <w:right w:val="nil"/>
            </w:tcBorders>
            <w:shd w:val="clear" w:color="000000" w:fill="FFFFFF"/>
            <w:vAlign w:val="bottom"/>
          </w:tcPr>
          <w:p w14:paraId="7E558B9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16</w:t>
            </w:r>
          </w:p>
        </w:tc>
      </w:tr>
      <w:tr w:rsidR="00717BA5" w:rsidRPr="00717BA5" w14:paraId="017E6BAD" w14:textId="77777777" w:rsidTr="00F0752D">
        <w:trPr>
          <w:trHeight w:val="20"/>
        </w:trPr>
        <w:tc>
          <w:tcPr>
            <w:tcW w:w="3428" w:type="pct"/>
            <w:tcBorders>
              <w:left w:val="nil"/>
              <w:right w:val="nil"/>
            </w:tcBorders>
            <w:shd w:val="clear" w:color="000000" w:fill="FFFFFF"/>
            <w:vAlign w:val="bottom"/>
          </w:tcPr>
          <w:p w14:paraId="3AD595D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Other Current Receivables</w:t>
            </w:r>
          </w:p>
        </w:tc>
        <w:tc>
          <w:tcPr>
            <w:tcW w:w="612" w:type="pct"/>
            <w:tcBorders>
              <w:left w:val="nil"/>
              <w:bottom w:val="single" w:sz="4" w:space="0" w:color="auto"/>
              <w:right w:val="nil"/>
            </w:tcBorders>
            <w:shd w:val="clear" w:color="000000" w:fill="FFFFFF"/>
            <w:vAlign w:val="bottom"/>
          </w:tcPr>
          <w:p w14:paraId="2EE25CD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w:t>
            </w:r>
          </w:p>
        </w:tc>
        <w:tc>
          <w:tcPr>
            <w:tcW w:w="290" w:type="pct"/>
            <w:tcBorders>
              <w:left w:val="nil"/>
              <w:right w:val="nil"/>
            </w:tcBorders>
            <w:shd w:val="clear" w:color="000000" w:fill="FFFFFF"/>
            <w:vAlign w:val="bottom"/>
          </w:tcPr>
          <w:p w14:paraId="3D10174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tcBorders>
              <w:left w:val="nil"/>
              <w:bottom w:val="single" w:sz="4" w:space="0" w:color="auto"/>
            </w:tcBorders>
            <w:shd w:val="clear" w:color="000000" w:fill="FFFFFF"/>
            <w:vAlign w:val="bottom"/>
          </w:tcPr>
          <w:p w14:paraId="2D5A6FC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color w:val="auto"/>
                <w:sz w:val="18"/>
                <w:szCs w:val="18"/>
                <w:lang w:val="en-AU"/>
              </w:rPr>
              <w:t>3</w:t>
            </w:r>
          </w:p>
        </w:tc>
      </w:tr>
      <w:tr w:rsidR="00717BA5" w:rsidRPr="00717BA5" w14:paraId="645A10E0" w14:textId="77777777" w:rsidTr="00F0752D">
        <w:trPr>
          <w:trHeight w:val="20"/>
        </w:trPr>
        <w:tc>
          <w:tcPr>
            <w:tcW w:w="3428" w:type="pct"/>
            <w:tcBorders>
              <w:left w:val="nil"/>
              <w:right w:val="nil"/>
            </w:tcBorders>
            <w:shd w:val="clear" w:color="000000" w:fill="FFFFFF"/>
            <w:vAlign w:val="bottom"/>
          </w:tcPr>
          <w:p w14:paraId="69F58B89"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Total Current Receivables</w:t>
            </w:r>
          </w:p>
        </w:tc>
        <w:tc>
          <w:tcPr>
            <w:tcW w:w="612" w:type="pct"/>
            <w:tcBorders>
              <w:top w:val="single" w:sz="4" w:space="0" w:color="auto"/>
              <w:left w:val="nil"/>
              <w:bottom w:val="double" w:sz="6" w:space="0" w:color="auto"/>
              <w:right w:val="nil"/>
            </w:tcBorders>
            <w:shd w:val="clear" w:color="000000" w:fill="FFFFFF"/>
            <w:vAlign w:val="bottom"/>
          </w:tcPr>
          <w:p w14:paraId="0BF6EFC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19,075</w:t>
            </w:r>
          </w:p>
        </w:tc>
        <w:tc>
          <w:tcPr>
            <w:tcW w:w="290" w:type="pct"/>
            <w:tcBorders>
              <w:left w:val="nil"/>
              <w:right w:val="nil"/>
            </w:tcBorders>
            <w:shd w:val="clear" w:color="000000" w:fill="FFFFFF"/>
            <w:vAlign w:val="bottom"/>
          </w:tcPr>
          <w:p w14:paraId="1B5843B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tcBorders>
              <w:top w:val="single" w:sz="4" w:space="0" w:color="auto"/>
              <w:left w:val="nil"/>
              <w:bottom w:val="double" w:sz="6" w:space="0" w:color="auto"/>
              <w:right w:val="nil"/>
            </w:tcBorders>
            <w:shd w:val="clear" w:color="000000" w:fill="FFFFFF"/>
            <w:vAlign w:val="bottom"/>
          </w:tcPr>
          <w:p w14:paraId="24296D7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15,750</w:t>
            </w:r>
          </w:p>
        </w:tc>
      </w:tr>
      <w:tr w:rsidR="00717BA5" w:rsidRPr="00717BA5" w14:paraId="50FBA027" w14:textId="77777777" w:rsidTr="00F0752D">
        <w:trPr>
          <w:trHeight w:val="20"/>
        </w:trPr>
        <w:tc>
          <w:tcPr>
            <w:tcW w:w="3428" w:type="pct"/>
            <w:tcBorders>
              <w:top w:val="nil"/>
              <w:left w:val="nil"/>
              <w:bottom w:val="nil"/>
              <w:right w:val="nil"/>
            </w:tcBorders>
            <w:shd w:val="clear" w:color="000000" w:fill="FFFFFF"/>
            <w:vAlign w:val="bottom"/>
          </w:tcPr>
          <w:p w14:paraId="247D0BA4" w14:textId="77777777" w:rsidR="00717BA5" w:rsidRDefault="00717BA5" w:rsidP="009B3326">
            <w:pPr>
              <w:spacing w:after="240" w:line="240" w:lineRule="auto"/>
              <w:jc w:val="both"/>
              <w:rPr>
                <w:rFonts w:ascii="Arial" w:eastAsia="Times New Roman" w:hAnsi="Arial" w:cs="Arial"/>
                <w:caps/>
                <w:color w:val="auto"/>
                <w:sz w:val="18"/>
                <w:szCs w:val="18"/>
                <w:lang w:val="en-AU"/>
              </w:rPr>
            </w:pPr>
          </w:p>
          <w:p w14:paraId="1AB5F7FD" w14:textId="77777777" w:rsidR="009B3326" w:rsidRPr="00717BA5" w:rsidRDefault="009B3326" w:rsidP="009B3326">
            <w:pPr>
              <w:spacing w:after="240" w:line="240" w:lineRule="auto"/>
              <w:jc w:val="both"/>
              <w:rPr>
                <w:rFonts w:ascii="Arial" w:eastAsia="Times New Roman" w:hAnsi="Arial" w:cs="Arial"/>
                <w:caps/>
                <w:color w:val="auto"/>
                <w:sz w:val="18"/>
                <w:szCs w:val="18"/>
                <w:lang w:val="en-AU"/>
              </w:rPr>
            </w:pPr>
          </w:p>
        </w:tc>
        <w:tc>
          <w:tcPr>
            <w:tcW w:w="612" w:type="pct"/>
            <w:tcBorders>
              <w:top w:val="nil"/>
              <w:left w:val="nil"/>
              <w:bottom w:val="nil"/>
              <w:right w:val="nil"/>
            </w:tcBorders>
            <w:shd w:val="clear" w:color="000000" w:fill="FFFFFF"/>
            <w:vAlign w:val="bottom"/>
          </w:tcPr>
          <w:p w14:paraId="51F7537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90" w:type="pct"/>
            <w:tcBorders>
              <w:top w:val="nil"/>
              <w:left w:val="nil"/>
              <w:bottom w:val="nil"/>
              <w:right w:val="nil"/>
            </w:tcBorders>
            <w:shd w:val="clear" w:color="000000" w:fill="FFFFFF"/>
            <w:vAlign w:val="bottom"/>
          </w:tcPr>
          <w:p w14:paraId="1848E82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tcBorders>
              <w:top w:val="nil"/>
              <w:left w:val="nil"/>
              <w:bottom w:val="nil"/>
              <w:right w:val="nil"/>
            </w:tcBorders>
            <w:shd w:val="clear" w:color="000000" w:fill="FFFFFF"/>
            <w:vAlign w:val="bottom"/>
          </w:tcPr>
          <w:p w14:paraId="3FFFBCD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17BF787" w14:textId="77777777" w:rsidTr="00F0752D">
        <w:trPr>
          <w:trHeight w:val="20"/>
        </w:trPr>
        <w:tc>
          <w:tcPr>
            <w:tcW w:w="3428" w:type="pct"/>
            <w:shd w:val="clear" w:color="000000" w:fill="FFFFFF"/>
            <w:vAlign w:val="bottom"/>
          </w:tcPr>
          <w:p w14:paraId="603BC62B" w14:textId="77777777" w:rsidR="00717BA5" w:rsidRPr="00717BA5" w:rsidRDefault="00717BA5" w:rsidP="00717BA5">
            <w:pPr>
              <w:spacing w:before="200" w:after="0" w:line="240" w:lineRule="auto"/>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Reconciliation of the Expected Credit Loss Allowance</w:t>
            </w:r>
          </w:p>
          <w:p w14:paraId="702E3CD4"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Allowance at the Beginning of the Reporting Period</w:t>
            </w:r>
          </w:p>
        </w:tc>
        <w:tc>
          <w:tcPr>
            <w:tcW w:w="612" w:type="pct"/>
            <w:shd w:val="clear" w:color="000000" w:fill="FFFFFF"/>
            <w:vAlign w:val="bottom"/>
          </w:tcPr>
          <w:p w14:paraId="38E08FB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455</w:t>
            </w:r>
          </w:p>
        </w:tc>
        <w:tc>
          <w:tcPr>
            <w:tcW w:w="290" w:type="pct"/>
            <w:shd w:val="clear" w:color="000000" w:fill="FFFFFF"/>
            <w:vAlign w:val="bottom"/>
          </w:tcPr>
          <w:p w14:paraId="19F665A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shd w:val="clear" w:color="000000" w:fill="FFFFFF"/>
            <w:noWrap/>
            <w:vAlign w:val="bottom"/>
          </w:tcPr>
          <w:p w14:paraId="1CA783E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363</w:t>
            </w:r>
          </w:p>
        </w:tc>
      </w:tr>
      <w:tr w:rsidR="00717BA5" w:rsidRPr="00717BA5" w14:paraId="44597BA6" w14:textId="77777777" w:rsidTr="00F0752D">
        <w:trPr>
          <w:trHeight w:val="20"/>
        </w:trPr>
        <w:tc>
          <w:tcPr>
            <w:tcW w:w="3428" w:type="pct"/>
            <w:shd w:val="clear" w:color="000000" w:fill="FFFFFF"/>
            <w:vAlign w:val="bottom"/>
          </w:tcPr>
          <w:p w14:paraId="6BD3E23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Less: Reduction in Allowance from Amounts Written Off During the Reporting Period</w:t>
            </w:r>
          </w:p>
        </w:tc>
        <w:tc>
          <w:tcPr>
            <w:tcW w:w="612" w:type="pct"/>
            <w:shd w:val="clear" w:color="000000" w:fill="FFFFFF"/>
            <w:vAlign w:val="bottom"/>
          </w:tcPr>
          <w:p w14:paraId="3A9B231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(354)</w:t>
            </w:r>
          </w:p>
        </w:tc>
        <w:tc>
          <w:tcPr>
            <w:tcW w:w="290" w:type="pct"/>
            <w:shd w:val="clear" w:color="000000" w:fill="FFFFFF"/>
            <w:vAlign w:val="bottom"/>
          </w:tcPr>
          <w:p w14:paraId="6C9DF69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shd w:val="clear" w:color="000000" w:fill="FFFFFF"/>
            <w:noWrap/>
            <w:vAlign w:val="bottom"/>
          </w:tcPr>
          <w:p w14:paraId="030A7C9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(101)</w:t>
            </w:r>
          </w:p>
        </w:tc>
      </w:tr>
      <w:tr w:rsidR="00717BA5" w:rsidRPr="00717BA5" w14:paraId="63EA177D" w14:textId="77777777" w:rsidTr="00F0752D">
        <w:trPr>
          <w:trHeight w:val="20"/>
        </w:trPr>
        <w:tc>
          <w:tcPr>
            <w:tcW w:w="3428" w:type="pct"/>
            <w:shd w:val="clear" w:color="000000" w:fill="FFFFFF"/>
            <w:vAlign w:val="bottom"/>
          </w:tcPr>
          <w:p w14:paraId="37E97942"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Less: Reduction in Allowance from Amounts Recovered During the Reporting Period</w:t>
            </w:r>
          </w:p>
        </w:tc>
        <w:tc>
          <w:tcPr>
            <w:tcW w:w="612" w:type="pct"/>
            <w:vAlign w:val="bottom"/>
          </w:tcPr>
          <w:p w14:paraId="12DD9D5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c>
          <w:tcPr>
            <w:tcW w:w="290" w:type="pct"/>
            <w:shd w:val="clear" w:color="000000" w:fill="FFFFFF"/>
            <w:vAlign w:val="bottom"/>
          </w:tcPr>
          <w:p w14:paraId="5AE8D2B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0" w:type="pct"/>
            <w:noWrap/>
            <w:vAlign w:val="bottom"/>
          </w:tcPr>
          <w:p w14:paraId="30E8895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r>
      <w:tr w:rsidR="00717BA5" w:rsidRPr="00717BA5" w14:paraId="03DBF1E5" w14:textId="77777777" w:rsidTr="00F0752D">
        <w:trPr>
          <w:trHeight w:val="20"/>
        </w:trPr>
        <w:tc>
          <w:tcPr>
            <w:tcW w:w="3428" w:type="pct"/>
            <w:shd w:val="clear" w:color="000000" w:fill="FFFFFF"/>
            <w:vAlign w:val="bottom"/>
          </w:tcPr>
          <w:p w14:paraId="2693EF6D"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color w:val="auto"/>
                <w:sz w:val="18"/>
                <w:szCs w:val="18"/>
                <w:lang w:val="en-AU"/>
              </w:rPr>
              <w:t>Add: Expected Credit Loss Expense</w:t>
            </w:r>
          </w:p>
        </w:tc>
        <w:tc>
          <w:tcPr>
            <w:tcW w:w="612" w:type="pct"/>
            <w:tcBorders>
              <w:bottom w:val="single" w:sz="4" w:space="0" w:color="auto"/>
            </w:tcBorders>
            <w:vAlign w:val="bottom"/>
          </w:tcPr>
          <w:p w14:paraId="1454FA5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364</w:t>
            </w:r>
          </w:p>
        </w:tc>
        <w:tc>
          <w:tcPr>
            <w:tcW w:w="290" w:type="pct"/>
            <w:shd w:val="clear" w:color="000000" w:fill="FFFFFF"/>
            <w:vAlign w:val="bottom"/>
          </w:tcPr>
          <w:p w14:paraId="1B14E25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70" w:type="pct"/>
            <w:tcBorders>
              <w:bottom w:val="single" w:sz="4" w:space="0" w:color="auto"/>
            </w:tcBorders>
            <w:noWrap/>
            <w:vAlign w:val="bottom"/>
          </w:tcPr>
          <w:p w14:paraId="0B3B7AA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color w:val="auto"/>
                <w:sz w:val="18"/>
                <w:szCs w:val="18"/>
                <w:lang w:val="en-AU"/>
              </w:rPr>
              <w:t>193</w:t>
            </w:r>
          </w:p>
        </w:tc>
      </w:tr>
      <w:tr w:rsidR="00717BA5" w:rsidRPr="00717BA5" w14:paraId="134EDAB3" w14:textId="77777777" w:rsidTr="00F0752D">
        <w:trPr>
          <w:trHeight w:val="20"/>
        </w:trPr>
        <w:tc>
          <w:tcPr>
            <w:tcW w:w="3428" w:type="pct"/>
            <w:tcBorders>
              <w:left w:val="nil"/>
              <w:right w:val="nil"/>
            </w:tcBorders>
            <w:shd w:val="clear" w:color="000000" w:fill="FFFFFF"/>
            <w:vAlign w:val="bottom"/>
          </w:tcPr>
          <w:p w14:paraId="27DB8049"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Allowance for Expected Credit Losses at the End of the Reporting Period</w:t>
            </w:r>
          </w:p>
        </w:tc>
        <w:tc>
          <w:tcPr>
            <w:tcW w:w="612" w:type="pct"/>
            <w:tcBorders>
              <w:top w:val="single" w:sz="4" w:space="0" w:color="auto"/>
              <w:left w:val="nil"/>
              <w:bottom w:val="double" w:sz="6" w:space="0" w:color="auto"/>
              <w:right w:val="nil"/>
            </w:tcBorders>
            <w:shd w:val="clear" w:color="000000" w:fill="FFFFFF"/>
            <w:vAlign w:val="bottom"/>
          </w:tcPr>
          <w:p w14:paraId="2AD53CC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465</w:t>
            </w:r>
          </w:p>
        </w:tc>
        <w:tc>
          <w:tcPr>
            <w:tcW w:w="290" w:type="pct"/>
            <w:tcBorders>
              <w:left w:val="nil"/>
              <w:right w:val="nil"/>
            </w:tcBorders>
            <w:shd w:val="clear" w:color="000000" w:fill="FFFFFF"/>
            <w:vAlign w:val="bottom"/>
          </w:tcPr>
          <w:p w14:paraId="518A348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70" w:type="pct"/>
            <w:tcBorders>
              <w:top w:val="single" w:sz="4" w:space="0" w:color="auto"/>
              <w:left w:val="nil"/>
              <w:bottom w:val="double" w:sz="6" w:space="0" w:color="auto"/>
              <w:right w:val="nil"/>
            </w:tcBorders>
            <w:shd w:val="clear" w:color="000000" w:fill="FFFFFF"/>
            <w:noWrap/>
            <w:vAlign w:val="bottom"/>
          </w:tcPr>
          <w:p w14:paraId="3E0CFCE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455</w:t>
            </w:r>
          </w:p>
        </w:tc>
      </w:tr>
    </w:tbl>
    <w:p w14:paraId="5328C205" w14:textId="77777777" w:rsidR="00717BA5" w:rsidRPr="00717BA5" w:rsidRDefault="00717BA5" w:rsidP="00717BA5">
      <w:pPr>
        <w:spacing w:before="120" w:after="120" w:line="240" w:lineRule="auto"/>
        <w:jc w:val="both"/>
        <w:rPr>
          <w:rFonts w:ascii="Arial" w:eastAsia="Times New Roman" w:hAnsi="Arial" w:cs="Arial"/>
          <w:b/>
          <w:bCs/>
          <w:color w:val="auto"/>
          <w:sz w:val="18"/>
          <w:szCs w:val="18"/>
          <w:lang w:val="en-AU"/>
        </w:rPr>
      </w:pPr>
    </w:p>
    <w:p w14:paraId="5DA80E1C"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br w:type="page"/>
      </w:r>
    </w:p>
    <w:p w14:paraId="13322F47" w14:textId="77777777" w:rsidR="00717BA5" w:rsidRPr="00717BA5" w:rsidRDefault="00717BA5" w:rsidP="00717BA5">
      <w:pPr>
        <w:spacing w:after="0" w:line="240" w:lineRule="auto"/>
        <w:rPr>
          <w:rFonts w:ascii="Arial" w:eastAsia="SimSun" w:hAnsi="Arial" w:cs="Arial"/>
          <w:color w:val="auto"/>
          <w:lang w:val="en-AU"/>
        </w:rPr>
      </w:pPr>
    </w:p>
    <w:p w14:paraId="074C67E0" w14:textId="77777777" w:rsidR="00717BA5" w:rsidRPr="00717BA5" w:rsidRDefault="00717BA5" w:rsidP="009B3326">
      <w:pPr>
        <w:pStyle w:val="Heading5"/>
      </w:pPr>
      <w:r w:rsidRPr="00717BA5">
        <w:t>NOTE 12.   RECEIVABLES - CONTINUED</w:t>
      </w:r>
    </w:p>
    <w:p w14:paraId="1939AEE1" w14:textId="77777777" w:rsidR="00717BA5" w:rsidRPr="00717BA5" w:rsidRDefault="00717BA5" w:rsidP="00717BA5">
      <w:pPr>
        <w:spacing w:before="120" w:after="120" w:line="240" w:lineRule="auto"/>
        <w:jc w:val="both"/>
        <w:rPr>
          <w:rFonts w:ascii="Arial" w:eastAsia="Times New Roman" w:hAnsi="Arial" w:cs="Arial"/>
          <w:b/>
          <w:bCs/>
          <w:color w:val="auto"/>
          <w:sz w:val="22"/>
          <w:szCs w:val="22"/>
          <w:lang w:val="en-AU"/>
        </w:rPr>
      </w:pPr>
      <w:r w:rsidRPr="00717BA5">
        <w:rPr>
          <w:rFonts w:ascii="Arial" w:eastAsia="Times New Roman" w:hAnsi="Arial" w:cs="Arial"/>
          <w:b/>
          <w:bCs/>
          <w:color w:val="auto"/>
          <w:lang w:val="en-AU"/>
        </w:rPr>
        <w:t>Expected Credit Loss Allowance Provision Matrix</w:t>
      </w:r>
    </w:p>
    <w:tbl>
      <w:tblPr>
        <w:tblW w:w="9945" w:type="dxa"/>
        <w:tblInd w:w="113" w:type="dxa"/>
        <w:tblLook w:val="04A0" w:firstRow="1" w:lastRow="0" w:firstColumn="1" w:lastColumn="0" w:noHBand="0" w:noVBand="1"/>
      </w:tblPr>
      <w:tblGrid>
        <w:gridCol w:w="3851"/>
        <w:gridCol w:w="993"/>
        <w:gridCol w:w="992"/>
        <w:gridCol w:w="992"/>
        <w:gridCol w:w="992"/>
        <w:gridCol w:w="1069"/>
        <w:gridCol w:w="1056"/>
      </w:tblGrid>
      <w:tr w:rsidR="00717BA5" w:rsidRPr="00717BA5" w14:paraId="637DE838" w14:textId="77777777" w:rsidTr="00F0752D">
        <w:trPr>
          <w:trHeight w:val="298"/>
        </w:trPr>
        <w:tc>
          <w:tcPr>
            <w:tcW w:w="3851" w:type="dxa"/>
            <w:tcBorders>
              <w:top w:val="single" w:sz="4" w:space="0" w:color="auto"/>
              <w:left w:val="single" w:sz="4" w:space="0" w:color="auto"/>
              <w:bottom w:val="single" w:sz="4" w:space="0" w:color="auto"/>
              <w:right w:val="single" w:sz="4" w:space="0" w:color="auto"/>
            </w:tcBorders>
            <w:noWrap/>
            <w:vAlign w:val="bottom"/>
            <w:hideMark/>
          </w:tcPr>
          <w:p w14:paraId="54F6B18C" w14:textId="77777777" w:rsidR="00717BA5" w:rsidRPr="00717BA5" w:rsidRDefault="00717BA5" w:rsidP="00717BA5">
            <w:pPr>
              <w:spacing w:after="0" w:line="240" w:lineRule="auto"/>
              <w:rPr>
                <w:rFonts w:ascii="Arial" w:eastAsia="Times New Roman" w:hAnsi="Arial" w:cs="Arial"/>
                <w:b/>
                <w:bCs/>
                <w:color w:val="auto"/>
                <w:sz w:val="18"/>
                <w:szCs w:val="18"/>
                <w:lang w:eastAsia="zh-TW"/>
              </w:rPr>
            </w:pPr>
            <w:bookmarkStart w:id="100" w:name="_Hlk203943274"/>
            <w:r w:rsidRPr="00717BA5">
              <w:rPr>
                <w:rFonts w:ascii="Arial" w:eastAsia="Times New Roman" w:hAnsi="Arial" w:cs="Arial"/>
                <w:b/>
                <w:bCs/>
                <w:color w:val="auto"/>
                <w:sz w:val="18"/>
                <w:szCs w:val="18"/>
                <w:lang w:eastAsia="zh-TW"/>
              </w:rPr>
              <w:t>Ageing of Receivables</w:t>
            </w:r>
          </w:p>
        </w:tc>
        <w:tc>
          <w:tcPr>
            <w:tcW w:w="6094" w:type="dxa"/>
            <w:gridSpan w:val="6"/>
            <w:tcBorders>
              <w:top w:val="single" w:sz="4" w:space="0" w:color="auto"/>
              <w:left w:val="nil"/>
              <w:bottom w:val="single" w:sz="4" w:space="0" w:color="auto"/>
              <w:right w:val="single" w:sz="4" w:space="0" w:color="auto"/>
            </w:tcBorders>
            <w:noWrap/>
            <w:vAlign w:val="bottom"/>
            <w:hideMark/>
          </w:tcPr>
          <w:p w14:paraId="17063076" w14:textId="77777777" w:rsidR="00717BA5" w:rsidRPr="00717BA5" w:rsidRDefault="00717BA5" w:rsidP="00717BA5">
            <w:pPr>
              <w:spacing w:after="0" w:line="240" w:lineRule="auto"/>
              <w:jc w:val="center"/>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Days Past Due</w:t>
            </w:r>
          </w:p>
        </w:tc>
      </w:tr>
      <w:tr w:rsidR="00717BA5" w:rsidRPr="00717BA5" w14:paraId="049AADB8"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7042A5E0"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w:t>
            </w:r>
          </w:p>
        </w:tc>
        <w:tc>
          <w:tcPr>
            <w:tcW w:w="993" w:type="dxa"/>
            <w:tcBorders>
              <w:top w:val="nil"/>
              <w:left w:val="nil"/>
              <w:bottom w:val="single" w:sz="4" w:space="0" w:color="auto"/>
              <w:right w:val="single" w:sz="4" w:space="0" w:color="auto"/>
            </w:tcBorders>
            <w:noWrap/>
            <w:vAlign w:val="bottom"/>
            <w:hideMark/>
          </w:tcPr>
          <w:p w14:paraId="47E2740B"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Tota</w:t>
            </w:r>
            <w:bookmarkEnd w:id="100"/>
            <w:r w:rsidRPr="00717BA5">
              <w:rPr>
                <w:rFonts w:ascii="Arial" w:eastAsia="Times New Roman" w:hAnsi="Arial" w:cs="Arial"/>
                <w:b/>
                <w:bCs/>
                <w:color w:val="auto"/>
                <w:sz w:val="18"/>
                <w:szCs w:val="18"/>
                <w:lang w:eastAsia="zh-TW"/>
              </w:rPr>
              <w:t>l</w:t>
            </w:r>
          </w:p>
        </w:tc>
        <w:tc>
          <w:tcPr>
            <w:tcW w:w="992" w:type="dxa"/>
            <w:tcBorders>
              <w:top w:val="nil"/>
              <w:left w:val="nil"/>
              <w:bottom w:val="single" w:sz="4" w:space="0" w:color="auto"/>
              <w:right w:val="single" w:sz="4" w:space="0" w:color="auto"/>
            </w:tcBorders>
            <w:noWrap/>
            <w:vAlign w:val="bottom"/>
            <w:hideMark/>
          </w:tcPr>
          <w:p w14:paraId="558A929A"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Not Overdue</w:t>
            </w:r>
          </w:p>
        </w:tc>
        <w:tc>
          <w:tcPr>
            <w:tcW w:w="992" w:type="dxa"/>
            <w:tcBorders>
              <w:top w:val="nil"/>
              <w:left w:val="nil"/>
              <w:bottom w:val="single" w:sz="4" w:space="0" w:color="auto"/>
              <w:right w:val="single" w:sz="4" w:space="0" w:color="auto"/>
            </w:tcBorders>
            <w:noWrap/>
            <w:vAlign w:val="bottom"/>
            <w:hideMark/>
          </w:tcPr>
          <w:p w14:paraId="4026F829"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1-30 days</w:t>
            </w:r>
          </w:p>
        </w:tc>
        <w:tc>
          <w:tcPr>
            <w:tcW w:w="992" w:type="dxa"/>
            <w:tcBorders>
              <w:top w:val="nil"/>
              <w:left w:val="nil"/>
              <w:bottom w:val="single" w:sz="4" w:space="0" w:color="auto"/>
              <w:right w:val="single" w:sz="4" w:space="0" w:color="auto"/>
            </w:tcBorders>
            <w:noWrap/>
            <w:vAlign w:val="bottom"/>
            <w:hideMark/>
          </w:tcPr>
          <w:p w14:paraId="320B0B0C"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31-60 Days</w:t>
            </w:r>
          </w:p>
        </w:tc>
        <w:tc>
          <w:tcPr>
            <w:tcW w:w="1069" w:type="dxa"/>
            <w:tcBorders>
              <w:top w:val="nil"/>
              <w:left w:val="nil"/>
              <w:bottom w:val="single" w:sz="4" w:space="0" w:color="auto"/>
              <w:right w:val="single" w:sz="4" w:space="0" w:color="auto"/>
            </w:tcBorders>
            <w:noWrap/>
            <w:vAlign w:val="bottom"/>
            <w:hideMark/>
          </w:tcPr>
          <w:p w14:paraId="6CB39024"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61-90 Days</w:t>
            </w:r>
          </w:p>
        </w:tc>
        <w:tc>
          <w:tcPr>
            <w:tcW w:w="1056" w:type="dxa"/>
            <w:tcBorders>
              <w:top w:val="nil"/>
              <w:left w:val="nil"/>
              <w:bottom w:val="single" w:sz="4" w:space="0" w:color="auto"/>
              <w:right w:val="single" w:sz="4" w:space="0" w:color="auto"/>
            </w:tcBorders>
            <w:noWrap/>
            <w:vAlign w:val="bottom"/>
            <w:hideMark/>
          </w:tcPr>
          <w:p w14:paraId="3FADAB8A"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&gt;91days</w:t>
            </w:r>
          </w:p>
        </w:tc>
      </w:tr>
      <w:tr w:rsidR="00717BA5" w:rsidRPr="00717BA5" w14:paraId="1469A8D4"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3D07247D"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w:t>
            </w:r>
          </w:p>
        </w:tc>
        <w:tc>
          <w:tcPr>
            <w:tcW w:w="993" w:type="dxa"/>
            <w:tcBorders>
              <w:top w:val="nil"/>
              <w:left w:val="nil"/>
              <w:bottom w:val="single" w:sz="4" w:space="0" w:color="auto"/>
              <w:right w:val="single" w:sz="4" w:space="0" w:color="auto"/>
            </w:tcBorders>
            <w:noWrap/>
            <w:vAlign w:val="bottom"/>
            <w:hideMark/>
          </w:tcPr>
          <w:p w14:paraId="560FB589"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c>
          <w:tcPr>
            <w:tcW w:w="992" w:type="dxa"/>
            <w:tcBorders>
              <w:top w:val="nil"/>
              <w:left w:val="nil"/>
              <w:bottom w:val="single" w:sz="4" w:space="0" w:color="auto"/>
              <w:right w:val="single" w:sz="4" w:space="0" w:color="auto"/>
            </w:tcBorders>
            <w:noWrap/>
            <w:vAlign w:val="bottom"/>
            <w:hideMark/>
          </w:tcPr>
          <w:p w14:paraId="33B438B7"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c>
          <w:tcPr>
            <w:tcW w:w="992" w:type="dxa"/>
            <w:tcBorders>
              <w:top w:val="nil"/>
              <w:left w:val="nil"/>
              <w:bottom w:val="single" w:sz="4" w:space="0" w:color="auto"/>
              <w:right w:val="single" w:sz="4" w:space="0" w:color="auto"/>
            </w:tcBorders>
            <w:noWrap/>
            <w:vAlign w:val="bottom"/>
            <w:hideMark/>
          </w:tcPr>
          <w:p w14:paraId="23F08632"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c>
          <w:tcPr>
            <w:tcW w:w="992" w:type="dxa"/>
            <w:tcBorders>
              <w:top w:val="nil"/>
              <w:left w:val="nil"/>
              <w:bottom w:val="single" w:sz="4" w:space="0" w:color="auto"/>
              <w:right w:val="single" w:sz="4" w:space="0" w:color="auto"/>
            </w:tcBorders>
            <w:noWrap/>
            <w:vAlign w:val="bottom"/>
            <w:hideMark/>
          </w:tcPr>
          <w:p w14:paraId="5D58EB1A"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c>
          <w:tcPr>
            <w:tcW w:w="1069" w:type="dxa"/>
            <w:tcBorders>
              <w:top w:val="nil"/>
              <w:left w:val="nil"/>
              <w:bottom w:val="single" w:sz="4" w:space="0" w:color="auto"/>
              <w:right w:val="single" w:sz="4" w:space="0" w:color="auto"/>
            </w:tcBorders>
            <w:noWrap/>
            <w:vAlign w:val="bottom"/>
            <w:hideMark/>
          </w:tcPr>
          <w:p w14:paraId="37403477"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c>
          <w:tcPr>
            <w:tcW w:w="1056" w:type="dxa"/>
            <w:tcBorders>
              <w:top w:val="nil"/>
              <w:left w:val="nil"/>
              <w:bottom w:val="single" w:sz="4" w:space="0" w:color="auto"/>
              <w:right w:val="single" w:sz="4" w:space="0" w:color="auto"/>
            </w:tcBorders>
            <w:noWrap/>
            <w:vAlign w:val="bottom"/>
            <w:hideMark/>
          </w:tcPr>
          <w:p w14:paraId="352981E9"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r>
      <w:tr w:rsidR="00717BA5" w:rsidRPr="00717BA5" w14:paraId="70F3EA89"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347E970C" w14:textId="77777777" w:rsidR="00717BA5" w:rsidRPr="00717BA5" w:rsidRDefault="00717BA5" w:rsidP="00717BA5">
            <w:pPr>
              <w:spacing w:after="0" w:line="240" w:lineRule="auto"/>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30 June 2026</w:t>
            </w:r>
          </w:p>
        </w:tc>
        <w:tc>
          <w:tcPr>
            <w:tcW w:w="993" w:type="dxa"/>
            <w:tcBorders>
              <w:top w:val="nil"/>
              <w:left w:val="nil"/>
              <w:bottom w:val="single" w:sz="4" w:space="0" w:color="auto"/>
              <w:right w:val="single" w:sz="4" w:space="0" w:color="auto"/>
            </w:tcBorders>
            <w:noWrap/>
            <w:vAlign w:val="bottom"/>
          </w:tcPr>
          <w:p w14:paraId="77756C84"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19,075</w:t>
            </w:r>
          </w:p>
        </w:tc>
        <w:tc>
          <w:tcPr>
            <w:tcW w:w="992" w:type="dxa"/>
            <w:tcBorders>
              <w:top w:val="nil"/>
              <w:left w:val="nil"/>
              <w:bottom w:val="single" w:sz="4" w:space="0" w:color="auto"/>
              <w:right w:val="single" w:sz="4" w:space="0" w:color="auto"/>
            </w:tcBorders>
            <w:noWrap/>
            <w:vAlign w:val="bottom"/>
          </w:tcPr>
          <w:p w14:paraId="6ED0F6E4"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17,941</w:t>
            </w:r>
          </w:p>
        </w:tc>
        <w:tc>
          <w:tcPr>
            <w:tcW w:w="992" w:type="dxa"/>
            <w:tcBorders>
              <w:top w:val="nil"/>
              <w:left w:val="nil"/>
              <w:bottom w:val="single" w:sz="4" w:space="0" w:color="auto"/>
              <w:right w:val="single" w:sz="4" w:space="0" w:color="auto"/>
            </w:tcBorders>
            <w:noWrap/>
            <w:vAlign w:val="bottom"/>
          </w:tcPr>
          <w:p w14:paraId="619C7B3E"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74</w:t>
            </w:r>
          </w:p>
        </w:tc>
        <w:tc>
          <w:tcPr>
            <w:tcW w:w="992" w:type="dxa"/>
            <w:tcBorders>
              <w:top w:val="nil"/>
              <w:left w:val="nil"/>
              <w:bottom w:val="single" w:sz="4" w:space="0" w:color="auto"/>
              <w:right w:val="single" w:sz="4" w:space="0" w:color="auto"/>
            </w:tcBorders>
            <w:noWrap/>
            <w:vAlign w:val="bottom"/>
          </w:tcPr>
          <w:p w14:paraId="4B30E173"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80</w:t>
            </w:r>
          </w:p>
        </w:tc>
        <w:tc>
          <w:tcPr>
            <w:tcW w:w="1069" w:type="dxa"/>
            <w:tcBorders>
              <w:top w:val="nil"/>
              <w:left w:val="nil"/>
              <w:bottom w:val="single" w:sz="4" w:space="0" w:color="auto"/>
              <w:right w:val="single" w:sz="4" w:space="0" w:color="auto"/>
            </w:tcBorders>
            <w:noWrap/>
            <w:vAlign w:val="bottom"/>
          </w:tcPr>
          <w:p w14:paraId="2D45D025"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178</w:t>
            </w:r>
          </w:p>
        </w:tc>
        <w:tc>
          <w:tcPr>
            <w:tcW w:w="1056" w:type="dxa"/>
            <w:tcBorders>
              <w:top w:val="nil"/>
              <w:left w:val="nil"/>
              <w:bottom w:val="single" w:sz="4" w:space="0" w:color="auto"/>
              <w:right w:val="single" w:sz="4" w:space="0" w:color="auto"/>
            </w:tcBorders>
            <w:noWrap/>
            <w:vAlign w:val="bottom"/>
          </w:tcPr>
          <w:p w14:paraId="6A4EED5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803</w:t>
            </w:r>
          </w:p>
        </w:tc>
      </w:tr>
      <w:tr w:rsidR="00717BA5" w:rsidRPr="00717BA5" w14:paraId="25C53ECC"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587971FE" w14:textId="77777777" w:rsidR="00717BA5" w:rsidRPr="00717BA5" w:rsidRDefault="00717BA5" w:rsidP="00717BA5">
            <w:pPr>
              <w:spacing w:after="0" w:line="240" w:lineRule="auto"/>
              <w:rPr>
                <w:rFonts w:ascii="Arial" w:eastAsia="Times New Roman" w:hAnsi="Arial" w:cs="Arial"/>
                <w:b/>
                <w:i/>
                <w:color w:val="auto"/>
                <w:sz w:val="18"/>
                <w:szCs w:val="18"/>
                <w:lang w:eastAsia="zh-TW"/>
              </w:rPr>
            </w:pPr>
            <w:r w:rsidRPr="00717BA5">
              <w:rPr>
                <w:rFonts w:ascii="Arial" w:eastAsia="Times New Roman" w:hAnsi="Arial" w:cs="Arial"/>
                <w:b/>
                <w:i/>
                <w:color w:val="auto"/>
                <w:sz w:val="18"/>
                <w:szCs w:val="18"/>
                <w:lang w:eastAsia="zh-TW"/>
              </w:rPr>
              <w:t>Construction</w:t>
            </w:r>
          </w:p>
        </w:tc>
        <w:tc>
          <w:tcPr>
            <w:tcW w:w="993" w:type="dxa"/>
            <w:tcBorders>
              <w:top w:val="nil"/>
              <w:left w:val="nil"/>
              <w:bottom w:val="single" w:sz="4" w:space="0" w:color="auto"/>
              <w:right w:val="single" w:sz="4" w:space="0" w:color="auto"/>
            </w:tcBorders>
            <w:noWrap/>
            <w:vAlign w:val="bottom"/>
          </w:tcPr>
          <w:p w14:paraId="46171097"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9,753</w:t>
            </w:r>
          </w:p>
        </w:tc>
        <w:tc>
          <w:tcPr>
            <w:tcW w:w="992" w:type="dxa"/>
            <w:tcBorders>
              <w:top w:val="nil"/>
              <w:left w:val="nil"/>
              <w:bottom w:val="single" w:sz="4" w:space="0" w:color="auto"/>
              <w:right w:val="single" w:sz="4" w:space="0" w:color="auto"/>
            </w:tcBorders>
            <w:noWrap/>
            <w:vAlign w:val="bottom"/>
          </w:tcPr>
          <w:p w14:paraId="7DE4393C"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8,555</w:t>
            </w:r>
          </w:p>
        </w:tc>
        <w:tc>
          <w:tcPr>
            <w:tcW w:w="992" w:type="dxa"/>
            <w:tcBorders>
              <w:top w:val="nil"/>
              <w:left w:val="nil"/>
              <w:bottom w:val="single" w:sz="4" w:space="0" w:color="auto"/>
              <w:right w:val="single" w:sz="4" w:space="0" w:color="auto"/>
            </w:tcBorders>
            <w:noWrap/>
            <w:vAlign w:val="bottom"/>
          </w:tcPr>
          <w:p w14:paraId="37749E78"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32</w:t>
            </w:r>
          </w:p>
        </w:tc>
        <w:tc>
          <w:tcPr>
            <w:tcW w:w="992" w:type="dxa"/>
            <w:tcBorders>
              <w:top w:val="nil"/>
              <w:left w:val="nil"/>
              <w:bottom w:val="single" w:sz="4" w:space="0" w:color="auto"/>
              <w:right w:val="single" w:sz="4" w:space="0" w:color="auto"/>
            </w:tcBorders>
            <w:noWrap/>
            <w:vAlign w:val="bottom"/>
          </w:tcPr>
          <w:p w14:paraId="0FF03C2F"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95</w:t>
            </w:r>
          </w:p>
        </w:tc>
        <w:tc>
          <w:tcPr>
            <w:tcW w:w="1069" w:type="dxa"/>
            <w:tcBorders>
              <w:top w:val="nil"/>
              <w:left w:val="nil"/>
              <w:bottom w:val="single" w:sz="4" w:space="0" w:color="auto"/>
              <w:right w:val="single" w:sz="4" w:space="0" w:color="auto"/>
            </w:tcBorders>
            <w:noWrap/>
            <w:vAlign w:val="bottom"/>
          </w:tcPr>
          <w:p w14:paraId="0E41A1B5"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142</w:t>
            </w:r>
          </w:p>
        </w:tc>
        <w:tc>
          <w:tcPr>
            <w:tcW w:w="1056" w:type="dxa"/>
            <w:tcBorders>
              <w:top w:val="nil"/>
              <w:left w:val="nil"/>
              <w:bottom w:val="single" w:sz="4" w:space="0" w:color="auto"/>
              <w:right w:val="single" w:sz="4" w:space="0" w:color="auto"/>
            </w:tcBorders>
            <w:noWrap/>
            <w:vAlign w:val="bottom"/>
          </w:tcPr>
          <w:p w14:paraId="06E54CF0"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929</w:t>
            </w:r>
          </w:p>
        </w:tc>
      </w:tr>
      <w:tr w:rsidR="00717BA5" w:rsidRPr="00717BA5" w14:paraId="525C3BEF"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1B06E703"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Inactive accounts</w:t>
            </w:r>
          </w:p>
        </w:tc>
        <w:tc>
          <w:tcPr>
            <w:tcW w:w="993" w:type="dxa"/>
            <w:tcBorders>
              <w:top w:val="nil"/>
              <w:left w:val="nil"/>
              <w:bottom w:val="single" w:sz="4" w:space="0" w:color="auto"/>
              <w:right w:val="single" w:sz="4" w:space="0" w:color="auto"/>
            </w:tcBorders>
            <w:noWrap/>
            <w:vAlign w:val="bottom"/>
          </w:tcPr>
          <w:p w14:paraId="72D91BD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 </w:t>
            </w:r>
          </w:p>
        </w:tc>
        <w:tc>
          <w:tcPr>
            <w:tcW w:w="992" w:type="dxa"/>
            <w:tcBorders>
              <w:top w:val="nil"/>
              <w:left w:val="nil"/>
              <w:bottom w:val="single" w:sz="4" w:space="0" w:color="auto"/>
              <w:right w:val="single" w:sz="4" w:space="0" w:color="auto"/>
            </w:tcBorders>
            <w:noWrap/>
            <w:vAlign w:val="bottom"/>
          </w:tcPr>
          <w:p w14:paraId="0E0D87A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single" w:sz="4" w:space="0" w:color="auto"/>
              <w:left w:val="nil"/>
              <w:bottom w:val="single" w:sz="4" w:space="0" w:color="auto"/>
              <w:right w:val="single" w:sz="4" w:space="0" w:color="auto"/>
            </w:tcBorders>
            <w:noWrap/>
            <w:vAlign w:val="bottom"/>
          </w:tcPr>
          <w:p w14:paraId="38190FD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3480A71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c>
          <w:tcPr>
            <w:tcW w:w="1069" w:type="dxa"/>
            <w:tcBorders>
              <w:top w:val="single" w:sz="4" w:space="0" w:color="auto"/>
              <w:left w:val="single" w:sz="4" w:space="0" w:color="auto"/>
              <w:bottom w:val="single" w:sz="4" w:space="0" w:color="auto"/>
              <w:right w:val="single" w:sz="4" w:space="0" w:color="auto"/>
            </w:tcBorders>
            <w:noWrap/>
            <w:vAlign w:val="bottom"/>
          </w:tcPr>
          <w:p w14:paraId="4696A88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c>
          <w:tcPr>
            <w:tcW w:w="1056" w:type="dxa"/>
            <w:tcBorders>
              <w:top w:val="single" w:sz="4" w:space="0" w:color="auto"/>
              <w:left w:val="single" w:sz="4" w:space="0" w:color="auto"/>
              <w:bottom w:val="single" w:sz="4" w:space="0" w:color="auto"/>
              <w:right w:val="single" w:sz="4" w:space="0" w:color="auto"/>
            </w:tcBorders>
            <w:noWrap/>
            <w:vAlign w:val="bottom"/>
          </w:tcPr>
          <w:p w14:paraId="1CCBD2A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r>
      <w:tr w:rsidR="00717BA5" w:rsidRPr="00717BA5" w14:paraId="584AF3C4"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37742AAC"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Inactive accounts</w:t>
            </w:r>
          </w:p>
        </w:tc>
        <w:tc>
          <w:tcPr>
            <w:tcW w:w="993" w:type="dxa"/>
            <w:tcBorders>
              <w:top w:val="nil"/>
              <w:left w:val="nil"/>
              <w:bottom w:val="single" w:sz="4" w:space="0" w:color="auto"/>
              <w:right w:val="single" w:sz="4" w:space="0" w:color="auto"/>
            </w:tcBorders>
            <w:noWrap/>
            <w:vAlign w:val="bottom"/>
          </w:tcPr>
          <w:p w14:paraId="7E95E31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245</w:t>
            </w:r>
          </w:p>
        </w:tc>
        <w:tc>
          <w:tcPr>
            <w:tcW w:w="992" w:type="dxa"/>
            <w:tcBorders>
              <w:top w:val="nil"/>
              <w:left w:val="nil"/>
              <w:bottom w:val="single" w:sz="4" w:space="0" w:color="auto"/>
              <w:right w:val="single" w:sz="4" w:space="0" w:color="auto"/>
            </w:tcBorders>
            <w:noWrap/>
            <w:vAlign w:val="bottom"/>
          </w:tcPr>
          <w:p w14:paraId="57351A8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3</w:t>
            </w:r>
          </w:p>
        </w:tc>
        <w:tc>
          <w:tcPr>
            <w:tcW w:w="992" w:type="dxa"/>
            <w:tcBorders>
              <w:top w:val="single" w:sz="4" w:space="0" w:color="auto"/>
              <w:left w:val="nil"/>
              <w:bottom w:val="single" w:sz="4" w:space="0" w:color="auto"/>
              <w:right w:val="single" w:sz="4" w:space="0" w:color="auto"/>
            </w:tcBorders>
            <w:noWrap/>
            <w:vAlign w:val="bottom"/>
          </w:tcPr>
          <w:p w14:paraId="2B47A9F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w:t>
            </w:r>
          </w:p>
        </w:tc>
        <w:tc>
          <w:tcPr>
            <w:tcW w:w="992" w:type="dxa"/>
            <w:tcBorders>
              <w:top w:val="single" w:sz="4" w:space="0" w:color="auto"/>
              <w:left w:val="nil"/>
              <w:bottom w:val="single" w:sz="4" w:space="0" w:color="auto"/>
              <w:right w:val="single" w:sz="4" w:space="0" w:color="auto"/>
            </w:tcBorders>
            <w:noWrap/>
            <w:vAlign w:val="bottom"/>
          </w:tcPr>
          <w:p w14:paraId="774FA13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5</w:t>
            </w:r>
          </w:p>
        </w:tc>
        <w:tc>
          <w:tcPr>
            <w:tcW w:w="1069" w:type="dxa"/>
            <w:tcBorders>
              <w:top w:val="single" w:sz="4" w:space="0" w:color="auto"/>
              <w:left w:val="nil"/>
              <w:bottom w:val="single" w:sz="4" w:space="0" w:color="auto"/>
              <w:right w:val="single" w:sz="4" w:space="0" w:color="auto"/>
            </w:tcBorders>
            <w:noWrap/>
            <w:vAlign w:val="bottom"/>
          </w:tcPr>
          <w:p w14:paraId="44E9E32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3</w:t>
            </w:r>
          </w:p>
        </w:tc>
        <w:tc>
          <w:tcPr>
            <w:tcW w:w="1056" w:type="dxa"/>
            <w:tcBorders>
              <w:top w:val="single" w:sz="4" w:space="0" w:color="auto"/>
              <w:left w:val="nil"/>
              <w:bottom w:val="single" w:sz="4" w:space="0" w:color="auto"/>
              <w:right w:val="single" w:sz="4" w:space="0" w:color="auto"/>
            </w:tcBorders>
            <w:noWrap/>
            <w:vAlign w:val="bottom"/>
          </w:tcPr>
          <w:p w14:paraId="5BBC0CF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232</w:t>
            </w:r>
          </w:p>
        </w:tc>
      </w:tr>
      <w:tr w:rsidR="00717BA5" w:rsidRPr="00717BA5" w14:paraId="44D0D0D9"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4E768656"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Other status / voluntary members</w:t>
            </w:r>
          </w:p>
        </w:tc>
        <w:tc>
          <w:tcPr>
            <w:tcW w:w="993" w:type="dxa"/>
            <w:tcBorders>
              <w:top w:val="nil"/>
              <w:left w:val="nil"/>
              <w:bottom w:val="single" w:sz="4" w:space="0" w:color="auto"/>
              <w:right w:val="single" w:sz="4" w:space="0" w:color="auto"/>
            </w:tcBorders>
            <w:noWrap/>
            <w:vAlign w:val="bottom"/>
          </w:tcPr>
          <w:p w14:paraId="340C6CC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 </w:t>
            </w:r>
          </w:p>
        </w:tc>
        <w:tc>
          <w:tcPr>
            <w:tcW w:w="992" w:type="dxa"/>
            <w:tcBorders>
              <w:top w:val="nil"/>
              <w:left w:val="nil"/>
              <w:bottom w:val="single" w:sz="4" w:space="0" w:color="auto"/>
              <w:right w:val="single" w:sz="4" w:space="0" w:color="auto"/>
            </w:tcBorders>
            <w:noWrap/>
            <w:vAlign w:val="bottom"/>
          </w:tcPr>
          <w:p w14:paraId="5BB6F35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single" w:sz="4" w:space="0" w:color="auto"/>
              <w:left w:val="nil"/>
              <w:bottom w:val="single" w:sz="4" w:space="0" w:color="auto"/>
              <w:right w:val="single" w:sz="4" w:space="0" w:color="auto"/>
            </w:tcBorders>
            <w:noWrap/>
            <w:vAlign w:val="bottom"/>
          </w:tcPr>
          <w:p w14:paraId="14A1A4D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single" w:sz="4" w:space="0" w:color="auto"/>
              <w:left w:val="nil"/>
              <w:bottom w:val="single" w:sz="4" w:space="0" w:color="auto"/>
              <w:right w:val="single" w:sz="4" w:space="0" w:color="auto"/>
            </w:tcBorders>
            <w:noWrap/>
            <w:vAlign w:val="bottom"/>
          </w:tcPr>
          <w:p w14:paraId="183DEFA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1069" w:type="dxa"/>
            <w:tcBorders>
              <w:top w:val="single" w:sz="4" w:space="0" w:color="auto"/>
              <w:left w:val="nil"/>
              <w:bottom w:val="single" w:sz="4" w:space="0" w:color="auto"/>
              <w:right w:val="single" w:sz="4" w:space="0" w:color="auto"/>
            </w:tcBorders>
            <w:noWrap/>
            <w:vAlign w:val="bottom"/>
          </w:tcPr>
          <w:p w14:paraId="1B20875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1056" w:type="dxa"/>
            <w:tcBorders>
              <w:top w:val="single" w:sz="4" w:space="0" w:color="auto"/>
              <w:left w:val="nil"/>
              <w:bottom w:val="single" w:sz="4" w:space="0" w:color="auto"/>
              <w:right w:val="single" w:sz="4" w:space="0" w:color="auto"/>
            </w:tcBorders>
            <w:noWrap/>
            <w:vAlign w:val="bottom"/>
          </w:tcPr>
          <w:p w14:paraId="49F4864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r>
      <w:tr w:rsidR="00717BA5" w:rsidRPr="00717BA5" w14:paraId="7B403597"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19E8FA5D"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Other status / voluntary members</w:t>
            </w:r>
          </w:p>
        </w:tc>
        <w:tc>
          <w:tcPr>
            <w:tcW w:w="993" w:type="dxa"/>
            <w:tcBorders>
              <w:top w:val="nil"/>
              <w:left w:val="nil"/>
              <w:bottom w:val="single" w:sz="4" w:space="0" w:color="auto"/>
              <w:right w:val="single" w:sz="4" w:space="0" w:color="auto"/>
            </w:tcBorders>
            <w:noWrap/>
            <w:vAlign w:val="bottom"/>
          </w:tcPr>
          <w:p w14:paraId="19D979F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w:t>
            </w:r>
          </w:p>
        </w:tc>
        <w:tc>
          <w:tcPr>
            <w:tcW w:w="992" w:type="dxa"/>
            <w:tcBorders>
              <w:top w:val="nil"/>
              <w:left w:val="nil"/>
              <w:bottom w:val="single" w:sz="4" w:space="0" w:color="auto"/>
              <w:right w:val="single" w:sz="4" w:space="0" w:color="auto"/>
            </w:tcBorders>
            <w:noWrap/>
            <w:vAlign w:val="bottom"/>
          </w:tcPr>
          <w:p w14:paraId="472974D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4</w:t>
            </w:r>
          </w:p>
        </w:tc>
        <w:tc>
          <w:tcPr>
            <w:tcW w:w="992" w:type="dxa"/>
            <w:tcBorders>
              <w:top w:val="single" w:sz="4" w:space="0" w:color="auto"/>
              <w:left w:val="nil"/>
              <w:bottom w:val="single" w:sz="4" w:space="0" w:color="auto"/>
              <w:right w:val="single" w:sz="4" w:space="0" w:color="auto"/>
            </w:tcBorders>
            <w:noWrap/>
            <w:vAlign w:val="bottom"/>
          </w:tcPr>
          <w:p w14:paraId="1C75249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992" w:type="dxa"/>
            <w:tcBorders>
              <w:top w:val="single" w:sz="4" w:space="0" w:color="auto"/>
              <w:left w:val="nil"/>
              <w:bottom w:val="single" w:sz="4" w:space="0" w:color="auto"/>
              <w:right w:val="single" w:sz="4" w:space="0" w:color="auto"/>
            </w:tcBorders>
            <w:noWrap/>
            <w:vAlign w:val="bottom"/>
          </w:tcPr>
          <w:p w14:paraId="55099AA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1069" w:type="dxa"/>
            <w:tcBorders>
              <w:top w:val="single" w:sz="4" w:space="0" w:color="auto"/>
              <w:left w:val="nil"/>
              <w:bottom w:val="single" w:sz="4" w:space="0" w:color="auto"/>
              <w:right w:val="single" w:sz="4" w:space="0" w:color="auto"/>
            </w:tcBorders>
            <w:noWrap/>
            <w:vAlign w:val="bottom"/>
          </w:tcPr>
          <w:p w14:paraId="6C7FFFA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w:t>
            </w:r>
          </w:p>
        </w:tc>
        <w:tc>
          <w:tcPr>
            <w:tcW w:w="1056" w:type="dxa"/>
            <w:tcBorders>
              <w:top w:val="single" w:sz="4" w:space="0" w:color="auto"/>
              <w:left w:val="nil"/>
              <w:bottom w:val="single" w:sz="4" w:space="0" w:color="auto"/>
              <w:right w:val="single" w:sz="4" w:space="0" w:color="auto"/>
            </w:tcBorders>
            <w:noWrap/>
            <w:vAlign w:val="bottom"/>
          </w:tcPr>
          <w:p w14:paraId="057F2F2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3</w:t>
            </w:r>
          </w:p>
        </w:tc>
      </w:tr>
      <w:tr w:rsidR="00717BA5" w:rsidRPr="00717BA5" w14:paraId="3A65F060"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6954E6ED"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Active accounts</w:t>
            </w:r>
          </w:p>
        </w:tc>
        <w:tc>
          <w:tcPr>
            <w:tcW w:w="993" w:type="dxa"/>
            <w:tcBorders>
              <w:top w:val="nil"/>
              <w:left w:val="nil"/>
              <w:bottom w:val="single" w:sz="4" w:space="0" w:color="auto"/>
              <w:right w:val="single" w:sz="4" w:space="0" w:color="auto"/>
            </w:tcBorders>
            <w:noWrap/>
            <w:vAlign w:val="bottom"/>
          </w:tcPr>
          <w:p w14:paraId="792C02B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 </w:t>
            </w:r>
          </w:p>
        </w:tc>
        <w:tc>
          <w:tcPr>
            <w:tcW w:w="992" w:type="dxa"/>
            <w:tcBorders>
              <w:top w:val="nil"/>
              <w:left w:val="nil"/>
              <w:bottom w:val="single" w:sz="4" w:space="0" w:color="auto"/>
              <w:right w:val="single" w:sz="4" w:space="0" w:color="auto"/>
            </w:tcBorders>
            <w:noWrap/>
            <w:vAlign w:val="bottom"/>
          </w:tcPr>
          <w:p w14:paraId="2871008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nil"/>
              <w:left w:val="nil"/>
              <w:bottom w:val="single" w:sz="4" w:space="0" w:color="auto"/>
              <w:right w:val="single" w:sz="4" w:space="0" w:color="auto"/>
            </w:tcBorders>
            <w:noWrap/>
            <w:vAlign w:val="bottom"/>
          </w:tcPr>
          <w:p w14:paraId="122EBB3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w:t>
            </w:r>
          </w:p>
        </w:tc>
        <w:tc>
          <w:tcPr>
            <w:tcW w:w="992" w:type="dxa"/>
            <w:tcBorders>
              <w:top w:val="nil"/>
              <w:left w:val="nil"/>
              <w:bottom w:val="single" w:sz="4" w:space="0" w:color="auto"/>
              <w:right w:val="single" w:sz="4" w:space="0" w:color="auto"/>
            </w:tcBorders>
            <w:noWrap/>
            <w:vAlign w:val="bottom"/>
          </w:tcPr>
          <w:p w14:paraId="25D154A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19%</w:t>
            </w:r>
          </w:p>
        </w:tc>
        <w:tc>
          <w:tcPr>
            <w:tcW w:w="1069" w:type="dxa"/>
            <w:tcBorders>
              <w:top w:val="nil"/>
              <w:left w:val="nil"/>
              <w:bottom w:val="single" w:sz="4" w:space="0" w:color="auto"/>
              <w:right w:val="single" w:sz="4" w:space="0" w:color="auto"/>
            </w:tcBorders>
            <w:noWrap/>
            <w:vAlign w:val="bottom"/>
          </w:tcPr>
          <w:p w14:paraId="6AAA119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13%</w:t>
            </w:r>
          </w:p>
        </w:tc>
        <w:tc>
          <w:tcPr>
            <w:tcW w:w="1056" w:type="dxa"/>
            <w:tcBorders>
              <w:top w:val="nil"/>
              <w:left w:val="nil"/>
              <w:bottom w:val="single" w:sz="4" w:space="0" w:color="auto"/>
              <w:right w:val="single" w:sz="4" w:space="0" w:color="auto"/>
            </w:tcBorders>
            <w:noWrap/>
            <w:vAlign w:val="bottom"/>
          </w:tcPr>
          <w:p w14:paraId="1971B62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13%</w:t>
            </w:r>
          </w:p>
        </w:tc>
      </w:tr>
      <w:tr w:rsidR="00717BA5" w:rsidRPr="00717BA5" w14:paraId="03705154"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73C37687"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Active accounts</w:t>
            </w:r>
          </w:p>
        </w:tc>
        <w:tc>
          <w:tcPr>
            <w:tcW w:w="993" w:type="dxa"/>
            <w:tcBorders>
              <w:top w:val="nil"/>
              <w:left w:val="nil"/>
              <w:bottom w:val="single" w:sz="4" w:space="0" w:color="auto"/>
              <w:right w:val="single" w:sz="4" w:space="0" w:color="auto"/>
            </w:tcBorders>
            <w:noWrap/>
            <w:vAlign w:val="bottom"/>
          </w:tcPr>
          <w:p w14:paraId="2CA7093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9,498</w:t>
            </w:r>
          </w:p>
        </w:tc>
        <w:tc>
          <w:tcPr>
            <w:tcW w:w="992" w:type="dxa"/>
            <w:tcBorders>
              <w:top w:val="nil"/>
              <w:left w:val="nil"/>
              <w:bottom w:val="single" w:sz="4" w:space="0" w:color="auto"/>
              <w:right w:val="single" w:sz="4" w:space="0" w:color="auto"/>
            </w:tcBorders>
            <w:noWrap/>
            <w:vAlign w:val="bottom"/>
          </w:tcPr>
          <w:p w14:paraId="1F19335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8,548</w:t>
            </w:r>
          </w:p>
        </w:tc>
        <w:tc>
          <w:tcPr>
            <w:tcW w:w="992" w:type="dxa"/>
            <w:tcBorders>
              <w:top w:val="nil"/>
              <w:left w:val="nil"/>
              <w:bottom w:val="single" w:sz="4" w:space="0" w:color="auto"/>
              <w:right w:val="single" w:sz="4" w:space="0" w:color="auto"/>
            </w:tcBorders>
            <w:noWrap/>
            <w:vAlign w:val="bottom"/>
          </w:tcPr>
          <w:p w14:paraId="24D23D9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29</w:t>
            </w:r>
          </w:p>
        </w:tc>
        <w:tc>
          <w:tcPr>
            <w:tcW w:w="992" w:type="dxa"/>
            <w:tcBorders>
              <w:top w:val="nil"/>
              <w:left w:val="nil"/>
              <w:bottom w:val="single" w:sz="4" w:space="0" w:color="auto"/>
              <w:right w:val="single" w:sz="4" w:space="0" w:color="auto"/>
            </w:tcBorders>
            <w:noWrap/>
            <w:vAlign w:val="bottom"/>
          </w:tcPr>
          <w:p w14:paraId="3092505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90</w:t>
            </w:r>
          </w:p>
        </w:tc>
        <w:tc>
          <w:tcPr>
            <w:tcW w:w="1069" w:type="dxa"/>
            <w:tcBorders>
              <w:top w:val="nil"/>
              <w:left w:val="nil"/>
              <w:bottom w:val="single" w:sz="4" w:space="0" w:color="auto"/>
              <w:right w:val="single" w:sz="4" w:space="0" w:color="auto"/>
            </w:tcBorders>
            <w:noWrap/>
            <w:vAlign w:val="bottom"/>
          </w:tcPr>
          <w:p w14:paraId="78208B5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137</w:t>
            </w:r>
          </w:p>
        </w:tc>
        <w:tc>
          <w:tcPr>
            <w:tcW w:w="1056" w:type="dxa"/>
            <w:tcBorders>
              <w:top w:val="nil"/>
              <w:left w:val="nil"/>
              <w:bottom w:val="single" w:sz="4" w:space="0" w:color="auto"/>
              <w:right w:val="single" w:sz="4" w:space="0" w:color="auto"/>
            </w:tcBorders>
            <w:noWrap/>
            <w:vAlign w:val="bottom"/>
          </w:tcPr>
          <w:p w14:paraId="138F81B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695</w:t>
            </w:r>
          </w:p>
        </w:tc>
      </w:tr>
      <w:tr w:rsidR="00717BA5" w:rsidRPr="00717BA5" w14:paraId="59AF52DC"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06ECC30F"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allowance</w:t>
            </w:r>
          </w:p>
        </w:tc>
        <w:tc>
          <w:tcPr>
            <w:tcW w:w="993" w:type="dxa"/>
            <w:tcBorders>
              <w:top w:val="nil"/>
              <w:left w:val="nil"/>
              <w:bottom w:val="single" w:sz="4" w:space="0" w:color="auto"/>
              <w:right w:val="single" w:sz="4" w:space="0" w:color="auto"/>
            </w:tcBorders>
            <w:noWrap/>
            <w:vAlign w:val="bottom"/>
          </w:tcPr>
          <w:p w14:paraId="4403CB2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(368)</w:t>
            </w:r>
          </w:p>
        </w:tc>
        <w:tc>
          <w:tcPr>
            <w:tcW w:w="992" w:type="dxa"/>
            <w:tcBorders>
              <w:top w:val="nil"/>
              <w:left w:val="nil"/>
              <w:bottom w:val="single" w:sz="4" w:space="0" w:color="auto"/>
              <w:right w:val="single" w:sz="4" w:space="0" w:color="auto"/>
            </w:tcBorders>
            <w:noWrap/>
            <w:vAlign w:val="bottom"/>
          </w:tcPr>
          <w:p w14:paraId="609458B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nil"/>
              <w:left w:val="nil"/>
              <w:bottom w:val="single" w:sz="4" w:space="0" w:color="auto"/>
              <w:right w:val="single" w:sz="4" w:space="0" w:color="auto"/>
            </w:tcBorders>
            <w:noWrap/>
            <w:vAlign w:val="bottom"/>
          </w:tcPr>
          <w:p w14:paraId="361BAF3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(5)</w:t>
            </w:r>
          </w:p>
        </w:tc>
        <w:tc>
          <w:tcPr>
            <w:tcW w:w="992" w:type="dxa"/>
            <w:tcBorders>
              <w:top w:val="nil"/>
              <w:left w:val="nil"/>
              <w:bottom w:val="single" w:sz="4" w:space="0" w:color="auto"/>
              <w:right w:val="single" w:sz="4" w:space="0" w:color="auto"/>
            </w:tcBorders>
            <w:noWrap/>
            <w:vAlign w:val="bottom"/>
          </w:tcPr>
          <w:p w14:paraId="5F1D587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(22)</w:t>
            </w:r>
          </w:p>
        </w:tc>
        <w:tc>
          <w:tcPr>
            <w:tcW w:w="1069" w:type="dxa"/>
            <w:tcBorders>
              <w:top w:val="nil"/>
              <w:left w:val="nil"/>
              <w:bottom w:val="single" w:sz="4" w:space="0" w:color="auto"/>
              <w:right w:val="single" w:sz="4" w:space="0" w:color="auto"/>
            </w:tcBorders>
            <w:noWrap/>
            <w:vAlign w:val="bottom"/>
          </w:tcPr>
          <w:p w14:paraId="03D7FA1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(21)</w:t>
            </w:r>
          </w:p>
        </w:tc>
        <w:tc>
          <w:tcPr>
            <w:tcW w:w="1056" w:type="dxa"/>
            <w:tcBorders>
              <w:top w:val="nil"/>
              <w:left w:val="nil"/>
              <w:bottom w:val="single" w:sz="4" w:space="0" w:color="auto"/>
              <w:right w:val="single" w:sz="4" w:space="0" w:color="auto"/>
            </w:tcBorders>
            <w:noWrap/>
            <w:vAlign w:val="bottom"/>
          </w:tcPr>
          <w:p w14:paraId="0FA21FE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(320)</w:t>
            </w:r>
          </w:p>
        </w:tc>
      </w:tr>
      <w:tr w:rsidR="00717BA5" w:rsidRPr="00717BA5" w14:paraId="5E9A3905"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360AAF9E" w14:textId="77777777" w:rsidR="00717BA5" w:rsidRPr="00717BA5" w:rsidRDefault="00717BA5" w:rsidP="00717BA5">
            <w:pPr>
              <w:spacing w:after="0" w:line="240" w:lineRule="auto"/>
              <w:rPr>
                <w:rFonts w:ascii="Arial" w:eastAsia="Times New Roman" w:hAnsi="Arial" w:cs="Arial"/>
                <w:b/>
                <w:i/>
                <w:color w:val="auto"/>
                <w:sz w:val="18"/>
                <w:szCs w:val="18"/>
                <w:lang w:eastAsia="zh-TW"/>
              </w:rPr>
            </w:pPr>
            <w:r w:rsidRPr="00717BA5">
              <w:rPr>
                <w:rFonts w:ascii="Arial" w:eastAsia="Times New Roman" w:hAnsi="Arial" w:cs="Arial"/>
                <w:b/>
                <w:i/>
                <w:color w:val="auto"/>
                <w:sz w:val="18"/>
                <w:szCs w:val="18"/>
                <w:lang w:eastAsia="zh-TW"/>
              </w:rPr>
              <w:t xml:space="preserve">Services </w:t>
            </w:r>
          </w:p>
        </w:tc>
        <w:tc>
          <w:tcPr>
            <w:tcW w:w="993" w:type="dxa"/>
            <w:tcBorders>
              <w:top w:val="nil"/>
              <w:left w:val="nil"/>
              <w:bottom w:val="single" w:sz="4" w:space="0" w:color="auto"/>
              <w:right w:val="single" w:sz="4" w:space="0" w:color="auto"/>
            </w:tcBorders>
            <w:noWrap/>
            <w:vAlign w:val="bottom"/>
          </w:tcPr>
          <w:p w14:paraId="5300173D"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775</w:t>
            </w:r>
          </w:p>
        </w:tc>
        <w:tc>
          <w:tcPr>
            <w:tcW w:w="992" w:type="dxa"/>
            <w:tcBorders>
              <w:top w:val="nil"/>
              <w:left w:val="nil"/>
              <w:bottom w:val="single" w:sz="4" w:space="0" w:color="auto"/>
              <w:right w:val="single" w:sz="4" w:space="0" w:color="auto"/>
            </w:tcBorders>
            <w:noWrap/>
            <w:vAlign w:val="bottom"/>
          </w:tcPr>
          <w:p w14:paraId="45886D01"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758</w:t>
            </w:r>
          </w:p>
        </w:tc>
        <w:tc>
          <w:tcPr>
            <w:tcW w:w="992" w:type="dxa"/>
            <w:tcBorders>
              <w:top w:val="nil"/>
              <w:left w:val="nil"/>
              <w:bottom w:val="single" w:sz="4" w:space="0" w:color="auto"/>
              <w:right w:val="single" w:sz="4" w:space="0" w:color="auto"/>
            </w:tcBorders>
            <w:noWrap/>
            <w:vAlign w:val="bottom"/>
          </w:tcPr>
          <w:p w14:paraId="1DCAA425"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w:t>
            </w:r>
          </w:p>
        </w:tc>
        <w:tc>
          <w:tcPr>
            <w:tcW w:w="992" w:type="dxa"/>
            <w:tcBorders>
              <w:top w:val="nil"/>
              <w:left w:val="nil"/>
              <w:bottom w:val="single" w:sz="4" w:space="0" w:color="auto"/>
              <w:right w:val="single" w:sz="4" w:space="0" w:color="auto"/>
            </w:tcBorders>
            <w:noWrap/>
            <w:vAlign w:val="bottom"/>
          </w:tcPr>
          <w:p w14:paraId="0207DEAF"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1</w:t>
            </w:r>
          </w:p>
        </w:tc>
        <w:tc>
          <w:tcPr>
            <w:tcW w:w="1069" w:type="dxa"/>
            <w:tcBorders>
              <w:top w:val="nil"/>
              <w:left w:val="nil"/>
              <w:bottom w:val="single" w:sz="4" w:space="0" w:color="auto"/>
              <w:right w:val="single" w:sz="4" w:space="0" w:color="auto"/>
            </w:tcBorders>
            <w:noWrap/>
            <w:vAlign w:val="bottom"/>
          </w:tcPr>
          <w:p w14:paraId="02F69EBE"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3</w:t>
            </w:r>
          </w:p>
        </w:tc>
        <w:tc>
          <w:tcPr>
            <w:tcW w:w="1056" w:type="dxa"/>
            <w:tcBorders>
              <w:top w:val="nil"/>
              <w:left w:val="nil"/>
              <w:bottom w:val="single" w:sz="4" w:space="0" w:color="auto"/>
              <w:right w:val="single" w:sz="4" w:space="0" w:color="auto"/>
            </w:tcBorders>
            <w:noWrap/>
            <w:vAlign w:val="bottom"/>
          </w:tcPr>
          <w:p w14:paraId="4A349739"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14</w:t>
            </w:r>
          </w:p>
        </w:tc>
      </w:tr>
      <w:tr w:rsidR="00717BA5" w:rsidRPr="00717BA5" w14:paraId="4F2C0446"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5D8A6CC6"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Inactive accounts</w:t>
            </w:r>
          </w:p>
        </w:tc>
        <w:tc>
          <w:tcPr>
            <w:tcW w:w="993" w:type="dxa"/>
            <w:tcBorders>
              <w:top w:val="nil"/>
              <w:left w:val="nil"/>
              <w:bottom w:val="single" w:sz="4" w:space="0" w:color="auto"/>
              <w:right w:val="single" w:sz="4" w:space="0" w:color="auto"/>
            </w:tcBorders>
            <w:noWrap/>
            <w:vAlign w:val="bottom"/>
          </w:tcPr>
          <w:p w14:paraId="227BE0B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 </w:t>
            </w:r>
          </w:p>
        </w:tc>
        <w:tc>
          <w:tcPr>
            <w:tcW w:w="992" w:type="dxa"/>
            <w:tcBorders>
              <w:top w:val="single" w:sz="4" w:space="0" w:color="auto"/>
              <w:left w:val="nil"/>
              <w:bottom w:val="single" w:sz="4" w:space="0" w:color="auto"/>
              <w:right w:val="single" w:sz="4" w:space="0" w:color="auto"/>
            </w:tcBorders>
            <w:noWrap/>
            <w:vAlign w:val="bottom"/>
          </w:tcPr>
          <w:p w14:paraId="05689ED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19A1F66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7576503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c>
          <w:tcPr>
            <w:tcW w:w="1069" w:type="dxa"/>
            <w:tcBorders>
              <w:top w:val="single" w:sz="4" w:space="0" w:color="auto"/>
              <w:left w:val="single" w:sz="4" w:space="0" w:color="auto"/>
              <w:bottom w:val="single" w:sz="4" w:space="0" w:color="auto"/>
              <w:right w:val="single" w:sz="4" w:space="0" w:color="auto"/>
            </w:tcBorders>
            <w:noWrap/>
            <w:vAlign w:val="bottom"/>
          </w:tcPr>
          <w:p w14:paraId="56EF36E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c>
          <w:tcPr>
            <w:tcW w:w="1056" w:type="dxa"/>
            <w:tcBorders>
              <w:top w:val="single" w:sz="4" w:space="0" w:color="auto"/>
              <w:left w:val="single" w:sz="4" w:space="0" w:color="auto"/>
              <w:bottom w:val="single" w:sz="4" w:space="0" w:color="auto"/>
              <w:right w:val="single" w:sz="4" w:space="0" w:color="auto"/>
            </w:tcBorders>
            <w:noWrap/>
            <w:vAlign w:val="bottom"/>
          </w:tcPr>
          <w:p w14:paraId="321AF4B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r>
      <w:tr w:rsidR="00717BA5" w:rsidRPr="00717BA5" w14:paraId="6FC52B39"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66ACD6CE"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Inactive accounts</w:t>
            </w:r>
          </w:p>
        </w:tc>
        <w:tc>
          <w:tcPr>
            <w:tcW w:w="993" w:type="dxa"/>
            <w:tcBorders>
              <w:top w:val="nil"/>
              <w:left w:val="nil"/>
              <w:bottom w:val="single" w:sz="4" w:space="0" w:color="auto"/>
              <w:right w:val="single" w:sz="4" w:space="0" w:color="auto"/>
            </w:tcBorders>
            <w:noWrap/>
            <w:vAlign w:val="bottom"/>
          </w:tcPr>
          <w:p w14:paraId="0FB993D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12</w:t>
            </w:r>
          </w:p>
        </w:tc>
        <w:tc>
          <w:tcPr>
            <w:tcW w:w="992" w:type="dxa"/>
            <w:tcBorders>
              <w:top w:val="single" w:sz="4" w:space="0" w:color="auto"/>
              <w:left w:val="nil"/>
              <w:bottom w:val="single" w:sz="4" w:space="0" w:color="auto"/>
              <w:right w:val="single" w:sz="4" w:space="0" w:color="auto"/>
            </w:tcBorders>
            <w:noWrap/>
            <w:vAlign w:val="bottom"/>
          </w:tcPr>
          <w:p w14:paraId="5D68CA3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18225B2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791093D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1069" w:type="dxa"/>
            <w:tcBorders>
              <w:top w:val="single" w:sz="4" w:space="0" w:color="auto"/>
              <w:left w:val="single" w:sz="4" w:space="0" w:color="auto"/>
              <w:bottom w:val="single" w:sz="4" w:space="0" w:color="auto"/>
              <w:right w:val="single" w:sz="4" w:space="0" w:color="auto"/>
            </w:tcBorders>
            <w:noWrap/>
            <w:vAlign w:val="bottom"/>
          </w:tcPr>
          <w:p w14:paraId="0C050F7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1056" w:type="dxa"/>
            <w:tcBorders>
              <w:top w:val="single" w:sz="4" w:space="0" w:color="auto"/>
              <w:left w:val="single" w:sz="4" w:space="0" w:color="auto"/>
              <w:bottom w:val="single" w:sz="4" w:space="0" w:color="auto"/>
              <w:right w:val="single" w:sz="4" w:space="0" w:color="auto"/>
            </w:tcBorders>
            <w:noWrap/>
            <w:vAlign w:val="bottom"/>
          </w:tcPr>
          <w:p w14:paraId="392F89C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12</w:t>
            </w:r>
          </w:p>
        </w:tc>
      </w:tr>
      <w:tr w:rsidR="00717BA5" w:rsidRPr="00717BA5" w14:paraId="2AB06642"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7A180FAE"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Active accounts</w:t>
            </w:r>
          </w:p>
        </w:tc>
        <w:tc>
          <w:tcPr>
            <w:tcW w:w="993" w:type="dxa"/>
            <w:tcBorders>
              <w:top w:val="nil"/>
              <w:left w:val="nil"/>
              <w:bottom w:val="single" w:sz="4" w:space="0" w:color="auto"/>
              <w:right w:val="single" w:sz="4" w:space="0" w:color="auto"/>
            </w:tcBorders>
            <w:noWrap/>
            <w:vAlign w:val="bottom"/>
          </w:tcPr>
          <w:p w14:paraId="081E8EA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 </w:t>
            </w:r>
          </w:p>
        </w:tc>
        <w:tc>
          <w:tcPr>
            <w:tcW w:w="992" w:type="dxa"/>
            <w:tcBorders>
              <w:top w:val="single" w:sz="4" w:space="0" w:color="auto"/>
              <w:left w:val="nil"/>
              <w:bottom w:val="single" w:sz="4" w:space="0" w:color="auto"/>
              <w:right w:val="single" w:sz="4" w:space="0" w:color="auto"/>
            </w:tcBorders>
            <w:noWrap/>
            <w:vAlign w:val="bottom"/>
          </w:tcPr>
          <w:p w14:paraId="1753940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7C62B7F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34%</w:t>
            </w:r>
          </w:p>
        </w:tc>
        <w:tc>
          <w:tcPr>
            <w:tcW w:w="992" w:type="dxa"/>
            <w:tcBorders>
              <w:top w:val="single" w:sz="4" w:space="0" w:color="auto"/>
              <w:left w:val="single" w:sz="4" w:space="0" w:color="auto"/>
              <w:bottom w:val="single" w:sz="4" w:space="0" w:color="auto"/>
              <w:right w:val="single" w:sz="4" w:space="0" w:color="auto"/>
            </w:tcBorders>
            <w:noWrap/>
            <w:vAlign w:val="bottom"/>
          </w:tcPr>
          <w:p w14:paraId="72378BD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35%</w:t>
            </w:r>
          </w:p>
        </w:tc>
        <w:tc>
          <w:tcPr>
            <w:tcW w:w="1069" w:type="dxa"/>
            <w:tcBorders>
              <w:top w:val="single" w:sz="4" w:space="0" w:color="auto"/>
              <w:left w:val="single" w:sz="4" w:space="0" w:color="auto"/>
              <w:bottom w:val="single" w:sz="4" w:space="0" w:color="auto"/>
              <w:right w:val="single" w:sz="4" w:space="0" w:color="auto"/>
            </w:tcBorders>
            <w:noWrap/>
            <w:vAlign w:val="bottom"/>
          </w:tcPr>
          <w:p w14:paraId="57FD8C1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24%</w:t>
            </w:r>
          </w:p>
        </w:tc>
        <w:tc>
          <w:tcPr>
            <w:tcW w:w="1056" w:type="dxa"/>
            <w:tcBorders>
              <w:top w:val="single" w:sz="4" w:space="0" w:color="auto"/>
              <w:left w:val="single" w:sz="4" w:space="0" w:color="auto"/>
              <w:bottom w:val="single" w:sz="4" w:space="0" w:color="auto"/>
              <w:right w:val="single" w:sz="4" w:space="0" w:color="auto"/>
            </w:tcBorders>
            <w:noWrap/>
            <w:vAlign w:val="bottom"/>
          </w:tcPr>
          <w:p w14:paraId="34F4B42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4%</w:t>
            </w:r>
          </w:p>
        </w:tc>
      </w:tr>
      <w:tr w:rsidR="00717BA5" w:rsidRPr="00717BA5" w14:paraId="18F8170D"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4C4FB1E4"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Active accounts</w:t>
            </w:r>
          </w:p>
        </w:tc>
        <w:tc>
          <w:tcPr>
            <w:tcW w:w="993" w:type="dxa"/>
            <w:tcBorders>
              <w:top w:val="nil"/>
              <w:left w:val="nil"/>
              <w:bottom w:val="single" w:sz="4" w:space="0" w:color="auto"/>
              <w:right w:val="single" w:sz="4" w:space="0" w:color="auto"/>
            </w:tcBorders>
            <w:noWrap/>
            <w:vAlign w:val="bottom"/>
          </w:tcPr>
          <w:p w14:paraId="28684F5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763</w:t>
            </w:r>
          </w:p>
        </w:tc>
        <w:tc>
          <w:tcPr>
            <w:tcW w:w="992" w:type="dxa"/>
            <w:tcBorders>
              <w:top w:val="single" w:sz="4" w:space="0" w:color="auto"/>
              <w:left w:val="nil"/>
              <w:bottom w:val="single" w:sz="4" w:space="0" w:color="auto"/>
              <w:right w:val="single" w:sz="4" w:space="0" w:color="auto"/>
            </w:tcBorders>
            <w:noWrap/>
            <w:vAlign w:val="bottom"/>
          </w:tcPr>
          <w:p w14:paraId="44B8C2C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758</w:t>
            </w:r>
          </w:p>
        </w:tc>
        <w:tc>
          <w:tcPr>
            <w:tcW w:w="992" w:type="dxa"/>
            <w:tcBorders>
              <w:top w:val="single" w:sz="4" w:space="0" w:color="auto"/>
              <w:left w:val="single" w:sz="4" w:space="0" w:color="auto"/>
              <w:bottom w:val="single" w:sz="4" w:space="0" w:color="auto"/>
              <w:right w:val="single" w:sz="4" w:space="0" w:color="auto"/>
            </w:tcBorders>
            <w:noWrap/>
            <w:vAlign w:val="bottom"/>
          </w:tcPr>
          <w:p w14:paraId="7F16188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0DB7B5A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1069" w:type="dxa"/>
            <w:tcBorders>
              <w:top w:val="single" w:sz="4" w:space="0" w:color="auto"/>
              <w:left w:val="single" w:sz="4" w:space="0" w:color="auto"/>
              <w:bottom w:val="single" w:sz="4" w:space="0" w:color="auto"/>
              <w:right w:val="single" w:sz="4" w:space="0" w:color="auto"/>
            </w:tcBorders>
            <w:noWrap/>
            <w:vAlign w:val="bottom"/>
          </w:tcPr>
          <w:p w14:paraId="5BC0B3F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3</w:t>
            </w:r>
          </w:p>
        </w:tc>
        <w:tc>
          <w:tcPr>
            <w:tcW w:w="1056" w:type="dxa"/>
            <w:tcBorders>
              <w:top w:val="single" w:sz="4" w:space="0" w:color="auto"/>
              <w:left w:val="single" w:sz="4" w:space="0" w:color="auto"/>
              <w:bottom w:val="single" w:sz="4" w:space="0" w:color="auto"/>
              <w:right w:val="single" w:sz="4" w:space="0" w:color="auto"/>
            </w:tcBorders>
            <w:noWrap/>
            <w:vAlign w:val="bottom"/>
          </w:tcPr>
          <w:p w14:paraId="0AC3EA1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w:t>
            </w:r>
          </w:p>
        </w:tc>
      </w:tr>
      <w:tr w:rsidR="00717BA5" w:rsidRPr="00717BA5" w14:paraId="070FCEC2"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00990506"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allowance</w:t>
            </w:r>
          </w:p>
        </w:tc>
        <w:tc>
          <w:tcPr>
            <w:tcW w:w="993" w:type="dxa"/>
            <w:tcBorders>
              <w:top w:val="nil"/>
              <w:left w:val="nil"/>
              <w:bottom w:val="single" w:sz="4" w:space="0" w:color="auto"/>
              <w:right w:val="single" w:sz="4" w:space="0" w:color="auto"/>
            </w:tcBorders>
            <w:noWrap/>
            <w:vAlign w:val="bottom"/>
          </w:tcPr>
          <w:p w14:paraId="09626C9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(13)</w:t>
            </w:r>
          </w:p>
        </w:tc>
        <w:tc>
          <w:tcPr>
            <w:tcW w:w="992" w:type="dxa"/>
            <w:tcBorders>
              <w:top w:val="single" w:sz="4" w:space="0" w:color="auto"/>
              <w:left w:val="nil"/>
              <w:bottom w:val="single" w:sz="4" w:space="0" w:color="auto"/>
              <w:right w:val="single" w:sz="4" w:space="0" w:color="auto"/>
            </w:tcBorders>
            <w:noWrap/>
            <w:vAlign w:val="bottom"/>
          </w:tcPr>
          <w:p w14:paraId="1FED3D5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6B571F7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085DF24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1069" w:type="dxa"/>
            <w:tcBorders>
              <w:top w:val="single" w:sz="4" w:space="0" w:color="auto"/>
              <w:left w:val="single" w:sz="4" w:space="0" w:color="auto"/>
              <w:bottom w:val="single" w:sz="4" w:space="0" w:color="auto"/>
              <w:right w:val="single" w:sz="4" w:space="0" w:color="auto"/>
            </w:tcBorders>
            <w:noWrap/>
            <w:vAlign w:val="bottom"/>
          </w:tcPr>
          <w:p w14:paraId="172557B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1056" w:type="dxa"/>
            <w:tcBorders>
              <w:top w:val="single" w:sz="4" w:space="0" w:color="auto"/>
              <w:left w:val="single" w:sz="4" w:space="0" w:color="auto"/>
              <w:bottom w:val="single" w:sz="4" w:space="0" w:color="auto"/>
              <w:right w:val="single" w:sz="4" w:space="0" w:color="auto"/>
            </w:tcBorders>
            <w:noWrap/>
            <w:vAlign w:val="bottom"/>
          </w:tcPr>
          <w:p w14:paraId="0EA2652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(12)</w:t>
            </w:r>
          </w:p>
        </w:tc>
      </w:tr>
      <w:tr w:rsidR="00717BA5" w:rsidRPr="00717BA5" w14:paraId="5DC689F5"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047B9B6F" w14:textId="77777777" w:rsidR="00717BA5" w:rsidRPr="00717BA5" w:rsidRDefault="00717BA5" w:rsidP="00717BA5">
            <w:pPr>
              <w:spacing w:after="0" w:line="240" w:lineRule="auto"/>
              <w:rPr>
                <w:rFonts w:ascii="Arial" w:eastAsia="Times New Roman" w:hAnsi="Arial" w:cs="Arial"/>
                <w:b/>
                <w:i/>
                <w:color w:val="auto"/>
                <w:sz w:val="18"/>
                <w:szCs w:val="18"/>
                <w:lang w:eastAsia="zh-TW"/>
              </w:rPr>
            </w:pPr>
            <w:r w:rsidRPr="00717BA5">
              <w:rPr>
                <w:rFonts w:ascii="Arial" w:eastAsia="Times New Roman" w:hAnsi="Arial" w:cs="Arial"/>
                <w:b/>
                <w:i/>
                <w:color w:val="auto"/>
                <w:sz w:val="18"/>
                <w:szCs w:val="18"/>
                <w:lang w:eastAsia="zh-TW"/>
              </w:rPr>
              <w:t>Community</w:t>
            </w:r>
          </w:p>
        </w:tc>
        <w:tc>
          <w:tcPr>
            <w:tcW w:w="993" w:type="dxa"/>
            <w:tcBorders>
              <w:top w:val="nil"/>
              <w:left w:val="nil"/>
              <w:bottom w:val="single" w:sz="4" w:space="0" w:color="auto"/>
              <w:right w:val="single" w:sz="4" w:space="0" w:color="auto"/>
            </w:tcBorders>
            <w:noWrap/>
            <w:vAlign w:val="bottom"/>
          </w:tcPr>
          <w:p w14:paraId="15069238"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8,437</w:t>
            </w:r>
          </w:p>
        </w:tc>
        <w:tc>
          <w:tcPr>
            <w:tcW w:w="992" w:type="dxa"/>
            <w:tcBorders>
              <w:top w:val="single" w:sz="4" w:space="0" w:color="auto"/>
              <w:left w:val="nil"/>
              <w:bottom w:val="single" w:sz="4" w:space="0" w:color="auto"/>
              <w:right w:val="single" w:sz="4" w:space="0" w:color="auto"/>
            </w:tcBorders>
            <w:noWrap/>
            <w:vAlign w:val="bottom"/>
          </w:tcPr>
          <w:p w14:paraId="38243E38"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8,086</w:t>
            </w:r>
          </w:p>
        </w:tc>
        <w:tc>
          <w:tcPr>
            <w:tcW w:w="992" w:type="dxa"/>
            <w:tcBorders>
              <w:top w:val="single" w:sz="4" w:space="0" w:color="auto"/>
              <w:left w:val="nil"/>
              <w:bottom w:val="single" w:sz="4" w:space="0" w:color="auto"/>
              <w:right w:val="single" w:sz="4" w:space="0" w:color="auto"/>
            </w:tcBorders>
            <w:noWrap/>
            <w:vAlign w:val="bottom"/>
          </w:tcPr>
          <w:p w14:paraId="6173B5F2"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47</w:t>
            </w:r>
          </w:p>
        </w:tc>
        <w:tc>
          <w:tcPr>
            <w:tcW w:w="992" w:type="dxa"/>
            <w:tcBorders>
              <w:top w:val="single" w:sz="4" w:space="0" w:color="auto"/>
              <w:left w:val="nil"/>
              <w:bottom w:val="single" w:sz="4" w:space="0" w:color="auto"/>
              <w:right w:val="single" w:sz="4" w:space="0" w:color="auto"/>
            </w:tcBorders>
            <w:noWrap/>
            <w:vAlign w:val="bottom"/>
          </w:tcPr>
          <w:p w14:paraId="2F17E952"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8</w:t>
            </w:r>
          </w:p>
        </w:tc>
        <w:tc>
          <w:tcPr>
            <w:tcW w:w="1069" w:type="dxa"/>
            <w:tcBorders>
              <w:top w:val="single" w:sz="4" w:space="0" w:color="auto"/>
              <w:left w:val="nil"/>
              <w:bottom w:val="single" w:sz="4" w:space="0" w:color="auto"/>
              <w:right w:val="single" w:sz="4" w:space="0" w:color="auto"/>
            </w:tcBorders>
            <w:noWrap/>
            <w:vAlign w:val="bottom"/>
          </w:tcPr>
          <w:p w14:paraId="435EB18D"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55</w:t>
            </w:r>
          </w:p>
        </w:tc>
        <w:tc>
          <w:tcPr>
            <w:tcW w:w="1056" w:type="dxa"/>
            <w:tcBorders>
              <w:top w:val="single" w:sz="4" w:space="0" w:color="auto"/>
              <w:left w:val="nil"/>
              <w:bottom w:val="single" w:sz="4" w:space="0" w:color="auto"/>
              <w:right w:val="single" w:sz="4" w:space="0" w:color="auto"/>
            </w:tcBorders>
            <w:noWrap/>
            <w:vAlign w:val="bottom"/>
          </w:tcPr>
          <w:p w14:paraId="22CE41FF"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241</w:t>
            </w:r>
          </w:p>
        </w:tc>
      </w:tr>
      <w:tr w:rsidR="00717BA5" w:rsidRPr="00717BA5" w14:paraId="0711A230"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24A7704B"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Inactive accounts</w:t>
            </w:r>
          </w:p>
        </w:tc>
        <w:tc>
          <w:tcPr>
            <w:tcW w:w="993" w:type="dxa"/>
            <w:tcBorders>
              <w:top w:val="nil"/>
              <w:left w:val="nil"/>
              <w:bottom w:val="single" w:sz="4" w:space="0" w:color="auto"/>
              <w:right w:val="single" w:sz="4" w:space="0" w:color="auto"/>
            </w:tcBorders>
            <w:noWrap/>
            <w:vAlign w:val="bottom"/>
          </w:tcPr>
          <w:p w14:paraId="468BC37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 </w:t>
            </w:r>
          </w:p>
        </w:tc>
        <w:tc>
          <w:tcPr>
            <w:tcW w:w="992" w:type="dxa"/>
            <w:tcBorders>
              <w:top w:val="single" w:sz="4" w:space="0" w:color="auto"/>
              <w:left w:val="nil"/>
              <w:bottom w:val="single" w:sz="4" w:space="0" w:color="auto"/>
              <w:right w:val="single" w:sz="4" w:space="0" w:color="auto"/>
            </w:tcBorders>
            <w:noWrap/>
            <w:vAlign w:val="bottom"/>
          </w:tcPr>
          <w:p w14:paraId="7AD76ED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35C5406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6B44455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c>
          <w:tcPr>
            <w:tcW w:w="1069" w:type="dxa"/>
            <w:tcBorders>
              <w:top w:val="single" w:sz="4" w:space="0" w:color="auto"/>
              <w:left w:val="single" w:sz="4" w:space="0" w:color="auto"/>
              <w:bottom w:val="single" w:sz="4" w:space="0" w:color="auto"/>
              <w:right w:val="single" w:sz="4" w:space="0" w:color="auto"/>
            </w:tcBorders>
            <w:noWrap/>
            <w:vAlign w:val="bottom"/>
          </w:tcPr>
          <w:p w14:paraId="35262FD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c>
          <w:tcPr>
            <w:tcW w:w="1056" w:type="dxa"/>
            <w:tcBorders>
              <w:top w:val="single" w:sz="4" w:space="0" w:color="auto"/>
              <w:left w:val="single" w:sz="4" w:space="0" w:color="auto"/>
              <w:bottom w:val="single" w:sz="4" w:space="0" w:color="auto"/>
              <w:right w:val="single" w:sz="4" w:space="0" w:color="auto"/>
            </w:tcBorders>
            <w:noWrap/>
            <w:vAlign w:val="bottom"/>
          </w:tcPr>
          <w:p w14:paraId="15054AC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100%</w:t>
            </w:r>
          </w:p>
        </w:tc>
      </w:tr>
      <w:tr w:rsidR="00717BA5" w:rsidRPr="00717BA5" w14:paraId="61BE2671"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4A87B745"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Inactive accounts</w:t>
            </w:r>
          </w:p>
        </w:tc>
        <w:tc>
          <w:tcPr>
            <w:tcW w:w="993" w:type="dxa"/>
            <w:tcBorders>
              <w:top w:val="nil"/>
              <w:left w:val="nil"/>
              <w:bottom w:val="single" w:sz="4" w:space="0" w:color="auto"/>
              <w:right w:val="single" w:sz="4" w:space="0" w:color="auto"/>
            </w:tcBorders>
            <w:noWrap/>
            <w:vAlign w:val="bottom"/>
          </w:tcPr>
          <w:p w14:paraId="538EB5D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52</w:t>
            </w:r>
          </w:p>
        </w:tc>
        <w:tc>
          <w:tcPr>
            <w:tcW w:w="992" w:type="dxa"/>
            <w:tcBorders>
              <w:top w:val="single" w:sz="4" w:space="0" w:color="auto"/>
              <w:left w:val="nil"/>
              <w:bottom w:val="single" w:sz="4" w:space="0" w:color="auto"/>
              <w:right w:val="single" w:sz="4" w:space="0" w:color="auto"/>
            </w:tcBorders>
            <w:noWrap/>
            <w:vAlign w:val="bottom"/>
          </w:tcPr>
          <w:p w14:paraId="24E403C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5A70D17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3521821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1069" w:type="dxa"/>
            <w:tcBorders>
              <w:top w:val="single" w:sz="4" w:space="0" w:color="auto"/>
              <w:left w:val="single" w:sz="4" w:space="0" w:color="auto"/>
              <w:bottom w:val="single" w:sz="4" w:space="0" w:color="auto"/>
              <w:right w:val="single" w:sz="4" w:space="0" w:color="auto"/>
            </w:tcBorders>
            <w:noWrap/>
            <w:vAlign w:val="bottom"/>
          </w:tcPr>
          <w:p w14:paraId="6188E32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3</w:t>
            </w:r>
          </w:p>
        </w:tc>
        <w:tc>
          <w:tcPr>
            <w:tcW w:w="1056" w:type="dxa"/>
            <w:tcBorders>
              <w:top w:val="single" w:sz="4" w:space="0" w:color="auto"/>
              <w:left w:val="single" w:sz="4" w:space="0" w:color="auto"/>
              <w:bottom w:val="single" w:sz="4" w:space="0" w:color="auto"/>
              <w:right w:val="single" w:sz="4" w:space="0" w:color="auto"/>
            </w:tcBorders>
            <w:noWrap/>
            <w:vAlign w:val="bottom"/>
          </w:tcPr>
          <w:p w14:paraId="5B803D5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49</w:t>
            </w:r>
          </w:p>
        </w:tc>
      </w:tr>
      <w:tr w:rsidR="00717BA5" w:rsidRPr="00717BA5" w14:paraId="689E43F7"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56D5B635"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Other status / voluntary members</w:t>
            </w:r>
          </w:p>
        </w:tc>
        <w:tc>
          <w:tcPr>
            <w:tcW w:w="993" w:type="dxa"/>
            <w:tcBorders>
              <w:top w:val="nil"/>
              <w:left w:val="nil"/>
              <w:bottom w:val="single" w:sz="4" w:space="0" w:color="auto"/>
              <w:right w:val="single" w:sz="4" w:space="0" w:color="auto"/>
            </w:tcBorders>
            <w:noWrap/>
            <w:vAlign w:val="bottom"/>
          </w:tcPr>
          <w:p w14:paraId="5FBC047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 </w:t>
            </w:r>
          </w:p>
        </w:tc>
        <w:tc>
          <w:tcPr>
            <w:tcW w:w="992" w:type="dxa"/>
            <w:tcBorders>
              <w:top w:val="single" w:sz="4" w:space="0" w:color="auto"/>
              <w:left w:val="nil"/>
              <w:bottom w:val="single" w:sz="4" w:space="0" w:color="auto"/>
              <w:right w:val="single" w:sz="4" w:space="0" w:color="auto"/>
            </w:tcBorders>
            <w:noWrap/>
            <w:vAlign w:val="bottom"/>
          </w:tcPr>
          <w:p w14:paraId="4B03403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56C242C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7589E31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1069" w:type="dxa"/>
            <w:tcBorders>
              <w:top w:val="single" w:sz="4" w:space="0" w:color="auto"/>
              <w:left w:val="single" w:sz="4" w:space="0" w:color="auto"/>
              <w:bottom w:val="single" w:sz="4" w:space="0" w:color="auto"/>
              <w:right w:val="single" w:sz="4" w:space="0" w:color="auto"/>
            </w:tcBorders>
            <w:noWrap/>
            <w:vAlign w:val="bottom"/>
          </w:tcPr>
          <w:p w14:paraId="45D954F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1056" w:type="dxa"/>
            <w:tcBorders>
              <w:top w:val="single" w:sz="4" w:space="0" w:color="auto"/>
              <w:left w:val="single" w:sz="4" w:space="0" w:color="auto"/>
              <w:bottom w:val="single" w:sz="4" w:space="0" w:color="auto"/>
              <w:right w:val="single" w:sz="4" w:space="0" w:color="auto"/>
            </w:tcBorders>
            <w:noWrap/>
            <w:vAlign w:val="bottom"/>
          </w:tcPr>
          <w:p w14:paraId="3D9DC51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r>
      <w:tr w:rsidR="00717BA5" w:rsidRPr="00717BA5" w14:paraId="0926CA34"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1AA2414F"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Other status / voluntary members</w:t>
            </w:r>
          </w:p>
        </w:tc>
        <w:tc>
          <w:tcPr>
            <w:tcW w:w="993" w:type="dxa"/>
            <w:tcBorders>
              <w:top w:val="nil"/>
              <w:left w:val="nil"/>
              <w:bottom w:val="single" w:sz="4" w:space="0" w:color="auto"/>
              <w:right w:val="single" w:sz="4" w:space="0" w:color="auto"/>
            </w:tcBorders>
            <w:noWrap/>
            <w:vAlign w:val="bottom"/>
          </w:tcPr>
          <w:p w14:paraId="5DB040B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4</w:t>
            </w:r>
          </w:p>
        </w:tc>
        <w:tc>
          <w:tcPr>
            <w:tcW w:w="992" w:type="dxa"/>
            <w:tcBorders>
              <w:top w:val="single" w:sz="4" w:space="0" w:color="auto"/>
              <w:left w:val="nil"/>
              <w:bottom w:val="single" w:sz="4" w:space="0" w:color="auto"/>
              <w:right w:val="single" w:sz="4" w:space="0" w:color="auto"/>
            </w:tcBorders>
            <w:noWrap/>
            <w:vAlign w:val="bottom"/>
          </w:tcPr>
          <w:p w14:paraId="4DAFEEE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716D94E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13F6FCA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1069" w:type="dxa"/>
            <w:tcBorders>
              <w:top w:val="single" w:sz="4" w:space="0" w:color="auto"/>
              <w:left w:val="single" w:sz="4" w:space="0" w:color="auto"/>
              <w:bottom w:val="single" w:sz="4" w:space="0" w:color="auto"/>
              <w:right w:val="single" w:sz="4" w:space="0" w:color="auto"/>
            </w:tcBorders>
            <w:noWrap/>
            <w:vAlign w:val="bottom"/>
          </w:tcPr>
          <w:p w14:paraId="0546465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1056" w:type="dxa"/>
            <w:tcBorders>
              <w:top w:val="single" w:sz="4" w:space="0" w:color="auto"/>
              <w:left w:val="single" w:sz="4" w:space="0" w:color="auto"/>
              <w:bottom w:val="single" w:sz="4" w:space="0" w:color="auto"/>
              <w:right w:val="single" w:sz="4" w:space="0" w:color="auto"/>
            </w:tcBorders>
            <w:noWrap/>
            <w:vAlign w:val="bottom"/>
          </w:tcPr>
          <w:p w14:paraId="740544A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3</w:t>
            </w:r>
          </w:p>
        </w:tc>
      </w:tr>
      <w:tr w:rsidR="00717BA5" w:rsidRPr="00717BA5" w14:paraId="4BB6E0F8"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3027EE28"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Active accounts</w:t>
            </w:r>
          </w:p>
        </w:tc>
        <w:tc>
          <w:tcPr>
            <w:tcW w:w="993" w:type="dxa"/>
            <w:tcBorders>
              <w:top w:val="nil"/>
              <w:left w:val="nil"/>
              <w:bottom w:val="single" w:sz="4" w:space="0" w:color="auto"/>
              <w:right w:val="single" w:sz="4" w:space="0" w:color="auto"/>
            </w:tcBorders>
            <w:noWrap/>
            <w:vAlign w:val="bottom"/>
          </w:tcPr>
          <w:p w14:paraId="06E8300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 </w:t>
            </w:r>
          </w:p>
        </w:tc>
        <w:tc>
          <w:tcPr>
            <w:tcW w:w="992" w:type="dxa"/>
            <w:tcBorders>
              <w:top w:val="single" w:sz="4" w:space="0" w:color="auto"/>
              <w:left w:val="nil"/>
              <w:bottom w:val="single" w:sz="4" w:space="0" w:color="auto"/>
              <w:right w:val="single" w:sz="4" w:space="0" w:color="auto"/>
            </w:tcBorders>
            <w:noWrap/>
            <w:vAlign w:val="bottom"/>
          </w:tcPr>
          <w:p w14:paraId="1487389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2291B2B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4A83195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8%</w:t>
            </w:r>
          </w:p>
        </w:tc>
        <w:tc>
          <w:tcPr>
            <w:tcW w:w="1069" w:type="dxa"/>
            <w:tcBorders>
              <w:top w:val="single" w:sz="4" w:space="0" w:color="auto"/>
              <w:left w:val="single" w:sz="4" w:space="0" w:color="auto"/>
              <w:bottom w:val="single" w:sz="4" w:space="0" w:color="auto"/>
              <w:right w:val="single" w:sz="4" w:space="0" w:color="auto"/>
            </w:tcBorders>
            <w:noWrap/>
            <w:vAlign w:val="bottom"/>
          </w:tcPr>
          <w:p w14:paraId="226FCAD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6%</w:t>
            </w:r>
          </w:p>
        </w:tc>
        <w:tc>
          <w:tcPr>
            <w:tcW w:w="1056" w:type="dxa"/>
            <w:tcBorders>
              <w:top w:val="single" w:sz="4" w:space="0" w:color="auto"/>
              <w:left w:val="single" w:sz="4" w:space="0" w:color="auto"/>
              <w:bottom w:val="single" w:sz="4" w:space="0" w:color="auto"/>
              <w:right w:val="single" w:sz="4" w:space="0" w:color="auto"/>
            </w:tcBorders>
            <w:noWrap/>
            <w:vAlign w:val="bottom"/>
          </w:tcPr>
          <w:p w14:paraId="35C46DD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7%</w:t>
            </w:r>
          </w:p>
        </w:tc>
      </w:tr>
      <w:tr w:rsidR="00717BA5" w:rsidRPr="00717BA5" w14:paraId="0C8E823A"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41E15A58"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Active accounts</w:t>
            </w:r>
          </w:p>
        </w:tc>
        <w:tc>
          <w:tcPr>
            <w:tcW w:w="993" w:type="dxa"/>
            <w:tcBorders>
              <w:top w:val="nil"/>
              <w:left w:val="nil"/>
              <w:bottom w:val="single" w:sz="4" w:space="0" w:color="auto"/>
              <w:right w:val="single" w:sz="4" w:space="0" w:color="auto"/>
            </w:tcBorders>
            <w:noWrap/>
            <w:vAlign w:val="bottom"/>
          </w:tcPr>
          <w:p w14:paraId="7D53AA0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8,381</w:t>
            </w:r>
          </w:p>
        </w:tc>
        <w:tc>
          <w:tcPr>
            <w:tcW w:w="992" w:type="dxa"/>
            <w:tcBorders>
              <w:top w:val="single" w:sz="4" w:space="0" w:color="auto"/>
              <w:left w:val="nil"/>
              <w:bottom w:val="single" w:sz="4" w:space="0" w:color="auto"/>
              <w:right w:val="single" w:sz="4" w:space="0" w:color="auto"/>
            </w:tcBorders>
            <w:noWrap/>
            <w:vAlign w:val="bottom"/>
          </w:tcPr>
          <w:p w14:paraId="0DAF848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8,086</w:t>
            </w:r>
          </w:p>
        </w:tc>
        <w:tc>
          <w:tcPr>
            <w:tcW w:w="992" w:type="dxa"/>
            <w:tcBorders>
              <w:top w:val="single" w:sz="4" w:space="0" w:color="auto"/>
              <w:left w:val="single" w:sz="4" w:space="0" w:color="auto"/>
              <w:bottom w:val="single" w:sz="4" w:space="0" w:color="auto"/>
              <w:right w:val="single" w:sz="4" w:space="0" w:color="auto"/>
            </w:tcBorders>
            <w:noWrap/>
            <w:vAlign w:val="bottom"/>
          </w:tcPr>
          <w:p w14:paraId="217BCD6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47</w:t>
            </w:r>
          </w:p>
        </w:tc>
        <w:tc>
          <w:tcPr>
            <w:tcW w:w="992" w:type="dxa"/>
            <w:tcBorders>
              <w:top w:val="single" w:sz="4" w:space="0" w:color="auto"/>
              <w:left w:val="single" w:sz="4" w:space="0" w:color="auto"/>
              <w:bottom w:val="single" w:sz="4" w:space="0" w:color="auto"/>
              <w:right w:val="single" w:sz="4" w:space="0" w:color="auto"/>
            </w:tcBorders>
            <w:noWrap/>
            <w:vAlign w:val="bottom"/>
          </w:tcPr>
          <w:p w14:paraId="25833E7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7</w:t>
            </w:r>
          </w:p>
        </w:tc>
        <w:tc>
          <w:tcPr>
            <w:tcW w:w="1069" w:type="dxa"/>
            <w:tcBorders>
              <w:top w:val="single" w:sz="4" w:space="0" w:color="auto"/>
              <w:left w:val="single" w:sz="4" w:space="0" w:color="auto"/>
              <w:bottom w:val="single" w:sz="4" w:space="0" w:color="auto"/>
              <w:right w:val="single" w:sz="4" w:space="0" w:color="auto"/>
            </w:tcBorders>
            <w:noWrap/>
            <w:vAlign w:val="bottom"/>
          </w:tcPr>
          <w:p w14:paraId="36FFF32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51</w:t>
            </w:r>
          </w:p>
        </w:tc>
        <w:tc>
          <w:tcPr>
            <w:tcW w:w="1056" w:type="dxa"/>
            <w:tcBorders>
              <w:top w:val="single" w:sz="4" w:space="0" w:color="auto"/>
              <w:left w:val="single" w:sz="4" w:space="0" w:color="auto"/>
              <w:bottom w:val="single" w:sz="4" w:space="0" w:color="auto"/>
              <w:right w:val="single" w:sz="4" w:space="0" w:color="auto"/>
            </w:tcBorders>
            <w:noWrap/>
            <w:vAlign w:val="bottom"/>
          </w:tcPr>
          <w:p w14:paraId="141F370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190</w:t>
            </w:r>
          </w:p>
        </w:tc>
      </w:tr>
      <w:tr w:rsidR="00717BA5" w:rsidRPr="00717BA5" w14:paraId="3E472FD1"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5226A284"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allowance</w:t>
            </w:r>
          </w:p>
        </w:tc>
        <w:tc>
          <w:tcPr>
            <w:tcW w:w="993" w:type="dxa"/>
            <w:tcBorders>
              <w:top w:val="nil"/>
              <w:left w:val="nil"/>
              <w:bottom w:val="single" w:sz="4" w:space="0" w:color="auto"/>
              <w:right w:val="single" w:sz="4" w:space="0" w:color="auto"/>
            </w:tcBorders>
            <w:noWrap/>
            <w:vAlign w:val="bottom"/>
          </w:tcPr>
          <w:p w14:paraId="2F358BA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(70)</w:t>
            </w:r>
          </w:p>
        </w:tc>
        <w:tc>
          <w:tcPr>
            <w:tcW w:w="992" w:type="dxa"/>
            <w:tcBorders>
              <w:top w:val="single" w:sz="4" w:space="0" w:color="auto"/>
              <w:left w:val="nil"/>
              <w:bottom w:val="single" w:sz="4" w:space="0" w:color="auto"/>
              <w:right w:val="single" w:sz="4" w:space="0" w:color="auto"/>
            </w:tcBorders>
            <w:noWrap/>
            <w:vAlign w:val="bottom"/>
          </w:tcPr>
          <w:p w14:paraId="343C510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08FC4F1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5272A98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1069" w:type="dxa"/>
            <w:tcBorders>
              <w:top w:val="single" w:sz="4" w:space="0" w:color="auto"/>
              <w:left w:val="single" w:sz="4" w:space="0" w:color="auto"/>
              <w:bottom w:val="single" w:sz="4" w:space="0" w:color="auto"/>
              <w:right w:val="single" w:sz="4" w:space="0" w:color="auto"/>
            </w:tcBorders>
            <w:noWrap/>
            <w:vAlign w:val="bottom"/>
          </w:tcPr>
          <w:p w14:paraId="13DF66A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(6)</w:t>
            </w:r>
          </w:p>
        </w:tc>
        <w:tc>
          <w:tcPr>
            <w:tcW w:w="1056" w:type="dxa"/>
            <w:tcBorders>
              <w:top w:val="single" w:sz="4" w:space="0" w:color="auto"/>
              <w:left w:val="single" w:sz="4" w:space="0" w:color="auto"/>
              <w:bottom w:val="single" w:sz="4" w:space="0" w:color="auto"/>
              <w:right w:val="single" w:sz="4" w:space="0" w:color="auto"/>
            </w:tcBorders>
            <w:noWrap/>
            <w:vAlign w:val="bottom"/>
          </w:tcPr>
          <w:p w14:paraId="7C720C1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(62)</w:t>
            </w:r>
          </w:p>
        </w:tc>
      </w:tr>
      <w:tr w:rsidR="00717BA5" w:rsidRPr="00717BA5" w14:paraId="503FC744"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4C022DD5" w14:textId="77777777" w:rsidR="00717BA5" w:rsidRPr="00717BA5" w:rsidRDefault="00717BA5" w:rsidP="00717BA5">
            <w:pPr>
              <w:spacing w:after="0" w:line="240" w:lineRule="auto"/>
              <w:rPr>
                <w:rFonts w:ascii="Arial" w:eastAsia="Times New Roman" w:hAnsi="Arial" w:cs="Arial"/>
                <w:b/>
                <w:i/>
                <w:color w:val="auto"/>
                <w:sz w:val="18"/>
                <w:szCs w:val="18"/>
                <w:lang w:eastAsia="zh-TW"/>
              </w:rPr>
            </w:pPr>
            <w:r w:rsidRPr="00717BA5">
              <w:rPr>
                <w:rFonts w:ascii="Arial" w:eastAsia="Times New Roman" w:hAnsi="Arial" w:cs="Arial"/>
                <w:b/>
                <w:i/>
                <w:color w:val="auto"/>
                <w:sz w:val="18"/>
                <w:szCs w:val="18"/>
                <w:lang w:eastAsia="zh-TW"/>
              </w:rPr>
              <w:t>Security</w:t>
            </w:r>
          </w:p>
        </w:tc>
        <w:tc>
          <w:tcPr>
            <w:tcW w:w="993" w:type="dxa"/>
            <w:tcBorders>
              <w:top w:val="nil"/>
              <w:left w:val="nil"/>
              <w:bottom w:val="single" w:sz="4" w:space="0" w:color="auto"/>
              <w:right w:val="single" w:sz="4" w:space="0" w:color="auto"/>
            </w:tcBorders>
            <w:noWrap/>
            <w:vAlign w:val="bottom"/>
          </w:tcPr>
          <w:p w14:paraId="0AA5141B"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575</w:t>
            </w:r>
          </w:p>
        </w:tc>
        <w:tc>
          <w:tcPr>
            <w:tcW w:w="992" w:type="dxa"/>
            <w:tcBorders>
              <w:top w:val="single" w:sz="4" w:space="0" w:color="auto"/>
              <w:left w:val="nil"/>
              <w:bottom w:val="single" w:sz="4" w:space="0" w:color="auto"/>
              <w:right w:val="single" w:sz="4" w:space="0" w:color="auto"/>
            </w:tcBorders>
            <w:noWrap/>
            <w:vAlign w:val="bottom"/>
          </w:tcPr>
          <w:p w14:paraId="7A010D79"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543</w:t>
            </w:r>
          </w:p>
        </w:tc>
        <w:tc>
          <w:tcPr>
            <w:tcW w:w="992" w:type="dxa"/>
            <w:tcBorders>
              <w:top w:val="single" w:sz="4" w:space="0" w:color="auto"/>
              <w:left w:val="nil"/>
              <w:bottom w:val="single" w:sz="4" w:space="0" w:color="auto"/>
              <w:right w:val="single" w:sz="4" w:space="0" w:color="auto"/>
            </w:tcBorders>
            <w:noWrap/>
            <w:vAlign w:val="bottom"/>
          </w:tcPr>
          <w:p w14:paraId="156EC79B"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1</w:t>
            </w:r>
          </w:p>
        </w:tc>
        <w:tc>
          <w:tcPr>
            <w:tcW w:w="992" w:type="dxa"/>
            <w:tcBorders>
              <w:top w:val="single" w:sz="4" w:space="0" w:color="auto"/>
              <w:left w:val="nil"/>
              <w:bottom w:val="single" w:sz="4" w:space="0" w:color="auto"/>
              <w:right w:val="single" w:sz="4" w:space="0" w:color="auto"/>
            </w:tcBorders>
            <w:noWrap/>
            <w:vAlign w:val="bottom"/>
          </w:tcPr>
          <w:p w14:paraId="55EC4778"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1</w:t>
            </w:r>
          </w:p>
        </w:tc>
        <w:tc>
          <w:tcPr>
            <w:tcW w:w="1069" w:type="dxa"/>
            <w:tcBorders>
              <w:top w:val="single" w:sz="4" w:space="0" w:color="auto"/>
              <w:left w:val="nil"/>
              <w:bottom w:val="single" w:sz="4" w:space="0" w:color="auto"/>
              <w:right w:val="single" w:sz="4" w:space="0" w:color="auto"/>
            </w:tcBorders>
            <w:noWrap/>
            <w:vAlign w:val="bottom"/>
          </w:tcPr>
          <w:p w14:paraId="647EAF57"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5</w:t>
            </w:r>
          </w:p>
        </w:tc>
        <w:tc>
          <w:tcPr>
            <w:tcW w:w="1056" w:type="dxa"/>
            <w:tcBorders>
              <w:top w:val="single" w:sz="4" w:space="0" w:color="auto"/>
              <w:left w:val="nil"/>
              <w:bottom w:val="single" w:sz="4" w:space="0" w:color="auto"/>
              <w:right w:val="single" w:sz="4" w:space="0" w:color="auto"/>
            </w:tcBorders>
            <w:noWrap/>
            <w:vAlign w:val="bottom"/>
          </w:tcPr>
          <w:p w14:paraId="6B199A42"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SimSun" w:hAnsi="Arial" w:cs="Arial"/>
                <w:b/>
                <w:bCs/>
                <w:color w:val="auto"/>
                <w:sz w:val="18"/>
                <w:szCs w:val="18"/>
                <w:lang w:val="en-AU" w:eastAsia="en-US"/>
              </w:rPr>
              <w:t>25</w:t>
            </w:r>
          </w:p>
        </w:tc>
      </w:tr>
      <w:tr w:rsidR="00717BA5" w:rsidRPr="00717BA5" w14:paraId="614F7CF4"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39CC6E1F"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Inactive accounts</w:t>
            </w:r>
          </w:p>
        </w:tc>
        <w:tc>
          <w:tcPr>
            <w:tcW w:w="993" w:type="dxa"/>
            <w:tcBorders>
              <w:top w:val="nil"/>
              <w:left w:val="nil"/>
              <w:bottom w:val="single" w:sz="4" w:space="0" w:color="auto"/>
              <w:right w:val="single" w:sz="4" w:space="0" w:color="auto"/>
            </w:tcBorders>
            <w:noWrap/>
            <w:vAlign w:val="bottom"/>
          </w:tcPr>
          <w:p w14:paraId="72A95CBF"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p>
        </w:tc>
        <w:tc>
          <w:tcPr>
            <w:tcW w:w="992" w:type="dxa"/>
            <w:tcBorders>
              <w:top w:val="single" w:sz="4" w:space="0" w:color="auto"/>
              <w:left w:val="nil"/>
              <w:bottom w:val="single" w:sz="4" w:space="0" w:color="auto"/>
              <w:right w:val="single" w:sz="4" w:space="0" w:color="auto"/>
            </w:tcBorders>
            <w:noWrap/>
            <w:vAlign w:val="bottom"/>
          </w:tcPr>
          <w:p w14:paraId="6658022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595741E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0387E31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1069" w:type="dxa"/>
            <w:tcBorders>
              <w:top w:val="single" w:sz="4" w:space="0" w:color="auto"/>
              <w:left w:val="single" w:sz="4" w:space="0" w:color="auto"/>
              <w:bottom w:val="single" w:sz="4" w:space="0" w:color="auto"/>
              <w:right w:val="single" w:sz="4" w:space="0" w:color="auto"/>
            </w:tcBorders>
            <w:noWrap/>
            <w:vAlign w:val="bottom"/>
          </w:tcPr>
          <w:p w14:paraId="0F1F5DE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1056" w:type="dxa"/>
            <w:tcBorders>
              <w:top w:val="single" w:sz="4" w:space="0" w:color="auto"/>
              <w:left w:val="single" w:sz="4" w:space="0" w:color="auto"/>
              <w:bottom w:val="single" w:sz="4" w:space="0" w:color="auto"/>
              <w:right w:val="single" w:sz="4" w:space="0" w:color="auto"/>
            </w:tcBorders>
            <w:noWrap/>
            <w:vAlign w:val="bottom"/>
          </w:tcPr>
          <w:p w14:paraId="4161D5A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r>
      <w:tr w:rsidR="00717BA5" w:rsidRPr="00717BA5" w14:paraId="60B66EC7"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41798970"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Inactive accounts</w:t>
            </w:r>
          </w:p>
        </w:tc>
        <w:tc>
          <w:tcPr>
            <w:tcW w:w="993" w:type="dxa"/>
            <w:tcBorders>
              <w:top w:val="nil"/>
              <w:left w:val="nil"/>
              <w:bottom w:val="single" w:sz="4" w:space="0" w:color="auto"/>
              <w:right w:val="single" w:sz="4" w:space="0" w:color="auto"/>
            </w:tcBorders>
            <w:noWrap/>
            <w:vAlign w:val="bottom"/>
          </w:tcPr>
          <w:p w14:paraId="6E9A5DA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10 </w:t>
            </w:r>
          </w:p>
        </w:tc>
        <w:tc>
          <w:tcPr>
            <w:tcW w:w="992" w:type="dxa"/>
            <w:tcBorders>
              <w:top w:val="single" w:sz="4" w:space="0" w:color="auto"/>
              <w:left w:val="nil"/>
              <w:bottom w:val="single" w:sz="4" w:space="0" w:color="auto"/>
              <w:right w:val="single" w:sz="4" w:space="0" w:color="auto"/>
            </w:tcBorders>
            <w:noWrap/>
            <w:vAlign w:val="bottom"/>
          </w:tcPr>
          <w:p w14:paraId="330708C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2FE8E77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15041E3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1069" w:type="dxa"/>
            <w:tcBorders>
              <w:top w:val="single" w:sz="4" w:space="0" w:color="auto"/>
              <w:left w:val="single" w:sz="4" w:space="0" w:color="auto"/>
              <w:bottom w:val="single" w:sz="4" w:space="0" w:color="auto"/>
              <w:right w:val="single" w:sz="4" w:space="0" w:color="auto"/>
            </w:tcBorders>
            <w:noWrap/>
            <w:vAlign w:val="bottom"/>
          </w:tcPr>
          <w:p w14:paraId="5A07EBF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1056" w:type="dxa"/>
            <w:tcBorders>
              <w:top w:val="single" w:sz="4" w:space="0" w:color="auto"/>
              <w:left w:val="single" w:sz="4" w:space="0" w:color="auto"/>
              <w:bottom w:val="single" w:sz="4" w:space="0" w:color="auto"/>
              <w:right w:val="single" w:sz="4" w:space="0" w:color="auto"/>
            </w:tcBorders>
            <w:noWrap/>
            <w:vAlign w:val="bottom"/>
          </w:tcPr>
          <w:p w14:paraId="7CF511B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9</w:t>
            </w:r>
          </w:p>
        </w:tc>
      </w:tr>
      <w:tr w:rsidR="00717BA5" w:rsidRPr="00717BA5" w14:paraId="069EC5D2"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51C4B084"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Active accounts</w:t>
            </w:r>
          </w:p>
        </w:tc>
        <w:tc>
          <w:tcPr>
            <w:tcW w:w="993" w:type="dxa"/>
            <w:tcBorders>
              <w:top w:val="nil"/>
              <w:left w:val="nil"/>
              <w:bottom w:val="single" w:sz="4" w:space="0" w:color="auto"/>
              <w:right w:val="single" w:sz="4" w:space="0" w:color="auto"/>
            </w:tcBorders>
            <w:noWrap/>
            <w:vAlign w:val="bottom"/>
          </w:tcPr>
          <w:p w14:paraId="01B4AB3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p>
        </w:tc>
        <w:tc>
          <w:tcPr>
            <w:tcW w:w="992" w:type="dxa"/>
            <w:tcBorders>
              <w:top w:val="single" w:sz="4" w:space="0" w:color="auto"/>
              <w:left w:val="nil"/>
              <w:bottom w:val="single" w:sz="4" w:space="0" w:color="auto"/>
              <w:right w:val="single" w:sz="4" w:space="0" w:color="auto"/>
            </w:tcBorders>
            <w:noWrap/>
            <w:vAlign w:val="bottom"/>
          </w:tcPr>
          <w:p w14:paraId="0B185E9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40F11D3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12%</w:t>
            </w:r>
          </w:p>
        </w:tc>
        <w:tc>
          <w:tcPr>
            <w:tcW w:w="992" w:type="dxa"/>
            <w:tcBorders>
              <w:top w:val="single" w:sz="4" w:space="0" w:color="auto"/>
              <w:left w:val="single" w:sz="4" w:space="0" w:color="auto"/>
              <w:bottom w:val="single" w:sz="4" w:space="0" w:color="auto"/>
              <w:right w:val="single" w:sz="4" w:space="0" w:color="auto"/>
            </w:tcBorders>
            <w:noWrap/>
            <w:vAlign w:val="bottom"/>
          </w:tcPr>
          <w:p w14:paraId="7CF9F84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23%</w:t>
            </w:r>
          </w:p>
        </w:tc>
        <w:tc>
          <w:tcPr>
            <w:tcW w:w="1069" w:type="dxa"/>
            <w:tcBorders>
              <w:top w:val="single" w:sz="4" w:space="0" w:color="auto"/>
              <w:left w:val="single" w:sz="4" w:space="0" w:color="auto"/>
              <w:bottom w:val="single" w:sz="4" w:space="0" w:color="auto"/>
              <w:right w:val="single" w:sz="4" w:space="0" w:color="auto"/>
            </w:tcBorders>
            <w:noWrap/>
            <w:vAlign w:val="bottom"/>
          </w:tcPr>
          <w:p w14:paraId="1CB750C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0%</w:t>
            </w:r>
          </w:p>
        </w:tc>
        <w:tc>
          <w:tcPr>
            <w:tcW w:w="1056" w:type="dxa"/>
            <w:tcBorders>
              <w:top w:val="single" w:sz="4" w:space="0" w:color="auto"/>
              <w:left w:val="single" w:sz="4" w:space="0" w:color="auto"/>
              <w:bottom w:val="single" w:sz="4" w:space="0" w:color="auto"/>
              <w:right w:val="single" w:sz="4" w:space="0" w:color="auto"/>
            </w:tcBorders>
            <w:noWrap/>
            <w:vAlign w:val="bottom"/>
          </w:tcPr>
          <w:p w14:paraId="3FA3B68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23%</w:t>
            </w:r>
          </w:p>
        </w:tc>
      </w:tr>
      <w:tr w:rsidR="00717BA5" w:rsidRPr="00717BA5" w14:paraId="47469578"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1417BC2B"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Active accounts</w:t>
            </w:r>
          </w:p>
        </w:tc>
        <w:tc>
          <w:tcPr>
            <w:tcW w:w="993" w:type="dxa"/>
            <w:tcBorders>
              <w:top w:val="nil"/>
              <w:left w:val="nil"/>
              <w:bottom w:val="single" w:sz="4" w:space="0" w:color="auto"/>
              <w:right w:val="single" w:sz="4" w:space="0" w:color="auto"/>
            </w:tcBorders>
            <w:noWrap/>
            <w:vAlign w:val="bottom"/>
          </w:tcPr>
          <w:p w14:paraId="6D9A7DE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 xml:space="preserve">  565 </w:t>
            </w:r>
          </w:p>
        </w:tc>
        <w:tc>
          <w:tcPr>
            <w:tcW w:w="992" w:type="dxa"/>
            <w:tcBorders>
              <w:top w:val="single" w:sz="4" w:space="0" w:color="auto"/>
              <w:left w:val="nil"/>
              <w:bottom w:val="single" w:sz="4" w:space="0" w:color="auto"/>
              <w:right w:val="single" w:sz="4" w:space="0" w:color="auto"/>
            </w:tcBorders>
            <w:noWrap/>
            <w:vAlign w:val="bottom"/>
          </w:tcPr>
          <w:p w14:paraId="5ADD27A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543</w:t>
            </w:r>
          </w:p>
        </w:tc>
        <w:tc>
          <w:tcPr>
            <w:tcW w:w="992" w:type="dxa"/>
            <w:tcBorders>
              <w:top w:val="single" w:sz="4" w:space="0" w:color="auto"/>
              <w:left w:val="single" w:sz="4" w:space="0" w:color="auto"/>
              <w:bottom w:val="single" w:sz="4" w:space="0" w:color="auto"/>
              <w:right w:val="single" w:sz="4" w:space="0" w:color="auto"/>
            </w:tcBorders>
            <w:noWrap/>
            <w:vAlign w:val="bottom"/>
          </w:tcPr>
          <w:p w14:paraId="714689E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3A246BA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1069" w:type="dxa"/>
            <w:tcBorders>
              <w:top w:val="single" w:sz="4" w:space="0" w:color="auto"/>
              <w:left w:val="single" w:sz="4" w:space="0" w:color="auto"/>
              <w:bottom w:val="single" w:sz="4" w:space="0" w:color="auto"/>
              <w:right w:val="single" w:sz="4" w:space="0" w:color="auto"/>
            </w:tcBorders>
            <w:noWrap/>
            <w:vAlign w:val="bottom"/>
          </w:tcPr>
          <w:p w14:paraId="2241F91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5</w:t>
            </w:r>
          </w:p>
        </w:tc>
        <w:tc>
          <w:tcPr>
            <w:tcW w:w="1056" w:type="dxa"/>
            <w:tcBorders>
              <w:top w:val="single" w:sz="4" w:space="0" w:color="auto"/>
              <w:left w:val="single" w:sz="4" w:space="0" w:color="auto"/>
              <w:bottom w:val="single" w:sz="4" w:space="0" w:color="auto"/>
              <w:right w:val="single" w:sz="4" w:space="0" w:color="auto"/>
            </w:tcBorders>
            <w:noWrap/>
            <w:vAlign w:val="bottom"/>
          </w:tcPr>
          <w:p w14:paraId="57FE065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15</w:t>
            </w:r>
          </w:p>
        </w:tc>
      </w:tr>
      <w:tr w:rsidR="00717BA5" w:rsidRPr="00717BA5" w14:paraId="3641D7CD" w14:textId="77777777" w:rsidTr="00F0752D">
        <w:trPr>
          <w:trHeight w:val="20"/>
        </w:trPr>
        <w:tc>
          <w:tcPr>
            <w:tcW w:w="3851" w:type="dxa"/>
            <w:tcBorders>
              <w:top w:val="single" w:sz="4" w:space="0" w:color="auto"/>
              <w:left w:val="single" w:sz="4" w:space="0" w:color="auto"/>
              <w:bottom w:val="single" w:sz="4" w:space="0" w:color="auto"/>
              <w:right w:val="single" w:sz="4" w:space="0" w:color="auto"/>
            </w:tcBorders>
            <w:noWrap/>
            <w:vAlign w:val="bottom"/>
            <w:hideMark/>
          </w:tcPr>
          <w:p w14:paraId="79E0F036"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allowance</w:t>
            </w:r>
          </w:p>
        </w:tc>
        <w:tc>
          <w:tcPr>
            <w:tcW w:w="993" w:type="dxa"/>
            <w:tcBorders>
              <w:top w:val="single" w:sz="4" w:space="0" w:color="auto"/>
              <w:left w:val="nil"/>
              <w:bottom w:val="single" w:sz="4" w:space="0" w:color="auto"/>
              <w:right w:val="single" w:sz="4" w:space="0" w:color="auto"/>
            </w:tcBorders>
            <w:noWrap/>
            <w:vAlign w:val="bottom"/>
          </w:tcPr>
          <w:p w14:paraId="456C3CBB" w14:textId="77777777" w:rsidR="00717BA5" w:rsidRPr="00717BA5" w:rsidRDefault="00717BA5" w:rsidP="00717BA5">
            <w:pPr>
              <w:spacing w:after="0" w:line="240" w:lineRule="auto"/>
              <w:jc w:val="right"/>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(14)</w:t>
            </w:r>
          </w:p>
        </w:tc>
        <w:tc>
          <w:tcPr>
            <w:tcW w:w="992" w:type="dxa"/>
            <w:tcBorders>
              <w:top w:val="single" w:sz="4" w:space="0" w:color="auto"/>
              <w:left w:val="nil"/>
              <w:bottom w:val="single" w:sz="4" w:space="0" w:color="auto"/>
              <w:right w:val="single" w:sz="4" w:space="0" w:color="auto"/>
            </w:tcBorders>
            <w:noWrap/>
            <w:vAlign w:val="bottom"/>
          </w:tcPr>
          <w:p w14:paraId="6462A82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37DAA2C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59A4BE9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w:t>
            </w:r>
          </w:p>
        </w:tc>
        <w:tc>
          <w:tcPr>
            <w:tcW w:w="1069" w:type="dxa"/>
            <w:tcBorders>
              <w:top w:val="single" w:sz="4" w:space="0" w:color="auto"/>
              <w:left w:val="single" w:sz="4" w:space="0" w:color="auto"/>
              <w:bottom w:val="single" w:sz="4" w:space="0" w:color="auto"/>
              <w:right w:val="single" w:sz="4" w:space="0" w:color="auto"/>
            </w:tcBorders>
            <w:noWrap/>
            <w:vAlign w:val="bottom"/>
          </w:tcPr>
          <w:p w14:paraId="20303CB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w:t>
            </w:r>
          </w:p>
        </w:tc>
        <w:tc>
          <w:tcPr>
            <w:tcW w:w="1056" w:type="dxa"/>
            <w:tcBorders>
              <w:top w:val="single" w:sz="4" w:space="0" w:color="auto"/>
              <w:left w:val="single" w:sz="4" w:space="0" w:color="auto"/>
              <w:bottom w:val="single" w:sz="4" w:space="0" w:color="auto"/>
              <w:right w:val="single" w:sz="4" w:space="0" w:color="auto"/>
            </w:tcBorders>
            <w:noWrap/>
            <w:vAlign w:val="bottom"/>
          </w:tcPr>
          <w:p w14:paraId="7596D3A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SimSun" w:hAnsi="Arial" w:cs="Arial"/>
                <w:color w:val="auto"/>
                <w:sz w:val="18"/>
                <w:szCs w:val="18"/>
                <w:lang w:val="en-AU" w:eastAsia="en-US"/>
              </w:rPr>
              <w:t>(13)</w:t>
            </w:r>
          </w:p>
        </w:tc>
      </w:tr>
    </w:tbl>
    <w:p w14:paraId="1700A752" w14:textId="77777777" w:rsidR="00717BA5" w:rsidRPr="00717BA5" w:rsidRDefault="00717BA5" w:rsidP="009B3326">
      <w:pPr>
        <w:pStyle w:val="Normal2"/>
      </w:pPr>
      <w:bookmarkStart w:id="101" w:name="_Hlk101894848"/>
    </w:p>
    <w:p w14:paraId="0F1FB215" w14:textId="77777777" w:rsidR="00717BA5" w:rsidRPr="00717BA5" w:rsidRDefault="00717BA5" w:rsidP="009B3326">
      <w:pPr>
        <w:pStyle w:val="Normal2"/>
      </w:pPr>
    </w:p>
    <w:p w14:paraId="4DFF996F" w14:textId="77777777" w:rsidR="00717BA5" w:rsidRPr="00717BA5" w:rsidRDefault="00717BA5" w:rsidP="009B3326">
      <w:pPr>
        <w:pStyle w:val="Normal2"/>
      </w:pPr>
    </w:p>
    <w:p w14:paraId="61AE0DF1" w14:textId="77777777" w:rsidR="00717BA5" w:rsidRPr="00717BA5" w:rsidRDefault="00717BA5" w:rsidP="00717BA5">
      <w:pPr>
        <w:spacing w:after="0" w:line="240" w:lineRule="auto"/>
        <w:rPr>
          <w:rFonts w:ascii="Arial" w:eastAsia="Times New Roman" w:hAnsi="Arial" w:cs="Arial"/>
          <w:b/>
          <w:caps/>
          <w:color w:val="auto"/>
          <w:sz w:val="24"/>
          <w:szCs w:val="24"/>
          <w:lang w:val="en-AU"/>
        </w:rPr>
      </w:pPr>
      <w:r w:rsidRPr="00717BA5">
        <w:rPr>
          <w:rFonts w:ascii="Calibri" w:eastAsia="SimSun" w:hAnsi="Calibri" w:cs="Arial"/>
          <w:color w:val="auto"/>
          <w:sz w:val="24"/>
          <w:szCs w:val="24"/>
          <w:lang w:val="en-AU"/>
        </w:rPr>
        <w:br w:type="page"/>
      </w:r>
    </w:p>
    <w:p w14:paraId="6D59AF7D" w14:textId="77777777" w:rsidR="00717BA5" w:rsidRPr="00717BA5" w:rsidRDefault="00717BA5" w:rsidP="009B3326">
      <w:pPr>
        <w:pStyle w:val="Heading5"/>
      </w:pPr>
      <w:r w:rsidRPr="00717BA5">
        <w:lastRenderedPageBreak/>
        <w:t>NOTE 12.   RECEIVABLES – CONTINUED</w:t>
      </w:r>
    </w:p>
    <w:tbl>
      <w:tblPr>
        <w:tblW w:w="9945" w:type="dxa"/>
        <w:tblInd w:w="113" w:type="dxa"/>
        <w:tblLook w:val="04A0" w:firstRow="1" w:lastRow="0" w:firstColumn="1" w:lastColumn="0" w:noHBand="0" w:noVBand="1"/>
      </w:tblPr>
      <w:tblGrid>
        <w:gridCol w:w="3851"/>
        <w:gridCol w:w="993"/>
        <w:gridCol w:w="992"/>
        <w:gridCol w:w="992"/>
        <w:gridCol w:w="992"/>
        <w:gridCol w:w="1069"/>
        <w:gridCol w:w="1056"/>
      </w:tblGrid>
      <w:tr w:rsidR="00717BA5" w:rsidRPr="00717BA5" w14:paraId="7599CADC" w14:textId="77777777" w:rsidTr="00F0752D">
        <w:trPr>
          <w:trHeight w:val="298"/>
        </w:trPr>
        <w:tc>
          <w:tcPr>
            <w:tcW w:w="3851" w:type="dxa"/>
            <w:tcBorders>
              <w:top w:val="single" w:sz="4" w:space="0" w:color="auto"/>
              <w:left w:val="single" w:sz="4" w:space="0" w:color="auto"/>
              <w:bottom w:val="single" w:sz="4" w:space="0" w:color="auto"/>
              <w:right w:val="single" w:sz="4" w:space="0" w:color="auto"/>
            </w:tcBorders>
            <w:noWrap/>
            <w:vAlign w:val="bottom"/>
            <w:hideMark/>
          </w:tcPr>
          <w:p w14:paraId="24AE3F8E" w14:textId="77777777" w:rsidR="00717BA5" w:rsidRPr="00717BA5" w:rsidRDefault="00717BA5" w:rsidP="00717BA5">
            <w:pPr>
              <w:spacing w:after="0" w:line="240" w:lineRule="auto"/>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Ageing of Receivables</w:t>
            </w:r>
          </w:p>
        </w:tc>
        <w:tc>
          <w:tcPr>
            <w:tcW w:w="6094" w:type="dxa"/>
            <w:gridSpan w:val="6"/>
            <w:tcBorders>
              <w:top w:val="single" w:sz="4" w:space="0" w:color="auto"/>
              <w:left w:val="nil"/>
              <w:bottom w:val="single" w:sz="4" w:space="0" w:color="auto"/>
              <w:right w:val="single" w:sz="4" w:space="0" w:color="auto"/>
            </w:tcBorders>
            <w:noWrap/>
            <w:vAlign w:val="bottom"/>
            <w:hideMark/>
          </w:tcPr>
          <w:p w14:paraId="4BC8E8DA" w14:textId="77777777" w:rsidR="00717BA5" w:rsidRPr="00717BA5" w:rsidRDefault="00717BA5" w:rsidP="00717BA5">
            <w:pPr>
              <w:spacing w:after="0" w:line="240" w:lineRule="auto"/>
              <w:jc w:val="center"/>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Days Past Due</w:t>
            </w:r>
          </w:p>
        </w:tc>
      </w:tr>
      <w:tr w:rsidR="00717BA5" w:rsidRPr="00717BA5" w14:paraId="4074071A"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280847B2"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w:t>
            </w:r>
          </w:p>
        </w:tc>
        <w:tc>
          <w:tcPr>
            <w:tcW w:w="993" w:type="dxa"/>
            <w:tcBorders>
              <w:top w:val="nil"/>
              <w:left w:val="nil"/>
              <w:bottom w:val="single" w:sz="4" w:space="0" w:color="auto"/>
              <w:right w:val="single" w:sz="4" w:space="0" w:color="auto"/>
            </w:tcBorders>
            <w:noWrap/>
            <w:vAlign w:val="bottom"/>
            <w:hideMark/>
          </w:tcPr>
          <w:p w14:paraId="60B32F2F"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Total</w:t>
            </w:r>
          </w:p>
        </w:tc>
        <w:tc>
          <w:tcPr>
            <w:tcW w:w="992" w:type="dxa"/>
            <w:tcBorders>
              <w:top w:val="nil"/>
              <w:left w:val="nil"/>
              <w:bottom w:val="single" w:sz="4" w:space="0" w:color="auto"/>
              <w:right w:val="single" w:sz="4" w:space="0" w:color="auto"/>
            </w:tcBorders>
            <w:noWrap/>
            <w:vAlign w:val="bottom"/>
            <w:hideMark/>
          </w:tcPr>
          <w:p w14:paraId="55260EC4"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Not Overdue</w:t>
            </w:r>
          </w:p>
        </w:tc>
        <w:tc>
          <w:tcPr>
            <w:tcW w:w="992" w:type="dxa"/>
            <w:tcBorders>
              <w:top w:val="nil"/>
              <w:left w:val="nil"/>
              <w:bottom w:val="single" w:sz="4" w:space="0" w:color="auto"/>
              <w:right w:val="single" w:sz="4" w:space="0" w:color="auto"/>
            </w:tcBorders>
            <w:noWrap/>
            <w:vAlign w:val="bottom"/>
            <w:hideMark/>
          </w:tcPr>
          <w:p w14:paraId="3011563D"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1-30 days</w:t>
            </w:r>
          </w:p>
        </w:tc>
        <w:tc>
          <w:tcPr>
            <w:tcW w:w="992" w:type="dxa"/>
            <w:tcBorders>
              <w:top w:val="nil"/>
              <w:left w:val="nil"/>
              <w:bottom w:val="single" w:sz="4" w:space="0" w:color="auto"/>
              <w:right w:val="single" w:sz="4" w:space="0" w:color="auto"/>
            </w:tcBorders>
            <w:noWrap/>
            <w:vAlign w:val="bottom"/>
            <w:hideMark/>
          </w:tcPr>
          <w:p w14:paraId="24261E41"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31-60 Days</w:t>
            </w:r>
          </w:p>
        </w:tc>
        <w:tc>
          <w:tcPr>
            <w:tcW w:w="1069" w:type="dxa"/>
            <w:tcBorders>
              <w:top w:val="nil"/>
              <w:left w:val="nil"/>
              <w:bottom w:val="single" w:sz="4" w:space="0" w:color="auto"/>
              <w:right w:val="single" w:sz="4" w:space="0" w:color="auto"/>
            </w:tcBorders>
            <w:noWrap/>
            <w:vAlign w:val="bottom"/>
            <w:hideMark/>
          </w:tcPr>
          <w:p w14:paraId="65637103"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61-90 Days</w:t>
            </w:r>
          </w:p>
        </w:tc>
        <w:tc>
          <w:tcPr>
            <w:tcW w:w="1056" w:type="dxa"/>
            <w:tcBorders>
              <w:top w:val="nil"/>
              <w:left w:val="nil"/>
              <w:bottom w:val="single" w:sz="4" w:space="0" w:color="auto"/>
              <w:right w:val="single" w:sz="4" w:space="0" w:color="auto"/>
            </w:tcBorders>
            <w:noWrap/>
            <w:vAlign w:val="bottom"/>
            <w:hideMark/>
          </w:tcPr>
          <w:p w14:paraId="32F37248"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&gt;91days</w:t>
            </w:r>
          </w:p>
        </w:tc>
      </w:tr>
      <w:tr w:rsidR="00717BA5" w:rsidRPr="00717BA5" w14:paraId="601B2FE5"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3E414D35"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w:t>
            </w:r>
          </w:p>
        </w:tc>
        <w:tc>
          <w:tcPr>
            <w:tcW w:w="993" w:type="dxa"/>
            <w:tcBorders>
              <w:top w:val="nil"/>
              <w:left w:val="nil"/>
              <w:bottom w:val="single" w:sz="4" w:space="0" w:color="auto"/>
              <w:right w:val="single" w:sz="4" w:space="0" w:color="auto"/>
            </w:tcBorders>
            <w:noWrap/>
            <w:vAlign w:val="bottom"/>
            <w:hideMark/>
          </w:tcPr>
          <w:p w14:paraId="6A3BBF25"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c>
          <w:tcPr>
            <w:tcW w:w="992" w:type="dxa"/>
            <w:tcBorders>
              <w:top w:val="nil"/>
              <w:left w:val="nil"/>
              <w:bottom w:val="single" w:sz="4" w:space="0" w:color="auto"/>
              <w:right w:val="single" w:sz="4" w:space="0" w:color="auto"/>
            </w:tcBorders>
            <w:noWrap/>
            <w:vAlign w:val="bottom"/>
            <w:hideMark/>
          </w:tcPr>
          <w:p w14:paraId="1120E6EE"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c>
          <w:tcPr>
            <w:tcW w:w="992" w:type="dxa"/>
            <w:tcBorders>
              <w:top w:val="nil"/>
              <w:left w:val="nil"/>
              <w:bottom w:val="single" w:sz="4" w:space="0" w:color="auto"/>
              <w:right w:val="single" w:sz="4" w:space="0" w:color="auto"/>
            </w:tcBorders>
            <w:noWrap/>
            <w:vAlign w:val="bottom"/>
            <w:hideMark/>
          </w:tcPr>
          <w:p w14:paraId="3647EEEF"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c>
          <w:tcPr>
            <w:tcW w:w="992" w:type="dxa"/>
            <w:tcBorders>
              <w:top w:val="nil"/>
              <w:left w:val="nil"/>
              <w:bottom w:val="single" w:sz="4" w:space="0" w:color="auto"/>
              <w:right w:val="single" w:sz="4" w:space="0" w:color="auto"/>
            </w:tcBorders>
            <w:noWrap/>
            <w:vAlign w:val="bottom"/>
            <w:hideMark/>
          </w:tcPr>
          <w:p w14:paraId="00A622B1"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c>
          <w:tcPr>
            <w:tcW w:w="1069" w:type="dxa"/>
            <w:tcBorders>
              <w:top w:val="nil"/>
              <w:left w:val="nil"/>
              <w:bottom w:val="single" w:sz="4" w:space="0" w:color="auto"/>
              <w:right w:val="single" w:sz="4" w:space="0" w:color="auto"/>
            </w:tcBorders>
            <w:noWrap/>
            <w:vAlign w:val="bottom"/>
            <w:hideMark/>
          </w:tcPr>
          <w:p w14:paraId="008D87F1"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c>
          <w:tcPr>
            <w:tcW w:w="1056" w:type="dxa"/>
            <w:tcBorders>
              <w:top w:val="nil"/>
              <w:left w:val="nil"/>
              <w:bottom w:val="single" w:sz="4" w:space="0" w:color="auto"/>
              <w:right w:val="single" w:sz="4" w:space="0" w:color="auto"/>
            </w:tcBorders>
            <w:noWrap/>
            <w:vAlign w:val="bottom"/>
            <w:hideMark/>
          </w:tcPr>
          <w:p w14:paraId="50A4DF66"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$'000</w:t>
            </w:r>
          </w:p>
        </w:tc>
      </w:tr>
      <w:tr w:rsidR="00717BA5" w:rsidRPr="00717BA5" w14:paraId="332A6849"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0E093BA3" w14:textId="77777777" w:rsidR="00717BA5" w:rsidRPr="00717BA5" w:rsidRDefault="00717BA5" w:rsidP="00717BA5">
            <w:pPr>
              <w:spacing w:after="0" w:line="240" w:lineRule="auto"/>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30 June 2025</w:t>
            </w:r>
          </w:p>
        </w:tc>
        <w:tc>
          <w:tcPr>
            <w:tcW w:w="993" w:type="dxa"/>
            <w:tcBorders>
              <w:top w:val="nil"/>
              <w:left w:val="nil"/>
              <w:bottom w:val="single" w:sz="4" w:space="0" w:color="auto"/>
              <w:right w:val="single" w:sz="4" w:space="0" w:color="auto"/>
            </w:tcBorders>
            <w:noWrap/>
            <w:vAlign w:val="bottom"/>
          </w:tcPr>
          <w:p w14:paraId="13418EB8"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15,766</w:t>
            </w:r>
          </w:p>
        </w:tc>
        <w:tc>
          <w:tcPr>
            <w:tcW w:w="992" w:type="dxa"/>
            <w:tcBorders>
              <w:top w:val="nil"/>
              <w:left w:val="nil"/>
              <w:bottom w:val="single" w:sz="4" w:space="0" w:color="auto"/>
              <w:right w:val="single" w:sz="4" w:space="0" w:color="auto"/>
            </w:tcBorders>
            <w:noWrap/>
            <w:vAlign w:val="bottom"/>
          </w:tcPr>
          <w:p w14:paraId="550CECA7"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14,034</w:t>
            </w:r>
          </w:p>
        </w:tc>
        <w:tc>
          <w:tcPr>
            <w:tcW w:w="992" w:type="dxa"/>
            <w:tcBorders>
              <w:top w:val="nil"/>
              <w:left w:val="nil"/>
              <w:bottom w:val="single" w:sz="4" w:space="0" w:color="auto"/>
              <w:right w:val="single" w:sz="4" w:space="0" w:color="auto"/>
            </w:tcBorders>
            <w:noWrap/>
            <w:vAlign w:val="bottom"/>
          </w:tcPr>
          <w:p w14:paraId="6BDFAB44"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655</w:t>
            </w:r>
          </w:p>
        </w:tc>
        <w:tc>
          <w:tcPr>
            <w:tcW w:w="992" w:type="dxa"/>
            <w:tcBorders>
              <w:top w:val="nil"/>
              <w:left w:val="nil"/>
              <w:bottom w:val="single" w:sz="4" w:space="0" w:color="auto"/>
              <w:right w:val="single" w:sz="4" w:space="0" w:color="auto"/>
            </w:tcBorders>
            <w:noWrap/>
            <w:vAlign w:val="bottom"/>
          </w:tcPr>
          <w:p w14:paraId="7EBA3F6B"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131</w:t>
            </w:r>
          </w:p>
        </w:tc>
        <w:tc>
          <w:tcPr>
            <w:tcW w:w="1069" w:type="dxa"/>
            <w:tcBorders>
              <w:top w:val="nil"/>
              <w:left w:val="nil"/>
              <w:bottom w:val="single" w:sz="4" w:space="0" w:color="auto"/>
              <w:right w:val="single" w:sz="4" w:space="0" w:color="auto"/>
            </w:tcBorders>
            <w:noWrap/>
            <w:vAlign w:val="bottom"/>
          </w:tcPr>
          <w:p w14:paraId="4A1FE57B"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118</w:t>
            </w:r>
          </w:p>
        </w:tc>
        <w:tc>
          <w:tcPr>
            <w:tcW w:w="1056" w:type="dxa"/>
            <w:tcBorders>
              <w:top w:val="nil"/>
              <w:left w:val="nil"/>
              <w:bottom w:val="single" w:sz="4" w:space="0" w:color="auto"/>
              <w:right w:val="single" w:sz="4" w:space="0" w:color="auto"/>
            </w:tcBorders>
            <w:noWrap/>
            <w:vAlign w:val="bottom"/>
          </w:tcPr>
          <w:p w14:paraId="44B3720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828</w:t>
            </w:r>
          </w:p>
        </w:tc>
      </w:tr>
      <w:tr w:rsidR="00717BA5" w:rsidRPr="00717BA5" w14:paraId="7B4E5B90"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7CEF8804" w14:textId="77777777" w:rsidR="00717BA5" w:rsidRPr="00717BA5" w:rsidRDefault="00717BA5" w:rsidP="00717BA5">
            <w:pPr>
              <w:spacing w:after="0" w:line="240" w:lineRule="auto"/>
              <w:rPr>
                <w:rFonts w:ascii="Arial" w:eastAsia="Times New Roman" w:hAnsi="Arial" w:cs="Arial"/>
                <w:b/>
                <w:i/>
                <w:color w:val="auto"/>
                <w:sz w:val="18"/>
                <w:szCs w:val="18"/>
                <w:lang w:eastAsia="zh-TW"/>
              </w:rPr>
            </w:pPr>
            <w:r w:rsidRPr="00717BA5">
              <w:rPr>
                <w:rFonts w:ascii="Arial" w:eastAsia="Times New Roman" w:hAnsi="Arial" w:cs="Arial"/>
                <w:b/>
                <w:i/>
                <w:color w:val="auto"/>
                <w:sz w:val="18"/>
                <w:szCs w:val="18"/>
                <w:lang w:eastAsia="zh-TW"/>
              </w:rPr>
              <w:t>Construction</w:t>
            </w:r>
          </w:p>
        </w:tc>
        <w:tc>
          <w:tcPr>
            <w:tcW w:w="993" w:type="dxa"/>
            <w:tcBorders>
              <w:top w:val="nil"/>
              <w:left w:val="nil"/>
              <w:bottom w:val="single" w:sz="4" w:space="0" w:color="auto"/>
              <w:right w:val="single" w:sz="4" w:space="0" w:color="auto"/>
            </w:tcBorders>
            <w:noWrap/>
            <w:vAlign w:val="bottom"/>
          </w:tcPr>
          <w:p w14:paraId="0C41F6F2"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7,844 </w:t>
            </w:r>
          </w:p>
        </w:tc>
        <w:tc>
          <w:tcPr>
            <w:tcW w:w="992" w:type="dxa"/>
            <w:tcBorders>
              <w:top w:val="nil"/>
              <w:left w:val="nil"/>
              <w:bottom w:val="single" w:sz="4" w:space="0" w:color="auto"/>
              <w:right w:val="single" w:sz="4" w:space="0" w:color="auto"/>
            </w:tcBorders>
            <w:noWrap/>
            <w:vAlign w:val="bottom"/>
          </w:tcPr>
          <w:p w14:paraId="59AB4E32"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6,947 </w:t>
            </w:r>
          </w:p>
        </w:tc>
        <w:tc>
          <w:tcPr>
            <w:tcW w:w="992" w:type="dxa"/>
            <w:tcBorders>
              <w:top w:val="nil"/>
              <w:left w:val="nil"/>
              <w:bottom w:val="single" w:sz="4" w:space="0" w:color="auto"/>
              <w:right w:val="single" w:sz="4" w:space="0" w:color="auto"/>
            </w:tcBorders>
            <w:noWrap/>
            <w:vAlign w:val="bottom"/>
          </w:tcPr>
          <w:p w14:paraId="1BE3BB6B"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335 </w:t>
            </w:r>
          </w:p>
        </w:tc>
        <w:tc>
          <w:tcPr>
            <w:tcW w:w="992" w:type="dxa"/>
            <w:tcBorders>
              <w:top w:val="nil"/>
              <w:left w:val="nil"/>
              <w:bottom w:val="single" w:sz="4" w:space="0" w:color="auto"/>
              <w:right w:val="single" w:sz="4" w:space="0" w:color="auto"/>
            </w:tcBorders>
            <w:noWrap/>
            <w:vAlign w:val="bottom"/>
          </w:tcPr>
          <w:p w14:paraId="0A99B6E4"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90 </w:t>
            </w:r>
          </w:p>
        </w:tc>
        <w:tc>
          <w:tcPr>
            <w:tcW w:w="1069" w:type="dxa"/>
            <w:tcBorders>
              <w:top w:val="nil"/>
              <w:left w:val="nil"/>
              <w:bottom w:val="single" w:sz="4" w:space="0" w:color="auto"/>
              <w:right w:val="single" w:sz="4" w:space="0" w:color="auto"/>
            </w:tcBorders>
            <w:noWrap/>
            <w:vAlign w:val="bottom"/>
          </w:tcPr>
          <w:p w14:paraId="4609F316"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40 </w:t>
            </w:r>
          </w:p>
        </w:tc>
        <w:tc>
          <w:tcPr>
            <w:tcW w:w="1056" w:type="dxa"/>
            <w:tcBorders>
              <w:top w:val="nil"/>
              <w:left w:val="nil"/>
              <w:bottom w:val="single" w:sz="4" w:space="0" w:color="auto"/>
              <w:right w:val="single" w:sz="4" w:space="0" w:color="auto"/>
            </w:tcBorders>
            <w:noWrap/>
            <w:vAlign w:val="bottom"/>
          </w:tcPr>
          <w:p w14:paraId="06BF7DEB"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432 </w:t>
            </w:r>
          </w:p>
        </w:tc>
      </w:tr>
      <w:tr w:rsidR="00717BA5" w:rsidRPr="00717BA5" w14:paraId="46F2CD3A"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081B9030"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Inactive accounts</w:t>
            </w:r>
          </w:p>
        </w:tc>
        <w:tc>
          <w:tcPr>
            <w:tcW w:w="993" w:type="dxa"/>
            <w:tcBorders>
              <w:top w:val="nil"/>
              <w:left w:val="nil"/>
              <w:bottom w:val="single" w:sz="4" w:space="0" w:color="auto"/>
              <w:right w:val="single" w:sz="4" w:space="0" w:color="auto"/>
            </w:tcBorders>
            <w:noWrap/>
            <w:vAlign w:val="bottom"/>
          </w:tcPr>
          <w:p w14:paraId="2477321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p>
        </w:tc>
        <w:tc>
          <w:tcPr>
            <w:tcW w:w="992" w:type="dxa"/>
            <w:tcBorders>
              <w:top w:val="nil"/>
              <w:left w:val="nil"/>
              <w:bottom w:val="single" w:sz="4" w:space="0" w:color="auto"/>
              <w:right w:val="single" w:sz="4" w:space="0" w:color="auto"/>
            </w:tcBorders>
            <w:noWrap/>
            <w:vAlign w:val="bottom"/>
          </w:tcPr>
          <w:p w14:paraId="0BC88B9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992" w:type="dxa"/>
            <w:tcBorders>
              <w:top w:val="single" w:sz="4" w:space="0" w:color="auto"/>
              <w:left w:val="nil"/>
              <w:bottom w:val="single" w:sz="4" w:space="0" w:color="auto"/>
              <w:right w:val="single" w:sz="4" w:space="0" w:color="auto"/>
            </w:tcBorders>
            <w:noWrap/>
            <w:vAlign w:val="bottom"/>
          </w:tcPr>
          <w:p w14:paraId="27A022C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45622C7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1069" w:type="dxa"/>
            <w:tcBorders>
              <w:top w:val="single" w:sz="4" w:space="0" w:color="auto"/>
              <w:left w:val="single" w:sz="4" w:space="0" w:color="auto"/>
              <w:bottom w:val="single" w:sz="4" w:space="0" w:color="auto"/>
              <w:right w:val="single" w:sz="4" w:space="0" w:color="auto"/>
            </w:tcBorders>
            <w:noWrap/>
            <w:vAlign w:val="bottom"/>
          </w:tcPr>
          <w:p w14:paraId="6250AFB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1056" w:type="dxa"/>
            <w:tcBorders>
              <w:top w:val="single" w:sz="4" w:space="0" w:color="auto"/>
              <w:left w:val="single" w:sz="4" w:space="0" w:color="auto"/>
              <w:bottom w:val="single" w:sz="4" w:space="0" w:color="auto"/>
              <w:right w:val="single" w:sz="4" w:space="0" w:color="auto"/>
            </w:tcBorders>
            <w:noWrap/>
            <w:vAlign w:val="bottom"/>
          </w:tcPr>
          <w:p w14:paraId="4C71DB3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r>
      <w:tr w:rsidR="00717BA5" w:rsidRPr="00717BA5" w14:paraId="61B6A5C7"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6BB80F85"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Inactive accounts</w:t>
            </w:r>
          </w:p>
        </w:tc>
        <w:tc>
          <w:tcPr>
            <w:tcW w:w="993" w:type="dxa"/>
            <w:tcBorders>
              <w:top w:val="nil"/>
              <w:left w:val="nil"/>
              <w:bottom w:val="single" w:sz="4" w:space="0" w:color="auto"/>
              <w:right w:val="single" w:sz="4" w:space="0" w:color="auto"/>
            </w:tcBorders>
            <w:noWrap/>
            <w:vAlign w:val="bottom"/>
          </w:tcPr>
          <w:p w14:paraId="0F385F4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345 </w:t>
            </w:r>
          </w:p>
        </w:tc>
        <w:tc>
          <w:tcPr>
            <w:tcW w:w="992" w:type="dxa"/>
            <w:tcBorders>
              <w:top w:val="nil"/>
              <w:left w:val="nil"/>
              <w:bottom w:val="single" w:sz="4" w:space="0" w:color="auto"/>
              <w:right w:val="single" w:sz="4" w:space="0" w:color="auto"/>
            </w:tcBorders>
            <w:noWrap/>
            <w:vAlign w:val="bottom"/>
          </w:tcPr>
          <w:p w14:paraId="00ABC0F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nil"/>
              <w:bottom w:val="single" w:sz="4" w:space="0" w:color="auto"/>
              <w:right w:val="single" w:sz="4" w:space="0" w:color="auto"/>
            </w:tcBorders>
            <w:noWrap/>
            <w:vAlign w:val="bottom"/>
          </w:tcPr>
          <w:p w14:paraId="5815C67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w:t>
            </w:r>
          </w:p>
        </w:tc>
        <w:tc>
          <w:tcPr>
            <w:tcW w:w="992" w:type="dxa"/>
            <w:tcBorders>
              <w:top w:val="single" w:sz="4" w:space="0" w:color="auto"/>
              <w:left w:val="nil"/>
              <w:bottom w:val="single" w:sz="4" w:space="0" w:color="auto"/>
              <w:right w:val="single" w:sz="4" w:space="0" w:color="auto"/>
            </w:tcBorders>
            <w:noWrap/>
            <w:vAlign w:val="bottom"/>
          </w:tcPr>
          <w:p w14:paraId="566B0F0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7 </w:t>
            </w:r>
          </w:p>
        </w:tc>
        <w:tc>
          <w:tcPr>
            <w:tcW w:w="1069" w:type="dxa"/>
            <w:tcBorders>
              <w:top w:val="single" w:sz="4" w:space="0" w:color="auto"/>
              <w:left w:val="nil"/>
              <w:bottom w:val="single" w:sz="4" w:space="0" w:color="auto"/>
              <w:right w:val="single" w:sz="4" w:space="0" w:color="auto"/>
            </w:tcBorders>
            <w:noWrap/>
            <w:vAlign w:val="bottom"/>
          </w:tcPr>
          <w:p w14:paraId="642B8DE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5 </w:t>
            </w:r>
          </w:p>
        </w:tc>
        <w:tc>
          <w:tcPr>
            <w:tcW w:w="1056" w:type="dxa"/>
            <w:tcBorders>
              <w:top w:val="single" w:sz="4" w:space="0" w:color="auto"/>
              <w:left w:val="nil"/>
              <w:bottom w:val="single" w:sz="4" w:space="0" w:color="auto"/>
              <w:right w:val="single" w:sz="4" w:space="0" w:color="auto"/>
            </w:tcBorders>
            <w:noWrap/>
            <w:vAlign w:val="bottom"/>
          </w:tcPr>
          <w:p w14:paraId="75EEB58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333 </w:t>
            </w:r>
          </w:p>
        </w:tc>
      </w:tr>
      <w:tr w:rsidR="00717BA5" w:rsidRPr="00717BA5" w14:paraId="18C831A5"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3702A3E0"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Active accounts</w:t>
            </w:r>
          </w:p>
        </w:tc>
        <w:tc>
          <w:tcPr>
            <w:tcW w:w="993" w:type="dxa"/>
            <w:tcBorders>
              <w:top w:val="nil"/>
              <w:left w:val="nil"/>
              <w:bottom w:val="single" w:sz="4" w:space="0" w:color="auto"/>
              <w:right w:val="single" w:sz="4" w:space="0" w:color="auto"/>
            </w:tcBorders>
            <w:noWrap/>
            <w:vAlign w:val="bottom"/>
          </w:tcPr>
          <w:p w14:paraId="7B55A76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p>
        </w:tc>
        <w:tc>
          <w:tcPr>
            <w:tcW w:w="992" w:type="dxa"/>
            <w:tcBorders>
              <w:top w:val="nil"/>
              <w:left w:val="nil"/>
              <w:bottom w:val="single" w:sz="4" w:space="0" w:color="auto"/>
              <w:right w:val="single" w:sz="4" w:space="0" w:color="auto"/>
            </w:tcBorders>
            <w:noWrap/>
            <w:vAlign w:val="bottom"/>
          </w:tcPr>
          <w:p w14:paraId="200340B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c>
          <w:tcPr>
            <w:tcW w:w="992" w:type="dxa"/>
            <w:tcBorders>
              <w:top w:val="nil"/>
              <w:left w:val="nil"/>
              <w:bottom w:val="single" w:sz="4" w:space="0" w:color="auto"/>
              <w:right w:val="single" w:sz="4" w:space="0" w:color="auto"/>
            </w:tcBorders>
            <w:noWrap/>
            <w:vAlign w:val="bottom"/>
          </w:tcPr>
          <w:p w14:paraId="37D70F9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4%</w:t>
            </w:r>
          </w:p>
        </w:tc>
        <w:tc>
          <w:tcPr>
            <w:tcW w:w="992" w:type="dxa"/>
            <w:tcBorders>
              <w:top w:val="nil"/>
              <w:left w:val="nil"/>
              <w:bottom w:val="single" w:sz="4" w:space="0" w:color="auto"/>
              <w:right w:val="single" w:sz="4" w:space="0" w:color="auto"/>
            </w:tcBorders>
            <w:noWrap/>
            <w:vAlign w:val="bottom"/>
          </w:tcPr>
          <w:p w14:paraId="507DDC8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20%</w:t>
            </w:r>
          </w:p>
        </w:tc>
        <w:tc>
          <w:tcPr>
            <w:tcW w:w="1069" w:type="dxa"/>
            <w:tcBorders>
              <w:top w:val="nil"/>
              <w:left w:val="nil"/>
              <w:bottom w:val="single" w:sz="4" w:space="0" w:color="auto"/>
              <w:right w:val="single" w:sz="4" w:space="0" w:color="auto"/>
            </w:tcBorders>
            <w:noWrap/>
            <w:vAlign w:val="bottom"/>
          </w:tcPr>
          <w:p w14:paraId="078254F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17%</w:t>
            </w:r>
          </w:p>
        </w:tc>
        <w:tc>
          <w:tcPr>
            <w:tcW w:w="1056" w:type="dxa"/>
            <w:tcBorders>
              <w:top w:val="nil"/>
              <w:left w:val="nil"/>
              <w:bottom w:val="single" w:sz="4" w:space="0" w:color="auto"/>
              <w:right w:val="single" w:sz="4" w:space="0" w:color="auto"/>
            </w:tcBorders>
            <w:noWrap/>
            <w:vAlign w:val="bottom"/>
          </w:tcPr>
          <w:p w14:paraId="2E01DEA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9%</w:t>
            </w:r>
          </w:p>
        </w:tc>
      </w:tr>
      <w:tr w:rsidR="00717BA5" w:rsidRPr="00717BA5" w14:paraId="3B08466C"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53255384"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Active Accounts</w:t>
            </w:r>
          </w:p>
        </w:tc>
        <w:tc>
          <w:tcPr>
            <w:tcW w:w="993" w:type="dxa"/>
            <w:tcBorders>
              <w:top w:val="nil"/>
              <w:left w:val="nil"/>
              <w:bottom w:val="single" w:sz="4" w:space="0" w:color="auto"/>
              <w:right w:val="single" w:sz="4" w:space="0" w:color="auto"/>
            </w:tcBorders>
            <w:noWrap/>
            <w:vAlign w:val="bottom"/>
          </w:tcPr>
          <w:p w14:paraId="5A01E13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7,931 </w:t>
            </w:r>
          </w:p>
        </w:tc>
        <w:tc>
          <w:tcPr>
            <w:tcW w:w="992" w:type="dxa"/>
            <w:tcBorders>
              <w:top w:val="nil"/>
              <w:left w:val="nil"/>
              <w:bottom w:val="single" w:sz="4" w:space="0" w:color="auto"/>
              <w:right w:val="single" w:sz="4" w:space="0" w:color="auto"/>
            </w:tcBorders>
            <w:noWrap/>
            <w:vAlign w:val="bottom"/>
          </w:tcPr>
          <w:p w14:paraId="1529FB4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6,947 </w:t>
            </w:r>
          </w:p>
        </w:tc>
        <w:tc>
          <w:tcPr>
            <w:tcW w:w="992" w:type="dxa"/>
            <w:tcBorders>
              <w:top w:val="nil"/>
              <w:left w:val="nil"/>
              <w:bottom w:val="single" w:sz="4" w:space="0" w:color="auto"/>
              <w:right w:val="single" w:sz="4" w:space="0" w:color="auto"/>
            </w:tcBorders>
            <w:noWrap/>
            <w:vAlign w:val="bottom"/>
          </w:tcPr>
          <w:p w14:paraId="0698EB9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349 </w:t>
            </w:r>
          </w:p>
        </w:tc>
        <w:tc>
          <w:tcPr>
            <w:tcW w:w="992" w:type="dxa"/>
            <w:tcBorders>
              <w:top w:val="nil"/>
              <w:left w:val="nil"/>
              <w:bottom w:val="single" w:sz="4" w:space="0" w:color="auto"/>
              <w:right w:val="single" w:sz="4" w:space="0" w:color="auto"/>
            </w:tcBorders>
            <w:noWrap/>
            <w:vAlign w:val="bottom"/>
          </w:tcPr>
          <w:p w14:paraId="3393E1A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113 </w:t>
            </w:r>
          </w:p>
        </w:tc>
        <w:tc>
          <w:tcPr>
            <w:tcW w:w="1069" w:type="dxa"/>
            <w:tcBorders>
              <w:top w:val="nil"/>
              <w:left w:val="nil"/>
              <w:bottom w:val="single" w:sz="4" w:space="0" w:color="auto"/>
              <w:right w:val="single" w:sz="4" w:space="0" w:color="auto"/>
            </w:tcBorders>
            <w:noWrap/>
            <w:vAlign w:val="bottom"/>
          </w:tcPr>
          <w:p w14:paraId="4B452BB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48 </w:t>
            </w:r>
          </w:p>
        </w:tc>
        <w:tc>
          <w:tcPr>
            <w:tcW w:w="1056" w:type="dxa"/>
            <w:tcBorders>
              <w:top w:val="nil"/>
              <w:left w:val="nil"/>
              <w:bottom w:val="single" w:sz="4" w:space="0" w:color="auto"/>
              <w:right w:val="single" w:sz="4" w:space="0" w:color="auto"/>
            </w:tcBorders>
            <w:noWrap/>
            <w:vAlign w:val="bottom"/>
          </w:tcPr>
          <w:p w14:paraId="37AB207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474 </w:t>
            </w:r>
          </w:p>
        </w:tc>
      </w:tr>
      <w:tr w:rsidR="00717BA5" w:rsidRPr="00717BA5" w14:paraId="732C30D0"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47827FFD"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allowance</w:t>
            </w:r>
          </w:p>
        </w:tc>
        <w:tc>
          <w:tcPr>
            <w:tcW w:w="993" w:type="dxa"/>
            <w:tcBorders>
              <w:top w:val="nil"/>
              <w:left w:val="nil"/>
              <w:bottom w:val="single" w:sz="4" w:space="0" w:color="auto"/>
              <w:right w:val="single" w:sz="4" w:space="0" w:color="auto"/>
            </w:tcBorders>
            <w:noWrap/>
            <w:vAlign w:val="bottom"/>
          </w:tcPr>
          <w:p w14:paraId="7474F62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(432) </w:t>
            </w:r>
          </w:p>
        </w:tc>
        <w:tc>
          <w:tcPr>
            <w:tcW w:w="992" w:type="dxa"/>
            <w:tcBorders>
              <w:top w:val="nil"/>
              <w:left w:val="nil"/>
              <w:bottom w:val="single" w:sz="4" w:space="0" w:color="auto"/>
              <w:right w:val="single" w:sz="4" w:space="0" w:color="auto"/>
            </w:tcBorders>
            <w:noWrap/>
            <w:vAlign w:val="bottom"/>
          </w:tcPr>
          <w:p w14:paraId="46154AC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nil"/>
              <w:left w:val="nil"/>
              <w:bottom w:val="single" w:sz="4" w:space="0" w:color="auto"/>
              <w:right w:val="single" w:sz="4" w:space="0" w:color="auto"/>
            </w:tcBorders>
            <w:noWrap/>
            <w:vAlign w:val="bottom"/>
          </w:tcPr>
          <w:p w14:paraId="39E2AF1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(14) </w:t>
            </w:r>
          </w:p>
        </w:tc>
        <w:tc>
          <w:tcPr>
            <w:tcW w:w="992" w:type="dxa"/>
            <w:tcBorders>
              <w:top w:val="nil"/>
              <w:left w:val="nil"/>
              <w:bottom w:val="single" w:sz="4" w:space="0" w:color="auto"/>
              <w:right w:val="single" w:sz="4" w:space="0" w:color="auto"/>
            </w:tcBorders>
            <w:noWrap/>
            <w:vAlign w:val="bottom"/>
          </w:tcPr>
          <w:p w14:paraId="4864471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(30) </w:t>
            </w:r>
          </w:p>
        </w:tc>
        <w:tc>
          <w:tcPr>
            <w:tcW w:w="1069" w:type="dxa"/>
            <w:tcBorders>
              <w:top w:val="nil"/>
              <w:left w:val="nil"/>
              <w:bottom w:val="single" w:sz="4" w:space="0" w:color="auto"/>
              <w:right w:val="single" w:sz="4" w:space="0" w:color="auto"/>
            </w:tcBorders>
            <w:noWrap/>
            <w:vAlign w:val="bottom"/>
          </w:tcPr>
          <w:p w14:paraId="4A093F7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(13) </w:t>
            </w:r>
          </w:p>
        </w:tc>
        <w:tc>
          <w:tcPr>
            <w:tcW w:w="1056" w:type="dxa"/>
            <w:tcBorders>
              <w:top w:val="nil"/>
              <w:left w:val="nil"/>
              <w:bottom w:val="single" w:sz="4" w:space="0" w:color="auto"/>
              <w:right w:val="single" w:sz="4" w:space="0" w:color="auto"/>
            </w:tcBorders>
            <w:noWrap/>
            <w:vAlign w:val="bottom"/>
          </w:tcPr>
          <w:p w14:paraId="5FD46B7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(375) </w:t>
            </w:r>
          </w:p>
        </w:tc>
      </w:tr>
      <w:tr w:rsidR="00717BA5" w:rsidRPr="00717BA5" w14:paraId="4F083665"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01598152" w14:textId="77777777" w:rsidR="00717BA5" w:rsidRPr="00717BA5" w:rsidRDefault="00717BA5" w:rsidP="00717BA5">
            <w:pPr>
              <w:spacing w:after="0" w:line="240" w:lineRule="auto"/>
              <w:rPr>
                <w:rFonts w:ascii="Arial" w:eastAsia="Times New Roman" w:hAnsi="Arial" w:cs="Arial"/>
                <w:b/>
                <w:i/>
                <w:color w:val="auto"/>
                <w:sz w:val="18"/>
                <w:szCs w:val="18"/>
                <w:lang w:eastAsia="zh-TW"/>
              </w:rPr>
            </w:pPr>
            <w:r w:rsidRPr="00717BA5">
              <w:rPr>
                <w:rFonts w:ascii="Arial" w:eastAsia="Times New Roman" w:hAnsi="Arial" w:cs="Arial"/>
                <w:b/>
                <w:i/>
                <w:color w:val="auto"/>
                <w:sz w:val="18"/>
                <w:szCs w:val="18"/>
                <w:lang w:eastAsia="zh-TW"/>
              </w:rPr>
              <w:t xml:space="preserve">Services </w:t>
            </w:r>
          </w:p>
        </w:tc>
        <w:tc>
          <w:tcPr>
            <w:tcW w:w="993" w:type="dxa"/>
            <w:tcBorders>
              <w:top w:val="nil"/>
              <w:left w:val="nil"/>
              <w:bottom w:val="single" w:sz="4" w:space="0" w:color="auto"/>
              <w:right w:val="single" w:sz="4" w:space="0" w:color="auto"/>
            </w:tcBorders>
            <w:noWrap/>
            <w:vAlign w:val="bottom"/>
          </w:tcPr>
          <w:p w14:paraId="61C2CDAD"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595 </w:t>
            </w:r>
          </w:p>
        </w:tc>
        <w:tc>
          <w:tcPr>
            <w:tcW w:w="992" w:type="dxa"/>
            <w:tcBorders>
              <w:top w:val="nil"/>
              <w:left w:val="nil"/>
              <w:bottom w:val="single" w:sz="4" w:space="0" w:color="auto"/>
              <w:right w:val="single" w:sz="4" w:space="0" w:color="auto"/>
            </w:tcBorders>
            <w:noWrap/>
            <w:vAlign w:val="bottom"/>
          </w:tcPr>
          <w:p w14:paraId="09594A1B"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592 </w:t>
            </w:r>
          </w:p>
        </w:tc>
        <w:tc>
          <w:tcPr>
            <w:tcW w:w="992" w:type="dxa"/>
            <w:tcBorders>
              <w:top w:val="nil"/>
              <w:left w:val="nil"/>
              <w:bottom w:val="single" w:sz="4" w:space="0" w:color="auto"/>
              <w:right w:val="single" w:sz="4" w:space="0" w:color="auto"/>
            </w:tcBorders>
            <w:noWrap/>
            <w:vAlign w:val="bottom"/>
          </w:tcPr>
          <w:p w14:paraId="417CAE19"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1 </w:t>
            </w:r>
          </w:p>
        </w:tc>
        <w:tc>
          <w:tcPr>
            <w:tcW w:w="992" w:type="dxa"/>
            <w:tcBorders>
              <w:top w:val="nil"/>
              <w:left w:val="nil"/>
              <w:bottom w:val="single" w:sz="4" w:space="0" w:color="auto"/>
              <w:right w:val="single" w:sz="4" w:space="0" w:color="auto"/>
            </w:tcBorders>
            <w:noWrap/>
            <w:vAlign w:val="bottom"/>
          </w:tcPr>
          <w:p w14:paraId="672FC913"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 </w:t>
            </w:r>
          </w:p>
        </w:tc>
        <w:tc>
          <w:tcPr>
            <w:tcW w:w="1069" w:type="dxa"/>
            <w:tcBorders>
              <w:top w:val="nil"/>
              <w:left w:val="nil"/>
              <w:bottom w:val="single" w:sz="4" w:space="0" w:color="auto"/>
              <w:right w:val="single" w:sz="4" w:space="0" w:color="auto"/>
            </w:tcBorders>
            <w:noWrap/>
            <w:vAlign w:val="bottom"/>
          </w:tcPr>
          <w:p w14:paraId="2F41CF7F"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1 </w:t>
            </w:r>
          </w:p>
        </w:tc>
        <w:tc>
          <w:tcPr>
            <w:tcW w:w="1056" w:type="dxa"/>
            <w:tcBorders>
              <w:top w:val="nil"/>
              <w:left w:val="nil"/>
              <w:bottom w:val="single" w:sz="4" w:space="0" w:color="auto"/>
              <w:right w:val="single" w:sz="4" w:space="0" w:color="auto"/>
            </w:tcBorders>
            <w:noWrap/>
            <w:vAlign w:val="bottom"/>
          </w:tcPr>
          <w:p w14:paraId="0AC1FCB4"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1 </w:t>
            </w:r>
          </w:p>
        </w:tc>
      </w:tr>
      <w:tr w:rsidR="00717BA5" w:rsidRPr="00717BA5" w14:paraId="09EA66F7"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091B9297"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Inactive accounts</w:t>
            </w:r>
          </w:p>
        </w:tc>
        <w:tc>
          <w:tcPr>
            <w:tcW w:w="993" w:type="dxa"/>
            <w:tcBorders>
              <w:top w:val="nil"/>
              <w:left w:val="nil"/>
              <w:bottom w:val="single" w:sz="4" w:space="0" w:color="auto"/>
              <w:right w:val="single" w:sz="4" w:space="0" w:color="auto"/>
            </w:tcBorders>
            <w:noWrap/>
            <w:vAlign w:val="bottom"/>
          </w:tcPr>
          <w:p w14:paraId="01D372C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p>
        </w:tc>
        <w:tc>
          <w:tcPr>
            <w:tcW w:w="992" w:type="dxa"/>
            <w:tcBorders>
              <w:top w:val="single" w:sz="4" w:space="0" w:color="auto"/>
              <w:left w:val="nil"/>
              <w:bottom w:val="single" w:sz="4" w:space="0" w:color="auto"/>
              <w:right w:val="single" w:sz="4" w:space="0" w:color="auto"/>
            </w:tcBorders>
            <w:noWrap/>
            <w:vAlign w:val="bottom"/>
          </w:tcPr>
          <w:p w14:paraId="27E7713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74F04AC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4171199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1069" w:type="dxa"/>
            <w:tcBorders>
              <w:top w:val="single" w:sz="4" w:space="0" w:color="auto"/>
              <w:left w:val="single" w:sz="4" w:space="0" w:color="auto"/>
              <w:bottom w:val="single" w:sz="4" w:space="0" w:color="auto"/>
              <w:right w:val="single" w:sz="4" w:space="0" w:color="auto"/>
            </w:tcBorders>
            <w:noWrap/>
            <w:vAlign w:val="bottom"/>
          </w:tcPr>
          <w:p w14:paraId="2AF0A92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1056" w:type="dxa"/>
            <w:tcBorders>
              <w:top w:val="single" w:sz="4" w:space="0" w:color="auto"/>
              <w:left w:val="single" w:sz="4" w:space="0" w:color="auto"/>
              <w:bottom w:val="single" w:sz="4" w:space="0" w:color="auto"/>
              <w:right w:val="single" w:sz="4" w:space="0" w:color="auto"/>
            </w:tcBorders>
            <w:noWrap/>
            <w:vAlign w:val="bottom"/>
          </w:tcPr>
          <w:p w14:paraId="6D950B9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r>
      <w:tr w:rsidR="00717BA5" w:rsidRPr="00717BA5" w14:paraId="548C5829"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007CD3BF"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Inactive accounts</w:t>
            </w:r>
          </w:p>
        </w:tc>
        <w:tc>
          <w:tcPr>
            <w:tcW w:w="993" w:type="dxa"/>
            <w:tcBorders>
              <w:top w:val="nil"/>
              <w:left w:val="nil"/>
              <w:bottom w:val="single" w:sz="4" w:space="0" w:color="auto"/>
              <w:right w:val="single" w:sz="4" w:space="0" w:color="auto"/>
            </w:tcBorders>
            <w:noWrap/>
            <w:vAlign w:val="bottom"/>
          </w:tcPr>
          <w:p w14:paraId="4FD3FAD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9 </w:t>
            </w:r>
          </w:p>
        </w:tc>
        <w:tc>
          <w:tcPr>
            <w:tcW w:w="992" w:type="dxa"/>
            <w:tcBorders>
              <w:top w:val="single" w:sz="4" w:space="0" w:color="auto"/>
              <w:left w:val="nil"/>
              <w:bottom w:val="single" w:sz="4" w:space="0" w:color="auto"/>
              <w:right w:val="single" w:sz="4" w:space="0" w:color="auto"/>
            </w:tcBorders>
            <w:noWrap/>
            <w:vAlign w:val="bottom"/>
          </w:tcPr>
          <w:p w14:paraId="124AC34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5932506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7A44A3C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69" w:type="dxa"/>
            <w:tcBorders>
              <w:top w:val="single" w:sz="4" w:space="0" w:color="auto"/>
              <w:left w:val="single" w:sz="4" w:space="0" w:color="auto"/>
              <w:bottom w:val="single" w:sz="4" w:space="0" w:color="auto"/>
              <w:right w:val="single" w:sz="4" w:space="0" w:color="auto"/>
            </w:tcBorders>
            <w:noWrap/>
            <w:vAlign w:val="bottom"/>
          </w:tcPr>
          <w:p w14:paraId="364B7031"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56" w:type="dxa"/>
            <w:tcBorders>
              <w:top w:val="single" w:sz="4" w:space="0" w:color="auto"/>
              <w:left w:val="single" w:sz="4" w:space="0" w:color="auto"/>
              <w:bottom w:val="single" w:sz="4" w:space="0" w:color="auto"/>
              <w:right w:val="single" w:sz="4" w:space="0" w:color="auto"/>
            </w:tcBorders>
            <w:noWrap/>
            <w:vAlign w:val="bottom"/>
          </w:tcPr>
          <w:p w14:paraId="071BE77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9 </w:t>
            </w:r>
          </w:p>
        </w:tc>
      </w:tr>
      <w:tr w:rsidR="00717BA5" w:rsidRPr="00717BA5" w14:paraId="195CE627"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271F0E1D"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Active accounts</w:t>
            </w:r>
          </w:p>
        </w:tc>
        <w:tc>
          <w:tcPr>
            <w:tcW w:w="993" w:type="dxa"/>
            <w:tcBorders>
              <w:top w:val="nil"/>
              <w:left w:val="nil"/>
              <w:bottom w:val="single" w:sz="4" w:space="0" w:color="auto"/>
              <w:right w:val="single" w:sz="4" w:space="0" w:color="auto"/>
            </w:tcBorders>
            <w:noWrap/>
            <w:vAlign w:val="bottom"/>
          </w:tcPr>
          <w:p w14:paraId="6D6D339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p>
        </w:tc>
        <w:tc>
          <w:tcPr>
            <w:tcW w:w="992" w:type="dxa"/>
            <w:tcBorders>
              <w:top w:val="single" w:sz="4" w:space="0" w:color="auto"/>
              <w:left w:val="nil"/>
              <w:bottom w:val="single" w:sz="4" w:space="0" w:color="auto"/>
              <w:right w:val="single" w:sz="4" w:space="0" w:color="auto"/>
            </w:tcBorders>
            <w:noWrap/>
            <w:vAlign w:val="bottom"/>
          </w:tcPr>
          <w:p w14:paraId="1162206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7C80AC9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6F6ABD2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w:t>
            </w:r>
          </w:p>
        </w:tc>
        <w:tc>
          <w:tcPr>
            <w:tcW w:w="1069" w:type="dxa"/>
            <w:tcBorders>
              <w:top w:val="single" w:sz="4" w:space="0" w:color="auto"/>
              <w:left w:val="single" w:sz="4" w:space="0" w:color="auto"/>
              <w:bottom w:val="single" w:sz="4" w:space="0" w:color="auto"/>
              <w:right w:val="single" w:sz="4" w:space="0" w:color="auto"/>
            </w:tcBorders>
            <w:noWrap/>
            <w:vAlign w:val="bottom"/>
          </w:tcPr>
          <w:p w14:paraId="6CE865C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c>
          <w:tcPr>
            <w:tcW w:w="1056" w:type="dxa"/>
            <w:tcBorders>
              <w:top w:val="single" w:sz="4" w:space="0" w:color="auto"/>
              <w:left w:val="single" w:sz="4" w:space="0" w:color="auto"/>
              <w:bottom w:val="single" w:sz="4" w:space="0" w:color="auto"/>
              <w:right w:val="single" w:sz="4" w:space="0" w:color="auto"/>
            </w:tcBorders>
            <w:noWrap/>
            <w:vAlign w:val="bottom"/>
          </w:tcPr>
          <w:p w14:paraId="2A94611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r>
      <w:tr w:rsidR="00717BA5" w:rsidRPr="00717BA5" w14:paraId="7860F4CB"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1BF62E40"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Active Accounts</w:t>
            </w:r>
          </w:p>
        </w:tc>
        <w:tc>
          <w:tcPr>
            <w:tcW w:w="993" w:type="dxa"/>
            <w:tcBorders>
              <w:top w:val="nil"/>
              <w:left w:val="nil"/>
              <w:bottom w:val="single" w:sz="4" w:space="0" w:color="auto"/>
              <w:right w:val="single" w:sz="4" w:space="0" w:color="auto"/>
            </w:tcBorders>
            <w:noWrap/>
            <w:vAlign w:val="bottom"/>
          </w:tcPr>
          <w:p w14:paraId="4E591D0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595 </w:t>
            </w:r>
          </w:p>
        </w:tc>
        <w:tc>
          <w:tcPr>
            <w:tcW w:w="992" w:type="dxa"/>
            <w:tcBorders>
              <w:top w:val="single" w:sz="4" w:space="0" w:color="auto"/>
              <w:left w:val="nil"/>
              <w:bottom w:val="single" w:sz="4" w:space="0" w:color="auto"/>
              <w:right w:val="single" w:sz="4" w:space="0" w:color="auto"/>
            </w:tcBorders>
            <w:noWrap/>
            <w:vAlign w:val="bottom"/>
          </w:tcPr>
          <w:p w14:paraId="4BBC405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592 </w:t>
            </w:r>
          </w:p>
        </w:tc>
        <w:tc>
          <w:tcPr>
            <w:tcW w:w="992" w:type="dxa"/>
            <w:tcBorders>
              <w:top w:val="single" w:sz="4" w:space="0" w:color="auto"/>
              <w:left w:val="single" w:sz="4" w:space="0" w:color="auto"/>
              <w:bottom w:val="single" w:sz="4" w:space="0" w:color="auto"/>
              <w:right w:val="single" w:sz="4" w:space="0" w:color="auto"/>
            </w:tcBorders>
            <w:noWrap/>
            <w:vAlign w:val="bottom"/>
          </w:tcPr>
          <w:p w14:paraId="0FFDCB9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 </w:t>
            </w:r>
          </w:p>
        </w:tc>
        <w:tc>
          <w:tcPr>
            <w:tcW w:w="992" w:type="dxa"/>
            <w:tcBorders>
              <w:top w:val="single" w:sz="4" w:space="0" w:color="auto"/>
              <w:left w:val="single" w:sz="4" w:space="0" w:color="auto"/>
              <w:bottom w:val="single" w:sz="4" w:space="0" w:color="auto"/>
              <w:right w:val="single" w:sz="4" w:space="0" w:color="auto"/>
            </w:tcBorders>
            <w:noWrap/>
            <w:vAlign w:val="bottom"/>
          </w:tcPr>
          <w:p w14:paraId="1677FBE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w:t>
            </w:r>
          </w:p>
        </w:tc>
        <w:tc>
          <w:tcPr>
            <w:tcW w:w="1069" w:type="dxa"/>
            <w:tcBorders>
              <w:top w:val="single" w:sz="4" w:space="0" w:color="auto"/>
              <w:left w:val="single" w:sz="4" w:space="0" w:color="auto"/>
              <w:bottom w:val="single" w:sz="4" w:space="0" w:color="auto"/>
              <w:right w:val="single" w:sz="4" w:space="0" w:color="auto"/>
            </w:tcBorders>
            <w:noWrap/>
            <w:vAlign w:val="bottom"/>
          </w:tcPr>
          <w:p w14:paraId="1406BE0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 </w:t>
            </w:r>
          </w:p>
        </w:tc>
        <w:tc>
          <w:tcPr>
            <w:tcW w:w="1056" w:type="dxa"/>
            <w:tcBorders>
              <w:top w:val="single" w:sz="4" w:space="0" w:color="auto"/>
              <w:left w:val="single" w:sz="4" w:space="0" w:color="auto"/>
              <w:bottom w:val="single" w:sz="4" w:space="0" w:color="auto"/>
              <w:right w:val="single" w:sz="4" w:space="0" w:color="auto"/>
            </w:tcBorders>
            <w:noWrap/>
            <w:vAlign w:val="bottom"/>
          </w:tcPr>
          <w:p w14:paraId="61B503D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 </w:t>
            </w:r>
          </w:p>
        </w:tc>
      </w:tr>
      <w:tr w:rsidR="00717BA5" w:rsidRPr="00717BA5" w14:paraId="616C71A3"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3A9BF799"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allowance</w:t>
            </w:r>
          </w:p>
        </w:tc>
        <w:tc>
          <w:tcPr>
            <w:tcW w:w="993" w:type="dxa"/>
            <w:tcBorders>
              <w:top w:val="nil"/>
              <w:left w:val="nil"/>
              <w:bottom w:val="single" w:sz="4" w:space="0" w:color="auto"/>
              <w:right w:val="single" w:sz="4" w:space="0" w:color="auto"/>
            </w:tcBorders>
            <w:noWrap/>
            <w:vAlign w:val="bottom"/>
          </w:tcPr>
          <w:p w14:paraId="0C76792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(9) </w:t>
            </w:r>
          </w:p>
        </w:tc>
        <w:tc>
          <w:tcPr>
            <w:tcW w:w="992" w:type="dxa"/>
            <w:tcBorders>
              <w:top w:val="single" w:sz="4" w:space="0" w:color="auto"/>
              <w:left w:val="nil"/>
              <w:bottom w:val="single" w:sz="4" w:space="0" w:color="auto"/>
              <w:right w:val="single" w:sz="4" w:space="0" w:color="auto"/>
            </w:tcBorders>
            <w:noWrap/>
            <w:vAlign w:val="bottom"/>
          </w:tcPr>
          <w:p w14:paraId="3811CAF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1DA3653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206F4E9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w:t>
            </w:r>
          </w:p>
        </w:tc>
        <w:tc>
          <w:tcPr>
            <w:tcW w:w="1069" w:type="dxa"/>
            <w:tcBorders>
              <w:top w:val="single" w:sz="4" w:space="0" w:color="auto"/>
              <w:left w:val="single" w:sz="4" w:space="0" w:color="auto"/>
              <w:bottom w:val="single" w:sz="4" w:space="0" w:color="auto"/>
              <w:right w:val="single" w:sz="4" w:space="0" w:color="auto"/>
            </w:tcBorders>
            <w:noWrap/>
            <w:vAlign w:val="bottom"/>
          </w:tcPr>
          <w:p w14:paraId="6925EB1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56" w:type="dxa"/>
            <w:tcBorders>
              <w:top w:val="single" w:sz="4" w:space="0" w:color="auto"/>
              <w:left w:val="single" w:sz="4" w:space="0" w:color="auto"/>
              <w:bottom w:val="single" w:sz="4" w:space="0" w:color="auto"/>
              <w:right w:val="single" w:sz="4" w:space="0" w:color="auto"/>
            </w:tcBorders>
            <w:noWrap/>
            <w:vAlign w:val="bottom"/>
          </w:tcPr>
          <w:p w14:paraId="6EB99A9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(9)</w:t>
            </w:r>
          </w:p>
        </w:tc>
      </w:tr>
      <w:tr w:rsidR="00717BA5" w:rsidRPr="00717BA5" w14:paraId="19D63BF4"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185071E1" w14:textId="77777777" w:rsidR="00717BA5" w:rsidRPr="00717BA5" w:rsidRDefault="00717BA5" w:rsidP="00717BA5">
            <w:pPr>
              <w:spacing w:after="0" w:line="240" w:lineRule="auto"/>
              <w:rPr>
                <w:rFonts w:ascii="Arial" w:eastAsia="Times New Roman" w:hAnsi="Arial" w:cs="Arial"/>
                <w:b/>
                <w:i/>
                <w:color w:val="auto"/>
                <w:sz w:val="18"/>
                <w:szCs w:val="18"/>
                <w:lang w:eastAsia="zh-TW"/>
              </w:rPr>
            </w:pPr>
            <w:r w:rsidRPr="00717BA5">
              <w:rPr>
                <w:rFonts w:ascii="Arial" w:eastAsia="Times New Roman" w:hAnsi="Arial" w:cs="Arial"/>
                <w:b/>
                <w:i/>
                <w:color w:val="auto"/>
                <w:sz w:val="18"/>
                <w:szCs w:val="18"/>
                <w:lang w:eastAsia="zh-TW"/>
              </w:rPr>
              <w:t>Community</w:t>
            </w:r>
          </w:p>
        </w:tc>
        <w:tc>
          <w:tcPr>
            <w:tcW w:w="993" w:type="dxa"/>
            <w:tcBorders>
              <w:top w:val="nil"/>
              <w:left w:val="nil"/>
              <w:bottom w:val="single" w:sz="4" w:space="0" w:color="auto"/>
              <w:right w:val="single" w:sz="4" w:space="0" w:color="auto"/>
            </w:tcBorders>
            <w:noWrap/>
            <w:vAlign w:val="bottom"/>
          </w:tcPr>
          <w:p w14:paraId="612D7B49"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6,936 </w:t>
            </w:r>
          </w:p>
        </w:tc>
        <w:tc>
          <w:tcPr>
            <w:tcW w:w="992" w:type="dxa"/>
            <w:tcBorders>
              <w:top w:val="single" w:sz="4" w:space="0" w:color="auto"/>
              <w:left w:val="nil"/>
              <w:bottom w:val="single" w:sz="4" w:space="0" w:color="auto"/>
              <w:right w:val="single" w:sz="4" w:space="0" w:color="auto"/>
            </w:tcBorders>
            <w:noWrap/>
            <w:vAlign w:val="bottom"/>
          </w:tcPr>
          <w:p w14:paraId="28DF825A"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6,126 </w:t>
            </w:r>
          </w:p>
        </w:tc>
        <w:tc>
          <w:tcPr>
            <w:tcW w:w="992" w:type="dxa"/>
            <w:tcBorders>
              <w:top w:val="single" w:sz="4" w:space="0" w:color="auto"/>
              <w:left w:val="nil"/>
              <w:bottom w:val="single" w:sz="4" w:space="0" w:color="auto"/>
              <w:right w:val="single" w:sz="4" w:space="0" w:color="auto"/>
            </w:tcBorders>
            <w:noWrap/>
            <w:vAlign w:val="bottom"/>
          </w:tcPr>
          <w:p w14:paraId="21988094"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314 </w:t>
            </w:r>
          </w:p>
        </w:tc>
        <w:tc>
          <w:tcPr>
            <w:tcW w:w="992" w:type="dxa"/>
            <w:tcBorders>
              <w:top w:val="single" w:sz="4" w:space="0" w:color="auto"/>
              <w:left w:val="nil"/>
              <w:bottom w:val="single" w:sz="4" w:space="0" w:color="auto"/>
              <w:right w:val="single" w:sz="4" w:space="0" w:color="auto"/>
            </w:tcBorders>
            <w:noWrap/>
            <w:vAlign w:val="bottom"/>
          </w:tcPr>
          <w:p w14:paraId="728964FC"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40 </w:t>
            </w:r>
          </w:p>
        </w:tc>
        <w:tc>
          <w:tcPr>
            <w:tcW w:w="1069" w:type="dxa"/>
            <w:tcBorders>
              <w:top w:val="single" w:sz="4" w:space="0" w:color="auto"/>
              <w:left w:val="nil"/>
              <w:bottom w:val="single" w:sz="4" w:space="0" w:color="auto"/>
              <w:right w:val="single" w:sz="4" w:space="0" w:color="auto"/>
            </w:tcBorders>
            <w:noWrap/>
            <w:vAlign w:val="bottom"/>
          </w:tcPr>
          <w:p w14:paraId="1BF412BB"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73 </w:t>
            </w:r>
          </w:p>
        </w:tc>
        <w:tc>
          <w:tcPr>
            <w:tcW w:w="1056" w:type="dxa"/>
            <w:tcBorders>
              <w:top w:val="single" w:sz="4" w:space="0" w:color="auto"/>
              <w:left w:val="nil"/>
              <w:bottom w:val="single" w:sz="4" w:space="0" w:color="auto"/>
              <w:right w:val="single" w:sz="4" w:space="0" w:color="auto"/>
            </w:tcBorders>
            <w:noWrap/>
            <w:vAlign w:val="bottom"/>
          </w:tcPr>
          <w:p w14:paraId="7D7F5B15"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383 </w:t>
            </w:r>
          </w:p>
        </w:tc>
      </w:tr>
      <w:tr w:rsidR="00717BA5" w:rsidRPr="00717BA5" w14:paraId="33FB6286"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4AC6B4EA"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Expected credit loss rate – Inactive </w:t>
            </w:r>
          </w:p>
        </w:tc>
        <w:tc>
          <w:tcPr>
            <w:tcW w:w="993" w:type="dxa"/>
            <w:tcBorders>
              <w:top w:val="nil"/>
              <w:left w:val="nil"/>
              <w:bottom w:val="single" w:sz="4" w:space="0" w:color="auto"/>
              <w:right w:val="single" w:sz="4" w:space="0" w:color="auto"/>
            </w:tcBorders>
            <w:noWrap/>
            <w:vAlign w:val="bottom"/>
          </w:tcPr>
          <w:p w14:paraId="4417547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p>
        </w:tc>
        <w:tc>
          <w:tcPr>
            <w:tcW w:w="992" w:type="dxa"/>
            <w:tcBorders>
              <w:top w:val="single" w:sz="4" w:space="0" w:color="auto"/>
              <w:left w:val="nil"/>
              <w:bottom w:val="single" w:sz="4" w:space="0" w:color="auto"/>
              <w:right w:val="single" w:sz="4" w:space="0" w:color="auto"/>
            </w:tcBorders>
            <w:noWrap/>
            <w:vAlign w:val="bottom"/>
          </w:tcPr>
          <w:p w14:paraId="4E1042C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60DFB00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0071CD0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1069" w:type="dxa"/>
            <w:tcBorders>
              <w:top w:val="single" w:sz="4" w:space="0" w:color="auto"/>
              <w:left w:val="single" w:sz="4" w:space="0" w:color="auto"/>
              <w:bottom w:val="single" w:sz="4" w:space="0" w:color="auto"/>
              <w:right w:val="single" w:sz="4" w:space="0" w:color="auto"/>
            </w:tcBorders>
            <w:noWrap/>
            <w:vAlign w:val="bottom"/>
          </w:tcPr>
          <w:p w14:paraId="28D4158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1056" w:type="dxa"/>
            <w:tcBorders>
              <w:top w:val="single" w:sz="4" w:space="0" w:color="auto"/>
              <w:left w:val="single" w:sz="4" w:space="0" w:color="auto"/>
              <w:bottom w:val="single" w:sz="4" w:space="0" w:color="auto"/>
              <w:right w:val="single" w:sz="4" w:space="0" w:color="auto"/>
            </w:tcBorders>
            <w:noWrap/>
            <w:vAlign w:val="bottom"/>
          </w:tcPr>
          <w:p w14:paraId="6B4AE9E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r>
      <w:tr w:rsidR="00717BA5" w:rsidRPr="00717BA5" w14:paraId="30E54664"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4DFF81A0"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Inactive accounts</w:t>
            </w:r>
          </w:p>
        </w:tc>
        <w:tc>
          <w:tcPr>
            <w:tcW w:w="993" w:type="dxa"/>
            <w:tcBorders>
              <w:top w:val="nil"/>
              <w:left w:val="nil"/>
              <w:bottom w:val="single" w:sz="4" w:space="0" w:color="auto"/>
              <w:right w:val="single" w:sz="4" w:space="0" w:color="auto"/>
            </w:tcBorders>
            <w:noWrap/>
            <w:vAlign w:val="bottom"/>
          </w:tcPr>
          <w:p w14:paraId="5E1CB3E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10 </w:t>
            </w:r>
          </w:p>
        </w:tc>
        <w:tc>
          <w:tcPr>
            <w:tcW w:w="992" w:type="dxa"/>
            <w:tcBorders>
              <w:top w:val="single" w:sz="4" w:space="0" w:color="auto"/>
              <w:left w:val="nil"/>
              <w:bottom w:val="single" w:sz="4" w:space="0" w:color="auto"/>
              <w:right w:val="single" w:sz="4" w:space="0" w:color="auto"/>
            </w:tcBorders>
            <w:noWrap/>
            <w:vAlign w:val="bottom"/>
          </w:tcPr>
          <w:p w14:paraId="0E2DE05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1104FB8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0732E05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69" w:type="dxa"/>
            <w:tcBorders>
              <w:top w:val="single" w:sz="4" w:space="0" w:color="auto"/>
              <w:left w:val="single" w:sz="4" w:space="0" w:color="auto"/>
              <w:bottom w:val="single" w:sz="4" w:space="0" w:color="auto"/>
              <w:right w:val="single" w:sz="4" w:space="0" w:color="auto"/>
            </w:tcBorders>
            <w:noWrap/>
            <w:vAlign w:val="bottom"/>
          </w:tcPr>
          <w:p w14:paraId="45D4F8B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56" w:type="dxa"/>
            <w:tcBorders>
              <w:top w:val="single" w:sz="4" w:space="0" w:color="auto"/>
              <w:left w:val="single" w:sz="4" w:space="0" w:color="auto"/>
              <w:bottom w:val="single" w:sz="4" w:space="0" w:color="auto"/>
              <w:right w:val="single" w:sz="4" w:space="0" w:color="auto"/>
            </w:tcBorders>
            <w:noWrap/>
            <w:vAlign w:val="bottom"/>
          </w:tcPr>
          <w:p w14:paraId="16575F0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10 </w:t>
            </w:r>
          </w:p>
        </w:tc>
      </w:tr>
      <w:tr w:rsidR="00717BA5" w:rsidRPr="00717BA5" w14:paraId="58C4AF0B"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66CA42AB"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Active accounts</w:t>
            </w:r>
          </w:p>
        </w:tc>
        <w:tc>
          <w:tcPr>
            <w:tcW w:w="993" w:type="dxa"/>
            <w:tcBorders>
              <w:top w:val="nil"/>
              <w:left w:val="nil"/>
              <w:bottom w:val="single" w:sz="4" w:space="0" w:color="auto"/>
              <w:right w:val="single" w:sz="4" w:space="0" w:color="auto"/>
            </w:tcBorders>
            <w:noWrap/>
            <w:vAlign w:val="bottom"/>
          </w:tcPr>
          <w:p w14:paraId="786C79E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p>
        </w:tc>
        <w:tc>
          <w:tcPr>
            <w:tcW w:w="992" w:type="dxa"/>
            <w:tcBorders>
              <w:top w:val="single" w:sz="4" w:space="0" w:color="auto"/>
              <w:left w:val="nil"/>
              <w:bottom w:val="single" w:sz="4" w:space="0" w:color="auto"/>
              <w:right w:val="single" w:sz="4" w:space="0" w:color="auto"/>
            </w:tcBorders>
            <w:noWrap/>
            <w:vAlign w:val="bottom"/>
          </w:tcPr>
          <w:p w14:paraId="748C8BD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4EDCE47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0B354F5F"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c>
          <w:tcPr>
            <w:tcW w:w="1069" w:type="dxa"/>
            <w:tcBorders>
              <w:top w:val="single" w:sz="4" w:space="0" w:color="auto"/>
              <w:left w:val="single" w:sz="4" w:space="0" w:color="auto"/>
              <w:bottom w:val="single" w:sz="4" w:space="0" w:color="auto"/>
              <w:right w:val="single" w:sz="4" w:space="0" w:color="auto"/>
            </w:tcBorders>
            <w:noWrap/>
            <w:vAlign w:val="bottom"/>
          </w:tcPr>
          <w:p w14:paraId="1732B47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c>
          <w:tcPr>
            <w:tcW w:w="1056" w:type="dxa"/>
            <w:tcBorders>
              <w:top w:val="single" w:sz="4" w:space="0" w:color="auto"/>
              <w:left w:val="single" w:sz="4" w:space="0" w:color="auto"/>
              <w:bottom w:val="single" w:sz="4" w:space="0" w:color="auto"/>
              <w:right w:val="single" w:sz="4" w:space="0" w:color="auto"/>
            </w:tcBorders>
            <w:noWrap/>
            <w:vAlign w:val="bottom"/>
          </w:tcPr>
          <w:p w14:paraId="0F41577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r>
      <w:tr w:rsidR="00717BA5" w:rsidRPr="00717BA5" w14:paraId="46AAEE71"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0C7C11CA"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Active Accounts</w:t>
            </w:r>
          </w:p>
        </w:tc>
        <w:tc>
          <w:tcPr>
            <w:tcW w:w="993" w:type="dxa"/>
            <w:tcBorders>
              <w:top w:val="nil"/>
              <w:left w:val="nil"/>
              <w:bottom w:val="single" w:sz="4" w:space="0" w:color="auto"/>
              <w:right w:val="single" w:sz="4" w:space="0" w:color="auto"/>
            </w:tcBorders>
            <w:noWrap/>
            <w:vAlign w:val="bottom"/>
          </w:tcPr>
          <w:p w14:paraId="0EC32F3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6,934 </w:t>
            </w:r>
          </w:p>
        </w:tc>
        <w:tc>
          <w:tcPr>
            <w:tcW w:w="992" w:type="dxa"/>
            <w:tcBorders>
              <w:top w:val="single" w:sz="4" w:space="0" w:color="auto"/>
              <w:left w:val="nil"/>
              <w:bottom w:val="single" w:sz="4" w:space="0" w:color="auto"/>
              <w:right w:val="single" w:sz="4" w:space="0" w:color="auto"/>
            </w:tcBorders>
            <w:noWrap/>
            <w:vAlign w:val="bottom"/>
          </w:tcPr>
          <w:p w14:paraId="70F78A6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6,124 </w:t>
            </w:r>
          </w:p>
        </w:tc>
        <w:tc>
          <w:tcPr>
            <w:tcW w:w="992" w:type="dxa"/>
            <w:tcBorders>
              <w:top w:val="single" w:sz="4" w:space="0" w:color="auto"/>
              <w:left w:val="single" w:sz="4" w:space="0" w:color="auto"/>
              <w:bottom w:val="single" w:sz="4" w:space="0" w:color="auto"/>
              <w:right w:val="single" w:sz="4" w:space="0" w:color="auto"/>
            </w:tcBorders>
            <w:noWrap/>
            <w:vAlign w:val="bottom"/>
          </w:tcPr>
          <w:p w14:paraId="638666F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314 </w:t>
            </w:r>
          </w:p>
        </w:tc>
        <w:tc>
          <w:tcPr>
            <w:tcW w:w="992" w:type="dxa"/>
            <w:tcBorders>
              <w:top w:val="single" w:sz="4" w:space="0" w:color="auto"/>
              <w:left w:val="single" w:sz="4" w:space="0" w:color="auto"/>
              <w:bottom w:val="single" w:sz="4" w:space="0" w:color="auto"/>
              <w:right w:val="single" w:sz="4" w:space="0" w:color="auto"/>
            </w:tcBorders>
            <w:noWrap/>
            <w:vAlign w:val="bottom"/>
          </w:tcPr>
          <w:p w14:paraId="3628026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40 </w:t>
            </w:r>
          </w:p>
        </w:tc>
        <w:tc>
          <w:tcPr>
            <w:tcW w:w="1069" w:type="dxa"/>
            <w:tcBorders>
              <w:top w:val="single" w:sz="4" w:space="0" w:color="auto"/>
              <w:left w:val="single" w:sz="4" w:space="0" w:color="auto"/>
              <w:bottom w:val="single" w:sz="4" w:space="0" w:color="auto"/>
              <w:right w:val="single" w:sz="4" w:space="0" w:color="auto"/>
            </w:tcBorders>
            <w:noWrap/>
            <w:vAlign w:val="bottom"/>
          </w:tcPr>
          <w:p w14:paraId="37F0A42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73 </w:t>
            </w:r>
          </w:p>
        </w:tc>
        <w:tc>
          <w:tcPr>
            <w:tcW w:w="1056" w:type="dxa"/>
            <w:tcBorders>
              <w:top w:val="single" w:sz="4" w:space="0" w:color="auto"/>
              <w:left w:val="single" w:sz="4" w:space="0" w:color="auto"/>
              <w:bottom w:val="single" w:sz="4" w:space="0" w:color="auto"/>
              <w:right w:val="single" w:sz="4" w:space="0" w:color="auto"/>
            </w:tcBorders>
            <w:noWrap/>
            <w:vAlign w:val="bottom"/>
          </w:tcPr>
          <w:p w14:paraId="25D710C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383 </w:t>
            </w:r>
          </w:p>
        </w:tc>
      </w:tr>
      <w:tr w:rsidR="00717BA5" w:rsidRPr="00717BA5" w14:paraId="6042D1DA"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268A4A95"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allowance</w:t>
            </w:r>
          </w:p>
        </w:tc>
        <w:tc>
          <w:tcPr>
            <w:tcW w:w="993" w:type="dxa"/>
            <w:tcBorders>
              <w:top w:val="nil"/>
              <w:left w:val="nil"/>
              <w:bottom w:val="single" w:sz="4" w:space="0" w:color="auto"/>
              <w:right w:val="single" w:sz="4" w:space="0" w:color="auto"/>
            </w:tcBorders>
            <w:noWrap/>
            <w:vAlign w:val="bottom"/>
          </w:tcPr>
          <w:p w14:paraId="225BEE5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(10) </w:t>
            </w:r>
          </w:p>
        </w:tc>
        <w:tc>
          <w:tcPr>
            <w:tcW w:w="992" w:type="dxa"/>
            <w:tcBorders>
              <w:top w:val="single" w:sz="4" w:space="0" w:color="auto"/>
              <w:left w:val="nil"/>
              <w:bottom w:val="single" w:sz="4" w:space="0" w:color="auto"/>
              <w:right w:val="single" w:sz="4" w:space="0" w:color="auto"/>
            </w:tcBorders>
            <w:noWrap/>
            <w:vAlign w:val="bottom"/>
          </w:tcPr>
          <w:p w14:paraId="3BD2C8D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206F75B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6F02A066"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69" w:type="dxa"/>
            <w:tcBorders>
              <w:top w:val="single" w:sz="4" w:space="0" w:color="auto"/>
              <w:left w:val="single" w:sz="4" w:space="0" w:color="auto"/>
              <w:bottom w:val="single" w:sz="4" w:space="0" w:color="auto"/>
              <w:right w:val="single" w:sz="4" w:space="0" w:color="auto"/>
            </w:tcBorders>
            <w:noWrap/>
            <w:vAlign w:val="bottom"/>
          </w:tcPr>
          <w:p w14:paraId="52D0637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56" w:type="dxa"/>
            <w:tcBorders>
              <w:top w:val="single" w:sz="4" w:space="0" w:color="auto"/>
              <w:left w:val="single" w:sz="4" w:space="0" w:color="auto"/>
              <w:bottom w:val="single" w:sz="4" w:space="0" w:color="auto"/>
              <w:right w:val="single" w:sz="4" w:space="0" w:color="auto"/>
            </w:tcBorders>
            <w:noWrap/>
            <w:vAlign w:val="bottom"/>
          </w:tcPr>
          <w:p w14:paraId="1F8584C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(10) </w:t>
            </w:r>
          </w:p>
        </w:tc>
      </w:tr>
      <w:tr w:rsidR="00717BA5" w:rsidRPr="00717BA5" w14:paraId="527DF062"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7E798E0E" w14:textId="77777777" w:rsidR="00717BA5" w:rsidRPr="00717BA5" w:rsidRDefault="00717BA5" w:rsidP="00717BA5">
            <w:pPr>
              <w:spacing w:after="0" w:line="240" w:lineRule="auto"/>
              <w:rPr>
                <w:rFonts w:ascii="Arial" w:eastAsia="Times New Roman" w:hAnsi="Arial" w:cs="Arial"/>
                <w:b/>
                <w:i/>
                <w:color w:val="auto"/>
                <w:sz w:val="18"/>
                <w:szCs w:val="18"/>
                <w:lang w:eastAsia="zh-TW"/>
              </w:rPr>
            </w:pPr>
            <w:r w:rsidRPr="00717BA5">
              <w:rPr>
                <w:rFonts w:ascii="Arial" w:eastAsia="Times New Roman" w:hAnsi="Arial" w:cs="Arial"/>
                <w:b/>
                <w:i/>
                <w:color w:val="auto"/>
                <w:sz w:val="18"/>
                <w:szCs w:val="18"/>
                <w:lang w:eastAsia="zh-TW"/>
              </w:rPr>
              <w:t>Security</w:t>
            </w:r>
          </w:p>
        </w:tc>
        <w:tc>
          <w:tcPr>
            <w:tcW w:w="993" w:type="dxa"/>
            <w:tcBorders>
              <w:top w:val="nil"/>
              <w:left w:val="nil"/>
              <w:bottom w:val="single" w:sz="4" w:space="0" w:color="auto"/>
              <w:right w:val="single" w:sz="4" w:space="0" w:color="auto"/>
            </w:tcBorders>
            <w:noWrap/>
            <w:vAlign w:val="bottom"/>
          </w:tcPr>
          <w:p w14:paraId="184BA494"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391 </w:t>
            </w:r>
          </w:p>
        </w:tc>
        <w:tc>
          <w:tcPr>
            <w:tcW w:w="992" w:type="dxa"/>
            <w:tcBorders>
              <w:top w:val="single" w:sz="4" w:space="0" w:color="auto"/>
              <w:left w:val="nil"/>
              <w:bottom w:val="single" w:sz="4" w:space="0" w:color="auto"/>
              <w:right w:val="single" w:sz="4" w:space="0" w:color="auto"/>
            </w:tcBorders>
            <w:noWrap/>
            <w:vAlign w:val="bottom"/>
          </w:tcPr>
          <w:p w14:paraId="28F56E0D"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369 </w:t>
            </w:r>
          </w:p>
        </w:tc>
        <w:tc>
          <w:tcPr>
            <w:tcW w:w="992" w:type="dxa"/>
            <w:tcBorders>
              <w:top w:val="single" w:sz="4" w:space="0" w:color="auto"/>
              <w:left w:val="nil"/>
              <w:bottom w:val="single" w:sz="4" w:space="0" w:color="auto"/>
              <w:right w:val="single" w:sz="4" w:space="0" w:color="auto"/>
            </w:tcBorders>
            <w:noWrap/>
            <w:vAlign w:val="bottom"/>
          </w:tcPr>
          <w:p w14:paraId="6A8BA99C"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5 </w:t>
            </w:r>
          </w:p>
        </w:tc>
        <w:tc>
          <w:tcPr>
            <w:tcW w:w="992" w:type="dxa"/>
            <w:tcBorders>
              <w:top w:val="single" w:sz="4" w:space="0" w:color="auto"/>
              <w:left w:val="nil"/>
              <w:bottom w:val="single" w:sz="4" w:space="0" w:color="auto"/>
              <w:right w:val="single" w:sz="4" w:space="0" w:color="auto"/>
            </w:tcBorders>
            <w:noWrap/>
            <w:vAlign w:val="bottom"/>
          </w:tcPr>
          <w:p w14:paraId="0AF6AB0E"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1 </w:t>
            </w:r>
          </w:p>
        </w:tc>
        <w:tc>
          <w:tcPr>
            <w:tcW w:w="1069" w:type="dxa"/>
            <w:tcBorders>
              <w:top w:val="single" w:sz="4" w:space="0" w:color="auto"/>
              <w:left w:val="nil"/>
              <w:bottom w:val="single" w:sz="4" w:space="0" w:color="auto"/>
              <w:right w:val="single" w:sz="4" w:space="0" w:color="auto"/>
            </w:tcBorders>
            <w:noWrap/>
            <w:vAlign w:val="bottom"/>
          </w:tcPr>
          <w:p w14:paraId="340CE259"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4 </w:t>
            </w:r>
          </w:p>
        </w:tc>
        <w:tc>
          <w:tcPr>
            <w:tcW w:w="1056" w:type="dxa"/>
            <w:tcBorders>
              <w:top w:val="single" w:sz="4" w:space="0" w:color="auto"/>
              <w:left w:val="nil"/>
              <w:bottom w:val="single" w:sz="4" w:space="0" w:color="auto"/>
              <w:right w:val="single" w:sz="4" w:space="0" w:color="auto"/>
            </w:tcBorders>
            <w:noWrap/>
            <w:vAlign w:val="bottom"/>
          </w:tcPr>
          <w:p w14:paraId="6D5434E4" w14:textId="77777777" w:rsidR="00717BA5" w:rsidRPr="00717BA5" w:rsidRDefault="00717BA5" w:rsidP="00717BA5">
            <w:pPr>
              <w:spacing w:after="0" w:line="240" w:lineRule="auto"/>
              <w:jc w:val="right"/>
              <w:rPr>
                <w:rFonts w:ascii="Arial" w:eastAsia="Times New Roman" w:hAnsi="Arial" w:cs="Arial"/>
                <w:b/>
                <w:bCs/>
                <w:color w:val="auto"/>
                <w:sz w:val="18"/>
                <w:szCs w:val="18"/>
                <w:lang w:eastAsia="zh-TW"/>
              </w:rPr>
            </w:pPr>
            <w:r w:rsidRPr="00717BA5">
              <w:rPr>
                <w:rFonts w:ascii="Arial" w:eastAsia="Times New Roman" w:hAnsi="Arial" w:cs="Arial"/>
                <w:b/>
                <w:bCs/>
                <w:color w:val="auto"/>
                <w:sz w:val="18"/>
                <w:szCs w:val="18"/>
                <w:lang w:eastAsia="zh-TW"/>
              </w:rPr>
              <w:t xml:space="preserve"> 12 </w:t>
            </w:r>
          </w:p>
        </w:tc>
      </w:tr>
      <w:tr w:rsidR="00717BA5" w:rsidRPr="00717BA5" w14:paraId="0782EEBC"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447BCC9F"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Inactive accounts</w:t>
            </w:r>
          </w:p>
        </w:tc>
        <w:tc>
          <w:tcPr>
            <w:tcW w:w="993" w:type="dxa"/>
            <w:tcBorders>
              <w:top w:val="nil"/>
              <w:left w:val="nil"/>
              <w:bottom w:val="single" w:sz="4" w:space="0" w:color="auto"/>
              <w:right w:val="single" w:sz="4" w:space="0" w:color="auto"/>
            </w:tcBorders>
            <w:noWrap/>
            <w:vAlign w:val="bottom"/>
          </w:tcPr>
          <w:p w14:paraId="5C65D49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p>
        </w:tc>
        <w:tc>
          <w:tcPr>
            <w:tcW w:w="992" w:type="dxa"/>
            <w:tcBorders>
              <w:top w:val="single" w:sz="4" w:space="0" w:color="auto"/>
              <w:left w:val="nil"/>
              <w:bottom w:val="single" w:sz="4" w:space="0" w:color="auto"/>
              <w:right w:val="single" w:sz="4" w:space="0" w:color="auto"/>
            </w:tcBorders>
            <w:noWrap/>
            <w:vAlign w:val="bottom"/>
          </w:tcPr>
          <w:p w14:paraId="499A779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45EB56B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992" w:type="dxa"/>
            <w:tcBorders>
              <w:top w:val="single" w:sz="4" w:space="0" w:color="auto"/>
              <w:left w:val="single" w:sz="4" w:space="0" w:color="auto"/>
              <w:bottom w:val="single" w:sz="4" w:space="0" w:color="auto"/>
              <w:right w:val="single" w:sz="4" w:space="0" w:color="auto"/>
            </w:tcBorders>
            <w:noWrap/>
            <w:vAlign w:val="bottom"/>
          </w:tcPr>
          <w:p w14:paraId="706A896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1069" w:type="dxa"/>
            <w:tcBorders>
              <w:top w:val="single" w:sz="4" w:space="0" w:color="auto"/>
              <w:left w:val="single" w:sz="4" w:space="0" w:color="auto"/>
              <w:bottom w:val="single" w:sz="4" w:space="0" w:color="auto"/>
              <w:right w:val="single" w:sz="4" w:space="0" w:color="auto"/>
            </w:tcBorders>
            <w:noWrap/>
            <w:vAlign w:val="bottom"/>
          </w:tcPr>
          <w:p w14:paraId="422686A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c>
          <w:tcPr>
            <w:tcW w:w="1056" w:type="dxa"/>
            <w:tcBorders>
              <w:top w:val="single" w:sz="4" w:space="0" w:color="auto"/>
              <w:left w:val="single" w:sz="4" w:space="0" w:color="auto"/>
              <w:bottom w:val="single" w:sz="4" w:space="0" w:color="auto"/>
              <w:right w:val="single" w:sz="4" w:space="0" w:color="auto"/>
            </w:tcBorders>
            <w:noWrap/>
            <w:vAlign w:val="bottom"/>
          </w:tcPr>
          <w:p w14:paraId="5B091BF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100%</w:t>
            </w:r>
          </w:p>
        </w:tc>
      </w:tr>
      <w:tr w:rsidR="00717BA5" w:rsidRPr="00717BA5" w14:paraId="1E031BBB"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hideMark/>
          </w:tcPr>
          <w:p w14:paraId="450D5C84"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Inactive accounts</w:t>
            </w:r>
          </w:p>
        </w:tc>
        <w:tc>
          <w:tcPr>
            <w:tcW w:w="993" w:type="dxa"/>
            <w:tcBorders>
              <w:top w:val="nil"/>
              <w:left w:val="nil"/>
              <w:bottom w:val="single" w:sz="4" w:space="0" w:color="auto"/>
              <w:right w:val="single" w:sz="4" w:space="0" w:color="auto"/>
            </w:tcBorders>
            <w:noWrap/>
            <w:vAlign w:val="bottom"/>
          </w:tcPr>
          <w:p w14:paraId="2CA312F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 </w:t>
            </w:r>
          </w:p>
        </w:tc>
        <w:tc>
          <w:tcPr>
            <w:tcW w:w="992" w:type="dxa"/>
            <w:tcBorders>
              <w:top w:val="single" w:sz="4" w:space="0" w:color="auto"/>
              <w:left w:val="nil"/>
              <w:bottom w:val="single" w:sz="4" w:space="0" w:color="auto"/>
              <w:right w:val="single" w:sz="4" w:space="0" w:color="auto"/>
            </w:tcBorders>
            <w:noWrap/>
            <w:vAlign w:val="bottom"/>
          </w:tcPr>
          <w:p w14:paraId="071B4D80"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3D78CAB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5E05B68E"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69" w:type="dxa"/>
            <w:tcBorders>
              <w:top w:val="single" w:sz="4" w:space="0" w:color="auto"/>
              <w:left w:val="single" w:sz="4" w:space="0" w:color="auto"/>
              <w:bottom w:val="single" w:sz="4" w:space="0" w:color="auto"/>
              <w:right w:val="single" w:sz="4" w:space="0" w:color="auto"/>
            </w:tcBorders>
            <w:noWrap/>
            <w:vAlign w:val="bottom"/>
          </w:tcPr>
          <w:p w14:paraId="1C394AE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56" w:type="dxa"/>
            <w:tcBorders>
              <w:top w:val="single" w:sz="4" w:space="0" w:color="auto"/>
              <w:left w:val="single" w:sz="4" w:space="0" w:color="auto"/>
              <w:bottom w:val="single" w:sz="4" w:space="0" w:color="auto"/>
              <w:right w:val="single" w:sz="4" w:space="0" w:color="auto"/>
            </w:tcBorders>
            <w:noWrap/>
            <w:vAlign w:val="bottom"/>
          </w:tcPr>
          <w:p w14:paraId="5CFAD67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 </w:t>
            </w:r>
          </w:p>
        </w:tc>
      </w:tr>
      <w:tr w:rsidR="00717BA5" w:rsidRPr="00717BA5" w14:paraId="48BAF77C"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784B8FC0"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rate – Active accounts</w:t>
            </w:r>
          </w:p>
        </w:tc>
        <w:tc>
          <w:tcPr>
            <w:tcW w:w="993" w:type="dxa"/>
            <w:tcBorders>
              <w:top w:val="nil"/>
              <w:left w:val="nil"/>
              <w:bottom w:val="single" w:sz="4" w:space="0" w:color="auto"/>
              <w:right w:val="single" w:sz="4" w:space="0" w:color="auto"/>
            </w:tcBorders>
            <w:noWrap/>
            <w:vAlign w:val="bottom"/>
          </w:tcPr>
          <w:p w14:paraId="05D6A92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p>
        </w:tc>
        <w:tc>
          <w:tcPr>
            <w:tcW w:w="992" w:type="dxa"/>
            <w:tcBorders>
              <w:top w:val="single" w:sz="4" w:space="0" w:color="auto"/>
              <w:left w:val="nil"/>
              <w:bottom w:val="single" w:sz="4" w:space="0" w:color="auto"/>
              <w:right w:val="single" w:sz="4" w:space="0" w:color="auto"/>
            </w:tcBorders>
            <w:noWrap/>
            <w:vAlign w:val="bottom"/>
          </w:tcPr>
          <w:p w14:paraId="1723B59A"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c>
          <w:tcPr>
            <w:tcW w:w="992" w:type="dxa"/>
            <w:tcBorders>
              <w:top w:val="single" w:sz="4" w:space="0" w:color="auto"/>
              <w:left w:val="single" w:sz="4" w:space="0" w:color="auto"/>
              <w:bottom w:val="single" w:sz="4" w:space="0" w:color="auto"/>
              <w:right w:val="single" w:sz="4" w:space="0" w:color="auto"/>
            </w:tcBorders>
            <w:noWrap/>
            <w:vAlign w:val="bottom"/>
          </w:tcPr>
          <w:p w14:paraId="4FFAA18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5%</w:t>
            </w:r>
          </w:p>
        </w:tc>
        <w:tc>
          <w:tcPr>
            <w:tcW w:w="992" w:type="dxa"/>
            <w:tcBorders>
              <w:top w:val="single" w:sz="4" w:space="0" w:color="auto"/>
              <w:left w:val="single" w:sz="4" w:space="0" w:color="auto"/>
              <w:bottom w:val="single" w:sz="4" w:space="0" w:color="auto"/>
              <w:right w:val="single" w:sz="4" w:space="0" w:color="auto"/>
            </w:tcBorders>
            <w:noWrap/>
            <w:vAlign w:val="bottom"/>
          </w:tcPr>
          <w:p w14:paraId="5D135D95"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17%</w:t>
            </w:r>
          </w:p>
        </w:tc>
        <w:tc>
          <w:tcPr>
            <w:tcW w:w="1069" w:type="dxa"/>
            <w:tcBorders>
              <w:top w:val="single" w:sz="4" w:space="0" w:color="auto"/>
              <w:left w:val="single" w:sz="4" w:space="0" w:color="auto"/>
              <w:bottom w:val="single" w:sz="4" w:space="0" w:color="auto"/>
              <w:right w:val="single" w:sz="4" w:space="0" w:color="auto"/>
            </w:tcBorders>
            <w:noWrap/>
            <w:vAlign w:val="bottom"/>
          </w:tcPr>
          <w:p w14:paraId="4AF9F70B"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0%</w:t>
            </w:r>
          </w:p>
        </w:tc>
        <w:tc>
          <w:tcPr>
            <w:tcW w:w="1056" w:type="dxa"/>
            <w:tcBorders>
              <w:top w:val="single" w:sz="4" w:space="0" w:color="auto"/>
              <w:left w:val="single" w:sz="4" w:space="0" w:color="auto"/>
              <w:bottom w:val="single" w:sz="4" w:space="0" w:color="auto"/>
              <w:right w:val="single" w:sz="4" w:space="0" w:color="auto"/>
            </w:tcBorders>
            <w:noWrap/>
            <w:vAlign w:val="bottom"/>
          </w:tcPr>
          <w:p w14:paraId="728739A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16%</w:t>
            </w:r>
          </w:p>
        </w:tc>
      </w:tr>
      <w:tr w:rsidR="00717BA5" w:rsidRPr="00717BA5" w14:paraId="0B29B169" w14:textId="77777777" w:rsidTr="00F0752D">
        <w:trPr>
          <w:trHeight w:val="20"/>
        </w:trPr>
        <w:tc>
          <w:tcPr>
            <w:tcW w:w="3851" w:type="dxa"/>
            <w:tcBorders>
              <w:top w:val="nil"/>
              <w:left w:val="single" w:sz="4" w:space="0" w:color="auto"/>
              <w:bottom w:val="single" w:sz="4" w:space="0" w:color="auto"/>
              <w:right w:val="single" w:sz="4" w:space="0" w:color="auto"/>
            </w:tcBorders>
            <w:noWrap/>
            <w:vAlign w:val="bottom"/>
          </w:tcPr>
          <w:p w14:paraId="47B51ECC"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Estimated total gross carrying amount at risk of default – Active Accounts</w:t>
            </w:r>
          </w:p>
        </w:tc>
        <w:tc>
          <w:tcPr>
            <w:tcW w:w="993" w:type="dxa"/>
            <w:tcBorders>
              <w:top w:val="nil"/>
              <w:left w:val="nil"/>
              <w:bottom w:val="single" w:sz="4" w:space="0" w:color="auto"/>
              <w:right w:val="single" w:sz="4" w:space="0" w:color="auto"/>
            </w:tcBorders>
            <w:noWrap/>
            <w:vAlign w:val="bottom"/>
          </w:tcPr>
          <w:p w14:paraId="0A6B4E4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394 </w:t>
            </w:r>
          </w:p>
        </w:tc>
        <w:tc>
          <w:tcPr>
            <w:tcW w:w="992" w:type="dxa"/>
            <w:tcBorders>
              <w:top w:val="single" w:sz="4" w:space="0" w:color="auto"/>
              <w:left w:val="nil"/>
              <w:bottom w:val="single" w:sz="4" w:space="0" w:color="auto"/>
              <w:right w:val="single" w:sz="4" w:space="0" w:color="auto"/>
            </w:tcBorders>
            <w:noWrap/>
            <w:vAlign w:val="bottom"/>
          </w:tcPr>
          <w:p w14:paraId="51A6CF4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369 </w:t>
            </w:r>
          </w:p>
        </w:tc>
        <w:tc>
          <w:tcPr>
            <w:tcW w:w="992" w:type="dxa"/>
            <w:tcBorders>
              <w:top w:val="single" w:sz="4" w:space="0" w:color="auto"/>
              <w:left w:val="single" w:sz="4" w:space="0" w:color="auto"/>
              <w:bottom w:val="single" w:sz="4" w:space="0" w:color="auto"/>
              <w:right w:val="single" w:sz="4" w:space="0" w:color="auto"/>
            </w:tcBorders>
            <w:noWrap/>
            <w:vAlign w:val="bottom"/>
          </w:tcPr>
          <w:p w14:paraId="076B0707"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5 </w:t>
            </w:r>
          </w:p>
        </w:tc>
        <w:tc>
          <w:tcPr>
            <w:tcW w:w="992" w:type="dxa"/>
            <w:tcBorders>
              <w:top w:val="single" w:sz="4" w:space="0" w:color="auto"/>
              <w:left w:val="single" w:sz="4" w:space="0" w:color="auto"/>
              <w:bottom w:val="single" w:sz="4" w:space="0" w:color="auto"/>
              <w:right w:val="single" w:sz="4" w:space="0" w:color="auto"/>
            </w:tcBorders>
            <w:noWrap/>
            <w:vAlign w:val="bottom"/>
          </w:tcPr>
          <w:p w14:paraId="2FF9536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 </w:t>
            </w:r>
          </w:p>
        </w:tc>
        <w:tc>
          <w:tcPr>
            <w:tcW w:w="1069" w:type="dxa"/>
            <w:tcBorders>
              <w:top w:val="single" w:sz="4" w:space="0" w:color="auto"/>
              <w:left w:val="single" w:sz="4" w:space="0" w:color="auto"/>
              <w:bottom w:val="single" w:sz="4" w:space="0" w:color="auto"/>
              <w:right w:val="single" w:sz="4" w:space="0" w:color="auto"/>
            </w:tcBorders>
            <w:noWrap/>
            <w:vAlign w:val="bottom"/>
          </w:tcPr>
          <w:p w14:paraId="0B01C202"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4 </w:t>
            </w:r>
          </w:p>
        </w:tc>
        <w:tc>
          <w:tcPr>
            <w:tcW w:w="1056" w:type="dxa"/>
            <w:tcBorders>
              <w:top w:val="single" w:sz="4" w:space="0" w:color="auto"/>
              <w:left w:val="single" w:sz="4" w:space="0" w:color="auto"/>
              <w:bottom w:val="single" w:sz="4" w:space="0" w:color="auto"/>
              <w:right w:val="single" w:sz="4" w:space="0" w:color="auto"/>
            </w:tcBorders>
            <w:noWrap/>
            <w:vAlign w:val="bottom"/>
          </w:tcPr>
          <w:p w14:paraId="5D7C788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15 </w:t>
            </w:r>
          </w:p>
        </w:tc>
      </w:tr>
      <w:tr w:rsidR="00717BA5" w:rsidRPr="00717BA5" w14:paraId="22CD4D9C" w14:textId="77777777" w:rsidTr="00F0752D">
        <w:trPr>
          <w:trHeight w:val="20"/>
        </w:trPr>
        <w:tc>
          <w:tcPr>
            <w:tcW w:w="3851" w:type="dxa"/>
            <w:tcBorders>
              <w:top w:val="single" w:sz="4" w:space="0" w:color="auto"/>
              <w:left w:val="single" w:sz="4" w:space="0" w:color="auto"/>
              <w:bottom w:val="single" w:sz="4" w:space="0" w:color="auto"/>
              <w:right w:val="single" w:sz="4" w:space="0" w:color="auto"/>
            </w:tcBorders>
            <w:noWrap/>
            <w:vAlign w:val="bottom"/>
            <w:hideMark/>
          </w:tcPr>
          <w:p w14:paraId="5987CA1B" w14:textId="77777777" w:rsidR="00717BA5" w:rsidRPr="00717BA5" w:rsidRDefault="00717BA5" w:rsidP="00717BA5">
            <w:pPr>
              <w:spacing w:after="0" w:line="240" w:lineRule="auto"/>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Expected credit loss allowance</w:t>
            </w:r>
          </w:p>
        </w:tc>
        <w:tc>
          <w:tcPr>
            <w:tcW w:w="993" w:type="dxa"/>
            <w:tcBorders>
              <w:top w:val="single" w:sz="4" w:space="0" w:color="auto"/>
              <w:left w:val="nil"/>
              <w:bottom w:val="single" w:sz="4" w:space="0" w:color="auto"/>
              <w:right w:val="single" w:sz="4" w:space="0" w:color="auto"/>
            </w:tcBorders>
            <w:noWrap/>
            <w:vAlign w:val="bottom"/>
          </w:tcPr>
          <w:p w14:paraId="49615A28"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(4) </w:t>
            </w:r>
          </w:p>
        </w:tc>
        <w:tc>
          <w:tcPr>
            <w:tcW w:w="992" w:type="dxa"/>
            <w:tcBorders>
              <w:top w:val="single" w:sz="4" w:space="0" w:color="auto"/>
              <w:left w:val="nil"/>
              <w:bottom w:val="single" w:sz="4" w:space="0" w:color="auto"/>
              <w:right w:val="single" w:sz="4" w:space="0" w:color="auto"/>
            </w:tcBorders>
            <w:noWrap/>
            <w:vAlign w:val="bottom"/>
          </w:tcPr>
          <w:p w14:paraId="36CC7D09"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992" w:type="dxa"/>
            <w:tcBorders>
              <w:top w:val="single" w:sz="4" w:space="0" w:color="auto"/>
              <w:left w:val="single" w:sz="4" w:space="0" w:color="auto"/>
              <w:bottom w:val="single" w:sz="4" w:space="0" w:color="auto"/>
              <w:right w:val="single" w:sz="4" w:space="0" w:color="auto"/>
            </w:tcBorders>
            <w:noWrap/>
            <w:vAlign w:val="bottom"/>
          </w:tcPr>
          <w:p w14:paraId="5DE58734"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w:t>
            </w:r>
          </w:p>
        </w:tc>
        <w:tc>
          <w:tcPr>
            <w:tcW w:w="992" w:type="dxa"/>
            <w:tcBorders>
              <w:top w:val="single" w:sz="4" w:space="0" w:color="auto"/>
              <w:left w:val="single" w:sz="4" w:space="0" w:color="auto"/>
              <w:bottom w:val="single" w:sz="4" w:space="0" w:color="auto"/>
              <w:right w:val="single" w:sz="4" w:space="0" w:color="auto"/>
            </w:tcBorders>
            <w:noWrap/>
            <w:vAlign w:val="bottom"/>
          </w:tcPr>
          <w:p w14:paraId="4980B3ED"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69" w:type="dxa"/>
            <w:tcBorders>
              <w:top w:val="single" w:sz="4" w:space="0" w:color="auto"/>
              <w:left w:val="single" w:sz="4" w:space="0" w:color="auto"/>
              <w:bottom w:val="single" w:sz="4" w:space="0" w:color="auto"/>
              <w:right w:val="single" w:sz="4" w:space="0" w:color="auto"/>
            </w:tcBorders>
            <w:noWrap/>
            <w:vAlign w:val="bottom"/>
          </w:tcPr>
          <w:p w14:paraId="6983635C"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   </w:t>
            </w:r>
          </w:p>
        </w:tc>
        <w:tc>
          <w:tcPr>
            <w:tcW w:w="1056" w:type="dxa"/>
            <w:tcBorders>
              <w:top w:val="single" w:sz="4" w:space="0" w:color="auto"/>
              <w:left w:val="single" w:sz="4" w:space="0" w:color="auto"/>
              <w:bottom w:val="single" w:sz="4" w:space="0" w:color="auto"/>
              <w:right w:val="single" w:sz="4" w:space="0" w:color="auto"/>
            </w:tcBorders>
            <w:noWrap/>
            <w:vAlign w:val="bottom"/>
          </w:tcPr>
          <w:p w14:paraId="7087BF93" w14:textId="77777777" w:rsidR="00717BA5" w:rsidRPr="00717BA5" w:rsidRDefault="00717BA5" w:rsidP="00717BA5">
            <w:pPr>
              <w:spacing w:after="0" w:line="240" w:lineRule="auto"/>
              <w:jc w:val="right"/>
              <w:rPr>
                <w:rFonts w:ascii="Arial" w:eastAsia="Times New Roman" w:hAnsi="Arial" w:cs="Arial"/>
                <w:color w:val="auto"/>
                <w:sz w:val="18"/>
                <w:szCs w:val="18"/>
                <w:lang w:eastAsia="zh-TW"/>
              </w:rPr>
            </w:pPr>
            <w:r w:rsidRPr="00717BA5">
              <w:rPr>
                <w:rFonts w:ascii="Arial" w:eastAsia="Times New Roman" w:hAnsi="Arial" w:cs="Arial"/>
                <w:color w:val="auto"/>
                <w:sz w:val="18"/>
                <w:szCs w:val="18"/>
                <w:lang w:eastAsia="zh-TW"/>
              </w:rPr>
              <w:t xml:space="preserve"> (4) </w:t>
            </w:r>
          </w:p>
        </w:tc>
      </w:tr>
    </w:tbl>
    <w:p w14:paraId="4D9455B5" w14:textId="77777777" w:rsidR="00717BA5" w:rsidRPr="00717BA5" w:rsidRDefault="00717BA5" w:rsidP="009B3326">
      <w:pPr>
        <w:spacing w:after="240" w:line="240" w:lineRule="auto"/>
        <w:jc w:val="both"/>
        <w:rPr>
          <w:rFonts w:ascii="Arial" w:eastAsia="Times New Roman" w:hAnsi="Arial" w:cs="Arial"/>
          <w:b/>
          <w:caps/>
          <w:color w:val="auto"/>
          <w:sz w:val="24"/>
          <w:szCs w:val="24"/>
          <w:lang w:val="en-AU"/>
        </w:rPr>
      </w:pPr>
    </w:p>
    <w:p w14:paraId="4EA8E59B" w14:textId="77777777" w:rsidR="00717BA5" w:rsidRPr="00717BA5" w:rsidRDefault="00717BA5" w:rsidP="00717BA5">
      <w:pPr>
        <w:spacing w:after="0" w:line="240" w:lineRule="auto"/>
        <w:rPr>
          <w:rFonts w:ascii="Arial" w:eastAsia="Times New Roman" w:hAnsi="Arial" w:cs="Arial"/>
          <w:b/>
          <w:bCs/>
          <w:color w:val="auto"/>
          <w:sz w:val="24"/>
          <w:szCs w:val="24"/>
          <w:lang w:val="en-AU"/>
        </w:rPr>
      </w:pPr>
      <w:r w:rsidRPr="00717BA5">
        <w:rPr>
          <w:rFonts w:ascii="Arial" w:eastAsia="SimSun" w:hAnsi="Arial" w:cs="Arial"/>
          <w:i/>
          <w:iCs/>
          <w:color w:val="auto"/>
          <w:sz w:val="24"/>
          <w:szCs w:val="24"/>
          <w:lang w:val="en-AU"/>
        </w:rPr>
        <w:br w:type="page"/>
      </w:r>
    </w:p>
    <w:p w14:paraId="407D57E1" w14:textId="77777777" w:rsidR="00717BA5" w:rsidRPr="00717BA5" w:rsidRDefault="00717BA5" w:rsidP="00D7361A">
      <w:pPr>
        <w:pStyle w:val="Heading5"/>
      </w:pPr>
      <w:r w:rsidRPr="00717BA5">
        <w:lastRenderedPageBreak/>
        <w:t>NOTE 13.   PROPERTY, PLANT AND EQUIPMENT</w:t>
      </w:r>
    </w:p>
    <w:p w14:paraId="23A13426"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Description and Material Accounting Policies Relating to Property, Plant and Equipment</w:t>
      </w:r>
    </w:p>
    <w:p w14:paraId="7A5A4E5F"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Property, plant and equipment</w:t>
      </w:r>
      <w:r w:rsidRPr="00717BA5">
        <w:rPr>
          <w:rFonts w:ascii="Arial" w:eastAsia="Times New Roman" w:hAnsi="Arial" w:cs="Calibri"/>
          <w:color w:val="auto"/>
          <w:lang w:val="en-AU"/>
        </w:rPr>
        <w:t xml:space="preserve"> (PPE) includes the following classes of assets.</w:t>
      </w:r>
    </w:p>
    <w:p w14:paraId="757D9808" w14:textId="77777777" w:rsidR="00717BA5" w:rsidRPr="00717BA5" w:rsidRDefault="00717BA5" w:rsidP="000A630C">
      <w:pPr>
        <w:pStyle w:val="ListBullet"/>
      </w:pPr>
      <w:r w:rsidRPr="00717BA5">
        <w:rPr>
          <w:b/>
          <w:bCs/>
        </w:rPr>
        <w:t xml:space="preserve">Right-Of-Use Buildings </w:t>
      </w:r>
      <w:r w:rsidRPr="00717BA5">
        <w:t>are leased structures and land improvements that are separately identifiable from land they are constructed upon. Right-Of-Use Buildings include the office building ACT Leave leases for its business operation.</w:t>
      </w:r>
    </w:p>
    <w:p w14:paraId="6E3E5F1E" w14:textId="77777777" w:rsidR="00717BA5" w:rsidRPr="00717BA5" w:rsidRDefault="00717BA5" w:rsidP="000A630C">
      <w:pPr>
        <w:pStyle w:val="ListBullet"/>
      </w:pPr>
      <w:r w:rsidRPr="00717BA5">
        <w:rPr>
          <w:b/>
          <w:bCs/>
        </w:rPr>
        <w:t>Leasehold Improvements</w:t>
      </w:r>
      <w:r w:rsidRPr="00717BA5">
        <w:t xml:space="preserve"> are capital expenditure items incurred in relation to leased assets. Leasehold improvements represent office accommodation fit-outs in the leased building.</w:t>
      </w:r>
    </w:p>
    <w:p w14:paraId="69D3F79C" w14:textId="77777777" w:rsidR="00717BA5" w:rsidRPr="00717BA5" w:rsidRDefault="00717BA5" w:rsidP="000A630C">
      <w:pPr>
        <w:pStyle w:val="ListBullet"/>
      </w:pPr>
      <w:r w:rsidRPr="00717BA5">
        <w:rPr>
          <w:b/>
          <w:bCs/>
        </w:rPr>
        <w:t>Plant and Equipment</w:t>
      </w:r>
      <w:r w:rsidRPr="00717BA5">
        <w:t xml:space="preserve"> are tangible assets that are used to produce goods and assist in providing services to the community. Plant and Equipment include office and computer equipment and other mechanical and electronic equipment, furniture and fittings.</w:t>
      </w:r>
    </w:p>
    <w:p w14:paraId="03CF034D" w14:textId="77777777" w:rsidR="00717BA5" w:rsidRPr="00717BA5" w:rsidRDefault="00717BA5" w:rsidP="000A630C">
      <w:pPr>
        <w:pStyle w:val="ListBullet"/>
      </w:pPr>
      <w:r w:rsidRPr="00717BA5">
        <w:rPr>
          <w:b/>
          <w:bCs/>
        </w:rPr>
        <w:t>Right-Of-Use Plant and Equipment</w:t>
      </w:r>
      <w:r w:rsidRPr="00717BA5">
        <w:t xml:space="preserve"> has the same definition as plant and equipment, with the exception that they are held under a lease. Right-of-Use Plant and Equipment includes the leased corporate motor vehicle. </w:t>
      </w:r>
    </w:p>
    <w:p w14:paraId="37BE5C77" w14:textId="77777777" w:rsidR="00717BA5" w:rsidRPr="00717BA5" w:rsidRDefault="00717BA5" w:rsidP="00717BA5">
      <w:pPr>
        <w:spacing w:after="0"/>
        <w:rPr>
          <w:rFonts w:ascii="Calibri" w:eastAsia="SimSun" w:hAnsi="Calibri" w:cs="Calibri"/>
          <w:b/>
          <w:i/>
          <w:smallCaps/>
          <w:color w:val="auto"/>
          <w:lang w:val="en-AU"/>
        </w:rPr>
      </w:pPr>
      <w:r w:rsidRPr="00717BA5">
        <w:rPr>
          <w:rFonts w:ascii="Arial" w:eastAsia="Times New Roman" w:hAnsi="Arial" w:cs="Arial"/>
          <w:i/>
          <w:iCs/>
          <w:color w:val="auto"/>
          <w:lang w:val="en-AU"/>
        </w:rPr>
        <w:t>Acquisition and Recognition of Property, Plant and Equipment</w:t>
      </w:r>
    </w:p>
    <w:p w14:paraId="1CEE239D" w14:textId="77777777" w:rsidR="00717BA5" w:rsidRPr="00717BA5" w:rsidRDefault="00717BA5" w:rsidP="00717BA5">
      <w:pPr>
        <w:adjustRightInd w:val="0"/>
        <w:snapToGrid w:val="0"/>
        <w:spacing w:after="60"/>
        <w:rPr>
          <w:rFonts w:ascii="Arial" w:eastAsia="Times New Roman" w:hAnsi="Arial" w:cs="Calibri"/>
          <w:color w:val="auto"/>
          <w:lang w:val="en-AU"/>
        </w:rPr>
      </w:pPr>
      <w:r w:rsidRPr="00717BA5">
        <w:rPr>
          <w:rFonts w:ascii="Arial" w:eastAsia="Times New Roman" w:hAnsi="Arial" w:cs="Arial"/>
          <w:color w:val="auto"/>
          <w:lang w:val="en-AU"/>
        </w:rPr>
        <w:t xml:space="preserve">Property, plant and equipment </w:t>
      </w:r>
      <w:r w:rsidRPr="00717BA5">
        <w:rPr>
          <w:rFonts w:ascii="Arial" w:eastAsia="Times New Roman" w:hAnsi="Arial" w:cs="Calibri"/>
          <w:color w:val="auto"/>
          <w:lang w:val="en-AU"/>
        </w:rPr>
        <w:t>is initially measured at cost, which comprises its purchase price, any directly attributable costs and the initial estimate of the costs of dismantling and removing the item and restoring the site on which it is located. For right of use assets,</w:t>
      </w:r>
      <w:r w:rsidRPr="00717BA5" w:rsidDel="00596B37">
        <w:rPr>
          <w:rFonts w:ascii="Arial" w:eastAsia="Times New Roman" w:hAnsi="Arial" w:cs="Calibri"/>
          <w:color w:val="auto"/>
          <w:lang w:val="en-AU"/>
        </w:rPr>
        <w:t xml:space="preserve"> </w:t>
      </w:r>
      <w:r w:rsidRPr="00717BA5">
        <w:rPr>
          <w:rFonts w:ascii="Arial" w:eastAsia="Times New Roman" w:hAnsi="Arial" w:cs="Calibri"/>
          <w:color w:val="auto"/>
          <w:lang w:val="en-AU"/>
        </w:rPr>
        <w:t xml:space="preserve">cost comprises the initial amount of the lease liability and initial direct costs. Right-of-use building, right-of-use plant and equipment, and right-of-use motor vehicle are accounted for under AASB 16 </w:t>
      </w:r>
      <w:r w:rsidRPr="00717BA5">
        <w:rPr>
          <w:rFonts w:ascii="Arial" w:eastAsia="Times New Roman" w:hAnsi="Arial" w:cs="Calibri"/>
          <w:i/>
          <w:color w:val="auto"/>
          <w:lang w:val="en-AU"/>
        </w:rPr>
        <w:t>Leases</w:t>
      </w:r>
      <w:r w:rsidRPr="00717BA5">
        <w:rPr>
          <w:rFonts w:ascii="Arial" w:eastAsia="Times New Roman" w:hAnsi="Arial" w:cs="Calibri"/>
          <w:color w:val="auto"/>
          <w:lang w:val="en-AU"/>
        </w:rPr>
        <w:t xml:space="preserve"> for three leases (office accommodation and one motor vehicle) held under the Building and Construction Industry Scheme.</w:t>
      </w:r>
    </w:p>
    <w:p w14:paraId="76D90477" w14:textId="77777777" w:rsidR="00717BA5" w:rsidRPr="00717BA5" w:rsidDel="00691DEB" w:rsidRDefault="00717BA5" w:rsidP="00717BA5">
      <w:pPr>
        <w:adjustRightInd w:val="0"/>
        <w:snapToGrid w:val="0"/>
        <w:rPr>
          <w:rFonts w:ascii="Arial" w:eastAsia="Times New Roman" w:hAnsi="Arial" w:cs="Arial"/>
          <w:color w:val="auto"/>
          <w:lang w:val="en-AU"/>
        </w:rPr>
      </w:pPr>
      <w:r w:rsidRPr="00717BA5" w:rsidDel="00691DEB">
        <w:rPr>
          <w:rFonts w:ascii="Arial" w:eastAsia="Times New Roman" w:hAnsi="Arial" w:cs="Arial"/>
          <w:color w:val="auto"/>
          <w:lang w:val="en-AU"/>
        </w:rPr>
        <w:t>Property, Plant and Equipment items with a minimum value of $</w:t>
      </w:r>
      <w:r w:rsidRPr="00717BA5">
        <w:rPr>
          <w:rFonts w:ascii="Arial" w:eastAsia="Times New Roman" w:hAnsi="Arial" w:cs="Arial"/>
          <w:color w:val="auto"/>
          <w:lang w:val="en-AU"/>
        </w:rPr>
        <w:t>500</w:t>
      </w:r>
      <w:r w:rsidRPr="00717BA5" w:rsidDel="00691DEB">
        <w:rPr>
          <w:rFonts w:ascii="Arial" w:eastAsia="Times New Roman" w:hAnsi="Arial" w:cs="Arial"/>
          <w:color w:val="auto"/>
          <w:lang w:val="en-AU"/>
        </w:rPr>
        <w:t xml:space="preserve"> are capitalised.</w:t>
      </w:r>
    </w:p>
    <w:p w14:paraId="7E8D3F8A"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Measurement of Property, Plant and Equipment After Initial Recognition</w:t>
      </w:r>
    </w:p>
    <w:p w14:paraId="0BCB8A25" w14:textId="77777777" w:rsidR="00717BA5" w:rsidRPr="00717BA5" w:rsidRDefault="00717BA5" w:rsidP="00717BA5">
      <w:pPr>
        <w:adjustRightInd w:val="0"/>
        <w:snapToGrid w:val="0"/>
        <w:rPr>
          <w:rFonts w:ascii="Calibri" w:eastAsia="Times New Roman" w:hAnsi="Calibri" w:cs="Calibri"/>
          <w:b/>
          <w:smallCaps/>
          <w:color w:val="auto"/>
          <w:lang w:val="en-AU"/>
        </w:rPr>
      </w:pPr>
      <w:r w:rsidRPr="00717BA5">
        <w:rPr>
          <w:rFonts w:ascii="Arial" w:eastAsia="Times New Roman" w:hAnsi="Arial" w:cs="Arial"/>
          <w:color w:val="auto"/>
          <w:lang w:val="en-AU"/>
        </w:rPr>
        <w:t>Property, Plant and Equipment is measured using the cost or revaluation model of valuation. Leasehold improvements are measured at fair value with revaluations occurring every three years. The latest valuation was performed in 2023-24 by an independent valuer – Australian Valuations. Plant and Equipment are measured at cost. After the commencement date, all right of use assets are measured at cost less any accumulated depreciation and accumulated losses and adjusted for any re-measurement of the lease liability. Right-of-use assets are classified in Property, Plant and Equipment in their own separate asset class.</w:t>
      </w:r>
    </w:p>
    <w:bookmarkEnd w:id="101"/>
    <w:p w14:paraId="1A7F6E68"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Impairment of assets</w:t>
      </w:r>
    </w:p>
    <w:p w14:paraId="25BB51C4"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At each reporting date, </w:t>
      </w:r>
      <w:r w:rsidRPr="00717BA5">
        <w:rPr>
          <w:rFonts w:ascii="Arial" w:eastAsia="Times New Roman" w:hAnsi="Arial" w:cs="Calibri"/>
          <w:color w:val="auto"/>
          <w:lang w:val="en-AU"/>
        </w:rPr>
        <w:t>ACT Leave assesses whether there is any indication of impairment for assets that are measured at cost, subsequent to initial recognition, and for non-specialised PPE measured at fair value subsequent to initial recognition</w:t>
      </w:r>
      <w:r w:rsidRPr="00717BA5" w:rsidDel="003B01F6">
        <w:rPr>
          <w:rFonts w:ascii="Arial" w:eastAsia="Times New Roman" w:hAnsi="Arial" w:cs="Calibri"/>
          <w:color w:val="auto"/>
          <w:lang w:val="en-AU"/>
        </w:rPr>
        <w:t>.</w:t>
      </w:r>
      <w:r w:rsidRPr="00717BA5">
        <w:rPr>
          <w:rFonts w:ascii="Arial" w:eastAsia="Times New Roman" w:hAnsi="Arial" w:cs="Calibri"/>
          <w:color w:val="auto"/>
          <w:lang w:val="en-AU"/>
        </w:rPr>
        <w:t xml:space="preserve"> Assets are also reviewed for impairment whenever events or changes in circumstances indicate that the carrying amount may not be recoverable.</w:t>
      </w:r>
    </w:p>
    <w:p w14:paraId="1E3C98B5"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Impairment losses for building, plant and equipment, furniture and fittings, and intangible assets are recorded in the Operating Statement as these assets are </w:t>
      </w:r>
      <w:r w:rsidRPr="00717BA5">
        <w:rPr>
          <w:rFonts w:ascii="Arial" w:eastAsia="Times New Roman" w:hAnsi="Arial" w:cs="Calibri"/>
          <w:color w:val="auto"/>
          <w:lang w:val="en-AU"/>
        </w:rPr>
        <w:t>measured at cost subsequent to initial recognition (see Note 10 – Other Expenses). Also, the carrying amount of the asset is reduced to its recoverable amount.</w:t>
      </w:r>
    </w:p>
    <w:p w14:paraId="15BB1CB1"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Impairment losses for leasehold improvements</w:t>
      </w:r>
      <w:r w:rsidRPr="00717BA5">
        <w:rPr>
          <w:rFonts w:ascii="Arial" w:eastAsia="Times New Roman" w:hAnsi="Arial" w:cs="Arial"/>
          <w:color w:val="auto"/>
          <w:sz w:val="16"/>
          <w:szCs w:val="16"/>
          <w:lang w:val="en-AU"/>
        </w:rPr>
        <w:t xml:space="preserve"> </w:t>
      </w:r>
      <w:r w:rsidRPr="00717BA5">
        <w:rPr>
          <w:rFonts w:ascii="Arial" w:eastAsia="Times New Roman" w:hAnsi="Arial" w:cs="Calibri"/>
          <w:color w:val="auto"/>
          <w:lang w:val="en-AU"/>
        </w:rPr>
        <w:t>are recognised as a decrease in the Asset Revaluation Surplus. This is because this asset class contains non-specialised assets that are measured at fair value and have an Asset Revaluation Surplus attached to them. Where the impairment loss is greater than the balance in the Asset Revaluation Surplus, the accounting difference is expensed in the Operating Statement.</w:t>
      </w:r>
    </w:p>
    <w:p w14:paraId="464869F9"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Non-financial assets which have previously been impaired are reviewed for possible reversal of impairment at each reporting date.</w:t>
      </w:r>
    </w:p>
    <w:p w14:paraId="63164DB9"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34D13BD8" w14:textId="77777777" w:rsidR="00717BA5" w:rsidRPr="00682CE5" w:rsidRDefault="00717BA5" w:rsidP="00682CE5">
      <w:pPr>
        <w:pStyle w:val="Heading5"/>
      </w:pPr>
      <w:r w:rsidRPr="00717BA5">
        <w:t>NOTE 13.   PROPERTY, PLANT AND EQUIPMENT - CONTINUED</w:t>
      </w:r>
    </w:p>
    <w:p w14:paraId="59F193D3"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Depreciation and Useful Life</w:t>
      </w:r>
    </w:p>
    <w:p w14:paraId="23C0F4FF" w14:textId="77777777" w:rsidR="00717BA5" w:rsidRPr="00717BA5" w:rsidRDefault="00717BA5" w:rsidP="00717BA5">
      <w:pPr>
        <w:adjustRightInd w:val="0"/>
        <w:snapToGrid w:val="0"/>
        <w:rPr>
          <w:rFonts w:ascii="Arial" w:eastAsia="Times New Roman" w:hAnsi="Arial" w:cs="Calibri"/>
          <w:caps/>
          <w:color w:val="auto"/>
          <w:lang w:val="en-AU"/>
        </w:rPr>
      </w:pPr>
      <w:r w:rsidRPr="00717BA5">
        <w:rPr>
          <w:rFonts w:ascii="Arial" w:eastAsia="Times New Roman" w:hAnsi="Arial" w:cs="Arial"/>
          <w:color w:val="auto"/>
          <w:lang w:val="en-AU"/>
        </w:rPr>
        <w:t>Depreciation is the systematic allocation of the costs of an asset less its residual value</w:t>
      </w:r>
      <w:r w:rsidRPr="00717BA5">
        <w:rPr>
          <w:rFonts w:ascii="Arial" w:eastAsia="Times New Roman" w:hAnsi="Arial" w:cs="Calibri"/>
          <w:color w:val="auto"/>
          <w:lang w:val="en-AU"/>
        </w:rPr>
        <w:t xml:space="preserve"> over its useful life.  Depreciation or amortisation commences when the asset is ready for its intended use.</w:t>
      </w:r>
    </w:p>
    <w:p w14:paraId="3C83B154"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D</w:t>
      </w:r>
      <w:r w:rsidRPr="00717BA5">
        <w:rPr>
          <w:rFonts w:ascii="Arial" w:eastAsia="Times New Roman" w:hAnsi="Arial" w:cs="Calibri"/>
          <w:color w:val="auto"/>
          <w:lang w:val="en-AU"/>
        </w:rPr>
        <w:t xml:space="preserve">epreciation is applied to physical assets such as plant and equipment and buildings. </w:t>
      </w:r>
    </w:p>
    <w:p w14:paraId="2336C36D"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Right-of-use Buildings, </w:t>
      </w:r>
      <w:r w:rsidRPr="00717BA5">
        <w:rPr>
          <w:rFonts w:ascii="Arial" w:eastAsia="Times New Roman" w:hAnsi="Arial" w:cs="Calibri"/>
          <w:color w:val="auto"/>
          <w:lang w:val="en-AU"/>
        </w:rPr>
        <w:t>Leasehold Improvements, and Plant and Equipment are depreciated over the estimated useful lives of each asset, or the unexpired period of the relevant lease, whichever is shorter.</w:t>
      </w:r>
    </w:p>
    <w:p w14:paraId="06F3F342"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Depreciation/amortisation for </w:t>
      </w:r>
      <w:r w:rsidRPr="00717BA5">
        <w:rPr>
          <w:rFonts w:ascii="Arial" w:eastAsia="Times New Roman" w:hAnsi="Arial" w:cs="Calibri"/>
          <w:color w:val="auto"/>
          <w:lang w:val="en-AU"/>
        </w:rPr>
        <w:t>Property, plant and equipment is determined as follows:</w:t>
      </w:r>
    </w:p>
    <w:p w14:paraId="57C7E977" w14:textId="77777777" w:rsidR="00717BA5" w:rsidRPr="00717BA5" w:rsidRDefault="00717BA5" w:rsidP="00717BA5">
      <w:pPr>
        <w:keepNext/>
        <w:spacing w:after="12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Class of Asset</w:t>
      </w: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t xml:space="preserve">    Depreciation/Amortisation Method</w:t>
      </w: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t xml:space="preserve">                    Useful life/ </w:t>
      </w:r>
    </w:p>
    <w:p w14:paraId="2B5466CE" w14:textId="77777777" w:rsidR="00717BA5" w:rsidRPr="00717BA5" w:rsidRDefault="00717BA5" w:rsidP="00717BA5">
      <w:pPr>
        <w:spacing w:after="12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t xml:space="preserve">           </w:t>
      </w: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r>
      <w:r w:rsidRPr="00717BA5">
        <w:rPr>
          <w:rFonts w:ascii="Arial" w:eastAsia="Times New Roman" w:hAnsi="Arial" w:cs="Arial"/>
          <w:b/>
          <w:bCs/>
          <w:color w:val="auto"/>
          <w:sz w:val="18"/>
          <w:szCs w:val="18"/>
          <w:lang w:val="en-AU"/>
        </w:rPr>
        <w:tab/>
        <w:t xml:space="preserve">              Depreciation rate</w:t>
      </w:r>
    </w:p>
    <w:p w14:paraId="5FF8A7E1" w14:textId="77777777" w:rsidR="00717BA5" w:rsidRPr="00717BA5" w:rsidRDefault="00717BA5" w:rsidP="00717BA5">
      <w:pPr>
        <w:spacing w:after="12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Right-of-Use Buildings</w:t>
      </w:r>
      <w:r w:rsidRPr="00717BA5">
        <w:rPr>
          <w:rFonts w:ascii="Arial" w:eastAsia="Times New Roman" w:hAnsi="Arial" w:cs="Arial"/>
          <w:color w:val="auto"/>
          <w:sz w:val="18"/>
          <w:szCs w:val="18"/>
          <w:lang w:val="en-AU"/>
        </w:rPr>
        <w:tab/>
        <w:t xml:space="preserve">                                  Straight Line</w:t>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t xml:space="preserve">       17 Years</w:t>
      </w:r>
    </w:p>
    <w:p w14:paraId="614D41AC" w14:textId="77777777" w:rsidR="00717BA5" w:rsidRPr="00717BA5" w:rsidRDefault="00717BA5" w:rsidP="00717BA5">
      <w:pPr>
        <w:spacing w:after="12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Right-of-Use Plant and Equipment</w:t>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t xml:space="preserve">     Straight Line</w:t>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t xml:space="preserve">         5 Years</w:t>
      </w:r>
    </w:p>
    <w:p w14:paraId="6BDD42A4" w14:textId="77777777" w:rsidR="00717BA5" w:rsidRPr="00717BA5" w:rsidRDefault="00717BA5" w:rsidP="00717BA5">
      <w:pPr>
        <w:spacing w:after="12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Right-of-Use Motor Vehicle</w:t>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t xml:space="preserve">     Straight Line</w:t>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t xml:space="preserve">         5 Years</w:t>
      </w:r>
    </w:p>
    <w:p w14:paraId="225281A5" w14:textId="77777777" w:rsidR="00717BA5" w:rsidRPr="00717BA5" w:rsidRDefault="00717BA5" w:rsidP="00717BA5">
      <w:pPr>
        <w:spacing w:after="12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Leasehold Improvements                                     Straight Line</w:t>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t xml:space="preserve">                       9.7 Years</w:t>
      </w:r>
    </w:p>
    <w:p w14:paraId="5244585A" w14:textId="77777777" w:rsidR="00717BA5" w:rsidRPr="00717BA5" w:rsidRDefault="00717BA5" w:rsidP="00717BA5">
      <w:pPr>
        <w:spacing w:after="12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Furniture and Fittings</w:t>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t xml:space="preserve">     Straight Line</w:t>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t xml:space="preserve">                     1-20 Years</w:t>
      </w:r>
    </w:p>
    <w:p w14:paraId="22FE647E" w14:textId="77777777" w:rsidR="00717BA5" w:rsidRPr="00717BA5" w:rsidRDefault="00717BA5" w:rsidP="00717BA5">
      <w:pPr>
        <w:spacing w:after="12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Plant and Equipment</w:t>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t xml:space="preserve">     Straight Line</w:t>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r>
      <w:r w:rsidRPr="00717BA5">
        <w:rPr>
          <w:rFonts w:ascii="Arial" w:eastAsia="Times New Roman" w:hAnsi="Arial" w:cs="Arial"/>
          <w:color w:val="auto"/>
          <w:sz w:val="18"/>
          <w:szCs w:val="18"/>
          <w:lang w:val="en-AU"/>
        </w:rPr>
        <w:tab/>
        <w:t xml:space="preserve">                     1-10 Years</w:t>
      </w:r>
    </w:p>
    <w:p w14:paraId="1461E98D"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ACT Leave</w:t>
      </w:r>
      <w:r w:rsidRPr="00717BA5">
        <w:rPr>
          <w:rFonts w:ascii="Arial" w:eastAsia="Times New Roman" w:hAnsi="Arial" w:cs="Calibri"/>
          <w:color w:val="auto"/>
          <w:lang w:val="en-AU"/>
        </w:rPr>
        <w:t xml:space="preserve"> has made a significant estimate in determining the useful lives of its Property, Plant and Equipment, and it is based on the historical experience of similar assets and, in relevant cases, has been based on valuations provided by an independent valuer – Australian Valuations. </w:t>
      </w:r>
    </w:p>
    <w:p w14:paraId="0B498D68"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Calibri"/>
          <w:color w:val="auto"/>
          <w:lang w:val="en-AU"/>
        </w:rPr>
        <w:t>In 2025-26 ACT Leave changed the depreciation method from diminishing value to straight line depreciation, to more accurately reflect how these assets provide value steadily over time, and to assist with planning for replacements or upgrades as assets approach end-of-life.</w:t>
      </w:r>
    </w:p>
    <w:p w14:paraId="1FC297B0" w14:textId="56BADF98"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Calibri"/>
          <w:color w:val="auto"/>
          <w:lang w:val="en-AU"/>
        </w:rPr>
        <w:t xml:space="preserve">ACT Leave also increased its capitalisation threshold from $300.00 in 2024-25 to $500.00 in 2025-26, to minimise the administrative burden of maintaining ACT Leave’s asset registers. The changed threshold is appropriate for ACT Leave due to its size and smaller number of low value items. </w:t>
      </w:r>
    </w:p>
    <w:p w14:paraId="07420AAA"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Calibri"/>
          <w:color w:val="auto"/>
          <w:lang w:val="en-AU"/>
        </w:rPr>
        <w:t xml:space="preserve">Both changes have been made in accordance with </w:t>
      </w:r>
      <w:r w:rsidRPr="00717BA5">
        <w:rPr>
          <w:rFonts w:ascii="Arial" w:eastAsia="Times New Roman" w:hAnsi="Arial" w:cs="Calibri"/>
          <w:i/>
          <w:iCs/>
          <w:color w:val="auto"/>
          <w:lang w:val="en-AU"/>
        </w:rPr>
        <w:t xml:space="preserve">ACT Accounting Policy Paper on Property, Plant and Equipment – AAPP 117, </w:t>
      </w:r>
      <w:r w:rsidRPr="00717BA5">
        <w:rPr>
          <w:rFonts w:ascii="Arial" w:eastAsia="Times New Roman" w:hAnsi="Arial" w:cs="Calibri"/>
          <w:color w:val="auto"/>
          <w:lang w:val="en-AU"/>
        </w:rPr>
        <w:t>and neither change resulted in a material change to accounting estimates.</w:t>
      </w:r>
    </w:p>
    <w:p w14:paraId="0B9FD96D"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Calibri"/>
          <w:color w:val="auto"/>
          <w:lang w:val="en-AU"/>
        </w:rPr>
        <w:t>The useful lives of all assets are assessed on an annual basis with adjustments made when necessary.</w:t>
      </w:r>
    </w:p>
    <w:p w14:paraId="0E64F0E2" w14:textId="77777777" w:rsidR="00717BA5" w:rsidRPr="00717BA5" w:rsidRDefault="00717BA5" w:rsidP="00717BA5">
      <w:pPr>
        <w:adjustRightInd w:val="0"/>
        <w:snapToGrid w:val="0"/>
        <w:rPr>
          <w:rFonts w:ascii="Arial" w:eastAsia="Times New Roman" w:hAnsi="Arial" w:cs="Calibri"/>
          <w:b/>
          <w:i/>
          <w:color w:val="auto"/>
          <w:lang w:val="en-AU"/>
        </w:rPr>
      </w:pPr>
      <w:r w:rsidRPr="00717BA5">
        <w:rPr>
          <w:rFonts w:ascii="Arial" w:eastAsia="Times New Roman" w:hAnsi="Arial" w:cs="Arial"/>
          <w:b/>
          <w:bCs/>
          <w:i/>
          <w:iCs/>
          <w:color w:val="auto"/>
          <w:lang w:val="en-AU"/>
        </w:rPr>
        <w:t>Leases that have not resulted in ACT Leave recognising a lease liability are as follows:</w:t>
      </w:r>
    </w:p>
    <w:p w14:paraId="5179D01D" w14:textId="77777777" w:rsidR="00717BA5" w:rsidRPr="00717BA5" w:rsidRDefault="00717BA5" w:rsidP="00717BA5">
      <w:pPr>
        <w:adjustRightInd w:val="0"/>
        <w:snapToGrid w:val="0"/>
        <w:rPr>
          <w:rFonts w:ascii="Arial" w:eastAsia="Times New Roman" w:hAnsi="Arial" w:cs="Calibri"/>
          <w:color w:val="auto"/>
          <w:lang w:val="en-AU"/>
        </w:rPr>
      </w:pPr>
      <w:r w:rsidRPr="00717BA5">
        <w:rPr>
          <w:rFonts w:ascii="Arial" w:eastAsia="Times New Roman" w:hAnsi="Arial" w:cs="Arial"/>
          <w:color w:val="auto"/>
          <w:lang w:val="en-AU"/>
        </w:rPr>
        <w:t xml:space="preserve">ACT Leave has numerous leases for IT equipment through Digital Canberra. ACT Leave has determined that these leased assets are low value and as such has used the exemption for leases of low value assets. </w:t>
      </w:r>
      <w:r w:rsidRPr="00717BA5">
        <w:rPr>
          <w:rFonts w:ascii="Arial" w:eastAsia="Times New Roman" w:hAnsi="Arial" w:cs="Calibri"/>
          <w:color w:val="auto"/>
          <w:lang w:val="en-AU"/>
        </w:rPr>
        <w:t>ACT Leave does not recognise a lease liability for these leases but instead accounts for the cost of these leases as an expense through the Operating Statement as they are incurred.</w:t>
      </w:r>
    </w:p>
    <w:p w14:paraId="4931C359"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15200CDE"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099A6AD5" w14:textId="77777777" w:rsidR="00717BA5" w:rsidRPr="00717BA5" w:rsidRDefault="00717BA5" w:rsidP="00717BA5">
      <w:pPr>
        <w:framePr w:w="10890" w:wrap="auto" w:vAnchor="text" w:hAnchor="page" w:x="675" w:y="2182"/>
        <w:tabs>
          <w:tab w:val="left" w:pos="564"/>
          <w:tab w:val="center" w:pos="4974"/>
        </w:tabs>
        <w:spacing w:after="40" w:line="240" w:lineRule="auto"/>
        <w:rPr>
          <w:rFonts w:ascii="Arial" w:eastAsia="Times New Roman" w:hAnsi="Arial" w:cs="Arial"/>
          <w:b/>
          <w:bCs/>
          <w:color w:val="auto"/>
          <w:sz w:val="24"/>
          <w:szCs w:val="24"/>
          <w:lang w:val="en-AU"/>
        </w:rPr>
        <w:sectPr w:rsidR="00717BA5" w:rsidRPr="00717BA5" w:rsidSect="00717BA5">
          <w:footerReference w:type="default" r:id="rId74"/>
          <w:pgSz w:w="11906" w:h="16838"/>
          <w:pgMar w:top="851" w:right="1106" w:bottom="851" w:left="851" w:header="709" w:footer="709" w:gutter="0"/>
          <w:cols w:space="708"/>
          <w:docGrid w:linePitch="360"/>
        </w:sectPr>
      </w:pPr>
    </w:p>
    <w:p w14:paraId="04011A1D" w14:textId="77777777" w:rsidR="00717BA5" w:rsidRPr="00717BA5" w:rsidRDefault="00717BA5" w:rsidP="00717BA5">
      <w:pPr>
        <w:spacing w:after="0" w:line="240" w:lineRule="auto"/>
        <w:rPr>
          <w:rFonts w:ascii="Arial" w:eastAsia="SimSun" w:hAnsi="Arial" w:cs="Arial"/>
          <w:color w:val="auto"/>
          <w:lang w:val="en-AU"/>
        </w:rPr>
      </w:pPr>
    </w:p>
    <w:p w14:paraId="39538EDF" w14:textId="77777777" w:rsidR="00717BA5" w:rsidRPr="00717BA5" w:rsidRDefault="00717BA5" w:rsidP="00682CE5">
      <w:pPr>
        <w:pStyle w:val="Heading5"/>
      </w:pPr>
      <w:r w:rsidRPr="00717BA5">
        <w:t>NOTE 13.   PROPERTY, PLANT AND EQUIPMENT - CONTINUED</w:t>
      </w:r>
    </w:p>
    <w:p w14:paraId="559CCDAA" w14:textId="77777777" w:rsidR="00717BA5" w:rsidRPr="00717BA5" w:rsidRDefault="00717BA5" w:rsidP="00717BA5">
      <w:pPr>
        <w:spacing w:after="120" w:line="240" w:lineRule="auto"/>
        <w:jc w:val="both"/>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Reconciliation of Property, Plant and Equipment – 2025-26</w:t>
      </w:r>
    </w:p>
    <w:p w14:paraId="7B8AC5A0"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tbl>
      <w:tblPr>
        <w:tblW w:w="5000" w:type="pct"/>
        <w:tblLook w:val="04A0" w:firstRow="1" w:lastRow="0" w:firstColumn="1" w:lastColumn="0" w:noHBand="0" w:noVBand="1"/>
      </w:tblPr>
      <w:tblGrid>
        <w:gridCol w:w="6052"/>
        <w:gridCol w:w="1361"/>
        <w:gridCol w:w="1355"/>
        <w:gridCol w:w="1201"/>
        <w:gridCol w:w="1352"/>
        <w:gridCol w:w="1222"/>
        <w:gridCol w:w="1447"/>
        <w:gridCol w:w="1146"/>
      </w:tblGrid>
      <w:tr w:rsidR="00717BA5" w:rsidRPr="00717BA5" w14:paraId="7CE87817" w14:textId="77777777" w:rsidTr="00F0752D">
        <w:trPr>
          <w:trHeight w:val="272"/>
        </w:trPr>
        <w:tc>
          <w:tcPr>
            <w:tcW w:w="2000" w:type="pct"/>
            <w:tcBorders>
              <w:left w:val="nil"/>
              <w:bottom w:val="nil"/>
            </w:tcBorders>
            <w:shd w:val="clear" w:color="000000" w:fill="FFFFFF"/>
          </w:tcPr>
          <w:p w14:paraId="15CC8749" w14:textId="77777777" w:rsidR="00717BA5" w:rsidRPr="00717BA5" w:rsidRDefault="00717BA5" w:rsidP="00717BA5">
            <w:pPr>
              <w:spacing w:after="0" w:line="240" w:lineRule="auto"/>
              <w:rPr>
                <w:rFonts w:ascii="Arial" w:eastAsia="Times New Roman" w:hAnsi="Arial" w:cs="Arial"/>
                <w:b/>
                <w:bCs/>
                <w:color w:val="auto"/>
                <w:sz w:val="18"/>
                <w:szCs w:val="18"/>
                <w:lang w:val="en-AU"/>
              </w:rPr>
            </w:pPr>
            <w:bookmarkStart w:id="102" w:name="_Hlk198555828"/>
          </w:p>
        </w:tc>
        <w:tc>
          <w:tcPr>
            <w:tcW w:w="450" w:type="pct"/>
            <w:tcBorders>
              <w:top w:val="single" w:sz="4" w:space="0" w:color="auto"/>
              <w:left w:val="nil"/>
              <w:bottom w:val="nil"/>
              <w:right w:val="single" w:sz="4" w:space="0" w:color="auto"/>
            </w:tcBorders>
            <w:shd w:val="clear" w:color="000000" w:fill="FFFFFF"/>
            <w:vAlign w:val="bottom"/>
          </w:tcPr>
          <w:p w14:paraId="626EAE3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Right-of-use Buildings </w:t>
            </w:r>
          </w:p>
        </w:tc>
        <w:tc>
          <w:tcPr>
            <w:tcW w:w="448" w:type="pct"/>
            <w:tcBorders>
              <w:top w:val="single" w:sz="4" w:space="0" w:color="auto"/>
              <w:left w:val="nil"/>
              <w:bottom w:val="nil"/>
              <w:right w:val="single" w:sz="4" w:space="0" w:color="auto"/>
            </w:tcBorders>
            <w:shd w:val="clear" w:color="000000" w:fill="FFFFFF"/>
            <w:vAlign w:val="bottom"/>
          </w:tcPr>
          <w:p w14:paraId="4B1F7F9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Plant and Equipment</w:t>
            </w:r>
          </w:p>
        </w:tc>
        <w:tc>
          <w:tcPr>
            <w:tcW w:w="397" w:type="pct"/>
            <w:tcBorders>
              <w:top w:val="single" w:sz="4" w:space="0" w:color="auto"/>
              <w:left w:val="nil"/>
              <w:bottom w:val="nil"/>
              <w:right w:val="single" w:sz="4" w:space="0" w:color="auto"/>
            </w:tcBorders>
            <w:shd w:val="clear" w:color="000000" w:fill="FFFFFF"/>
            <w:vAlign w:val="bottom"/>
          </w:tcPr>
          <w:p w14:paraId="126F132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Right-of-use Plant and Equipment</w:t>
            </w:r>
          </w:p>
        </w:tc>
        <w:tc>
          <w:tcPr>
            <w:tcW w:w="447" w:type="pct"/>
            <w:tcBorders>
              <w:top w:val="single" w:sz="4" w:space="0" w:color="auto"/>
              <w:left w:val="single" w:sz="4" w:space="0" w:color="auto"/>
              <w:bottom w:val="nil"/>
              <w:right w:val="single" w:sz="4" w:space="0" w:color="auto"/>
            </w:tcBorders>
            <w:shd w:val="clear" w:color="000000" w:fill="FFFFFF"/>
            <w:vAlign w:val="bottom"/>
          </w:tcPr>
          <w:p w14:paraId="4A3FBC8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Right-of-use Motor Vehicle</w:t>
            </w:r>
          </w:p>
        </w:tc>
        <w:tc>
          <w:tcPr>
            <w:tcW w:w="404" w:type="pct"/>
            <w:tcBorders>
              <w:top w:val="single" w:sz="4" w:space="0" w:color="auto"/>
              <w:left w:val="single" w:sz="4" w:space="0" w:color="auto"/>
              <w:bottom w:val="nil"/>
              <w:right w:val="single" w:sz="4" w:space="0" w:color="auto"/>
            </w:tcBorders>
            <w:shd w:val="clear" w:color="000000" w:fill="FFFFFF"/>
            <w:vAlign w:val="bottom"/>
          </w:tcPr>
          <w:p w14:paraId="0A315C3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Furniture and Fittings</w:t>
            </w:r>
          </w:p>
        </w:tc>
        <w:tc>
          <w:tcPr>
            <w:tcW w:w="475" w:type="pct"/>
            <w:tcBorders>
              <w:top w:val="single" w:sz="4" w:space="0" w:color="auto"/>
              <w:left w:val="single" w:sz="4" w:space="0" w:color="auto"/>
              <w:bottom w:val="nil"/>
              <w:right w:val="single" w:sz="4" w:space="0" w:color="auto"/>
            </w:tcBorders>
            <w:shd w:val="clear" w:color="000000" w:fill="FFFFFF"/>
            <w:vAlign w:val="bottom"/>
          </w:tcPr>
          <w:p w14:paraId="22AA9E0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Leasehold Improvements</w:t>
            </w:r>
          </w:p>
        </w:tc>
        <w:tc>
          <w:tcPr>
            <w:tcW w:w="379" w:type="pct"/>
            <w:tcBorders>
              <w:top w:val="single" w:sz="4" w:space="0" w:color="auto"/>
              <w:left w:val="single" w:sz="4" w:space="0" w:color="auto"/>
              <w:bottom w:val="nil"/>
              <w:right w:val="nil"/>
            </w:tcBorders>
            <w:shd w:val="clear" w:color="000000" w:fill="FFFFFF"/>
            <w:vAlign w:val="bottom"/>
          </w:tcPr>
          <w:p w14:paraId="067CCD9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w:t>
            </w:r>
          </w:p>
        </w:tc>
      </w:tr>
      <w:tr w:rsidR="00717BA5" w:rsidRPr="00717BA5" w14:paraId="0C7CCBB9" w14:textId="77777777" w:rsidTr="00F0752D">
        <w:trPr>
          <w:trHeight w:val="272"/>
        </w:trPr>
        <w:tc>
          <w:tcPr>
            <w:tcW w:w="2000" w:type="pct"/>
            <w:tcBorders>
              <w:top w:val="nil"/>
              <w:left w:val="nil"/>
            </w:tcBorders>
            <w:shd w:val="clear" w:color="000000" w:fill="FFFFFF"/>
            <w:vAlign w:val="bottom"/>
          </w:tcPr>
          <w:p w14:paraId="7D5400D0"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450" w:type="pct"/>
            <w:tcBorders>
              <w:top w:val="nil"/>
              <w:left w:val="nil"/>
              <w:bottom w:val="single" w:sz="4" w:space="0" w:color="auto"/>
              <w:right w:val="single" w:sz="4" w:space="0" w:color="auto"/>
            </w:tcBorders>
            <w:shd w:val="clear" w:color="000000" w:fill="FFFFFF"/>
            <w:vAlign w:val="bottom"/>
          </w:tcPr>
          <w:p w14:paraId="1AB0328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448" w:type="pct"/>
            <w:tcBorders>
              <w:top w:val="nil"/>
              <w:left w:val="nil"/>
              <w:bottom w:val="single" w:sz="4" w:space="0" w:color="auto"/>
              <w:right w:val="single" w:sz="4" w:space="0" w:color="auto"/>
            </w:tcBorders>
            <w:shd w:val="clear" w:color="000000" w:fill="FFFFFF"/>
            <w:vAlign w:val="bottom"/>
          </w:tcPr>
          <w:p w14:paraId="748E844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397" w:type="pct"/>
            <w:tcBorders>
              <w:top w:val="nil"/>
              <w:left w:val="nil"/>
              <w:bottom w:val="single" w:sz="4" w:space="0" w:color="auto"/>
              <w:right w:val="single" w:sz="4" w:space="0" w:color="auto"/>
            </w:tcBorders>
            <w:shd w:val="clear" w:color="000000" w:fill="FFFFFF"/>
            <w:vAlign w:val="bottom"/>
          </w:tcPr>
          <w:p w14:paraId="1A76B7C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447" w:type="pct"/>
            <w:tcBorders>
              <w:top w:val="nil"/>
              <w:left w:val="single" w:sz="4" w:space="0" w:color="auto"/>
              <w:bottom w:val="single" w:sz="4" w:space="0" w:color="auto"/>
              <w:right w:val="single" w:sz="4" w:space="0" w:color="auto"/>
            </w:tcBorders>
            <w:shd w:val="clear" w:color="000000" w:fill="FFFFFF"/>
            <w:vAlign w:val="bottom"/>
          </w:tcPr>
          <w:p w14:paraId="5775D29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404" w:type="pct"/>
            <w:tcBorders>
              <w:top w:val="nil"/>
              <w:left w:val="single" w:sz="4" w:space="0" w:color="auto"/>
              <w:bottom w:val="single" w:sz="4" w:space="0" w:color="auto"/>
              <w:right w:val="single" w:sz="4" w:space="0" w:color="auto"/>
            </w:tcBorders>
            <w:shd w:val="clear" w:color="000000" w:fill="FFFFFF"/>
            <w:vAlign w:val="bottom"/>
          </w:tcPr>
          <w:p w14:paraId="5E1BED2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475" w:type="pct"/>
            <w:tcBorders>
              <w:top w:val="nil"/>
              <w:left w:val="single" w:sz="4" w:space="0" w:color="auto"/>
              <w:bottom w:val="single" w:sz="4" w:space="0" w:color="auto"/>
              <w:right w:val="single" w:sz="4" w:space="0" w:color="auto"/>
            </w:tcBorders>
            <w:shd w:val="clear" w:color="000000" w:fill="FFFFFF"/>
            <w:vAlign w:val="bottom"/>
          </w:tcPr>
          <w:p w14:paraId="7064C66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379" w:type="pct"/>
            <w:tcBorders>
              <w:top w:val="nil"/>
              <w:left w:val="single" w:sz="4" w:space="0" w:color="auto"/>
              <w:bottom w:val="single" w:sz="4" w:space="0" w:color="auto"/>
              <w:right w:val="nil"/>
            </w:tcBorders>
            <w:shd w:val="clear" w:color="000000" w:fill="FFFFFF"/>
            <w:vAlign w:val="bottom"/>
          </w:tcPr>
          <w:p w14:paraId="651C5F3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38C1EB2E" w14:textId="77777777" w:rsidTr="00F0752D">
        <w:trPr>
          <w:trHeight w:val="20"/>
        </w:trPr>
        <w:tc>
          <w:tcPr>
            <w:tcW w:w="2000" w:type="pct"/>
            <w:tcBorders>
              <w:top w:val="nil"/>
              <w:left w:val="nil"/>
              <w:bottom w:val="nil"/>
            </w:tcBorders>
            <w:shd w:val="clear" w:color="000000" w:fill="FFFFFF"/>
            <w:vAlign w:val="bottom"/>
          </w:tcPr>
          <w:p w14:paraId="2AA0216B" w14:textId="77777777" w:rsidR="00717BA5" w:rsidRPr="00717BA5" w:rsidRDefault="00717BA5" w:rsidP="00717BA5">
            <w:pPr>
              <w:spacing w:before="120" w:after="0" w:line="240" w:lineRule="auto"/>
              <w:ind w:firstLineChars="100" w:firstLine="181"/>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 at the Beginning of the Reporting Period</w:t>
            </w:r>
          </w:p>
        </w:tc>
        <w:tc>
          <w:tcPr>
            <w:tcW w:w="450" w:type="pct"/>
            <w:tcBorders>
              <w:top w:val="single" w:sz="4" w:space="0" w:color="auto"/>
              <w:left w:val="nil"/>
              <w:bottom w:val="double" w:sz="6" w:space="0" w:color="auto"/>
              <w:right w:val="single" w:sz="4" w:space="0" w:color="auto"/>
            </w:tcBorders>
            <w:shd w:val="clear" w:color="000000" w:fill="FFFFFF"/>
            <w:noWrap/>
            <w:vAlign w:val="bottom"/>
          </w:tcPr>
          <w:p w14:paraId="5C2EDBF6"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1,126 </w:t>
            </w:r>
          </w:p>
        </w:tc>
        <w:tc>
          <w:tcPr>
            <w:tcW w:w="448" w:type="pct"/>
            <w:tcBorders>
              <w:top w:val="single" w:sz="4" w:space="0" w:color="auto"/>
              <w:left w:val="nil"/>
              <w:bottom w:val="double" w:sz="6" w:space="0" w:color="auto"/>
              <w:right w:val="single" w:sz="4" w:space="0" w:color="auto"/>
            </w:tcBorders>
            <w:shd w:val="clear" w:color="000000" w:fill="FFFFFF"/>
            <w:noWrap/>
            <w:vAlign w:val="bottom"/>
          </w:tcPr>
          <w:p w14:paraId="0CB96142"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57 </w:t>
            </w:r>
          </w:p>
        </w:tc>
        <w:tc>
          <w:tcPr>
            <w:tcW w:w="397" w:type="pct"/>
            <w:tcBorders>
              <w:top w:val="single" w:sz="4" w:space="0" w:color="auto"/>
              <w:left w:val="nil"/>
              <w:bottom w:val="double" w:sz="6" w:space="0" w:color="auto"/>
              <w:right w:val="single" w:sz="4" w:space="0" w:color="auto"/>
            </w:tcBorders>
            <w:shd w:val="clear" w:color="000000" w:fill="FFFFFF"/>
            <w:noWrap/>
            <w:vAlign w:val="bottom"/>
          </w:tcPr>
          <w:p w14:paraId="3ED4E23D"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10 </w:t>
            </w:r>
          </w:p>
        </w:tc>
        <w:tc>
          <w:tcPr>
            <w:tcW w:w="447" w:type="pct"/>
            <w:tcBorders>
              <w:top w:val="single" w:sz="4" w:space="0" w:color="auto"/>
              <w:left w:val="single" w:sz="4" w:space="0" w:color="auto"/>
              <w:bottom w:val="double" w:sz="6" w:space="0" w:color="auto"/>
              <w:right w:val="single" w:sz="4" w:space="0" w:color="auto"/>
            </w:tcBorders>
            <w:shd w:val="clear" w:color="000000" w:fill="FFFFFF"/>
            <w:vAlign w:val="bottom"/>
          </w:tcPr>
          <w:p w14:paraId="07F82005"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36 </w:t>
            </w:r>
          </w:p>
        </w:tc>
        <w:tc>
          <w:tcPr>
            <w:tcW w:w="404" w:type="pct"/>
            <w:tcBorders>
              <w:top w:val="single" w:sz="4" w:space="0" w:color="auto"/>
              <w:left w:val="single" w:sz="4" w:space="0" w:color="auto"/>
              <w:bottom w:val="double" w:sz="6" w:space="0" w:color="auto"/>
              <w:right w:val="single" w:sz="4" w:space="0" w:color="auto"/>
            </w:tcBorders>
            <w:shd w:val="clear" w:color="000000" w:fill="FFFFFF"/>
            <w:vAlign w:val="bottom"/>
          </w:tcPr>
          <w:p w14:paraId="54F11BD5"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71 </w:t>
            </w:r>
          </w:p>
        </w:tc>
        <w:tc>
          <w:tcPr>
            <w:tcW w:w="475" w:type="pct"/>
            <w:tcBorders>
              <w:top w:val="single" w:sz="4" w:space="0" w:color="auto"/>
              <w:left w:val="single" w:sz="4" w:space="0" w:color="auto"/>
              <w:bottom w:val="double" w:sz="6" w:space="0" w:color="auto"/>
              <w:right w:val="single" w:sz="4" w:space="0" w:color="auto"/>
            </w:tcBorders>
            <w:shd w:val="clear" w:color="000000" w:fill="FFFFFF"/>
            <w:vAlign w:val="bottom"/>
          </w:tcPr>
          <w:p w14:paraId="40C5A72D"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397 </w:t>
            </w:r>
          </w:p>
        </w:tc>
        <w:tc>
          <w:tcPr>
            <w:tcW w:w="379" w:type="pct"/>
            <w:tcBorders>
              <w:top w:val="single" w:sz="4" w:space="0" w:color="auto"/>
              <w:left w:val="single" w:sz="4" w:space="0" w:color="auto"/>
              <w:bottom w:val="double" w:sz="6" w:space="0" w:color="auto"/>
            </w:tcBorders>
            <w:shd w:val="clear" w:color="000000" w:fill="FFFFFF"/>
            <w:noWrap/>
            <w:vAlign w:val="bottom"/>
          </w:tcPr>
          <w:p w14:paraId="79AB394B"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1,697</w:t>
            </w:r>
          </w:p>
        </w:tc>
      </w:tr>
      <w:tr w:rsidR="00717BA5" w:rsidRPr="00717BA5" w14:paraId="4450F67A" w14:textId="77777777" w:rsidTr="00F0752D">
        <w:trPr>
          <w:trHeight w:val="20"/>
        </w:trPr>
        <w:tc>
          <w:tcPr>
            <w:tcW w:w="2000" w:type="pct"/>
            <w:tcBorders>
              <w:top w:val="nil"/>
              <w:left w:val="nil"/>
              <w:bottom w:val="nil"/>
            </w:tcBorders>
            <w:shd w:val="clear" w:color="000000" w:fill="FFFFFF"/>
            <w:vAlign w:val="bottom"/>
          </w:tcPr>
          <w:p w14:paraId="02682426"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Additions</w:t>
            </w:r>
          </w:p>
        </w:tc>
        <w:tc>
          <w:tcPr>
            <w:tcW w:w="450" w:type="pct"/>
            <w:tcBorders>
              <w:top w:val="single" w:sz="4" w:space="0" w:color="auto"/>
              <w:left w:val="nil"/>
              <w:right w:val="single" w:sz="4" w:space="0" w:color="auto"/>
            </w:tcBorders>
            <w:shd w:val="clear" w:color="000000" w:fill="FFFFFF"/>
            <w:noWrap/>
            <w:vAlign w:val="bottom"/>
          </w:tcPr>
          <w:p w14:paraId="703F7083"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448" w:type="pct"/>
            <w:tcBorders>
              <w:left w:val="nil"/>
              <w:right w:val="single" w:sz="4" w:space="0" w:color="auto"/>
            </w:tcBorders>
            <w:shd w:val="clear" w:color="000000" w:fill="FFFFFF"/>
            <w:noWrap/>
            <w:vAlign w:val="bottom"/>
          </w:tcPr>
          <w:p w14:paraId="4CCC3FF6"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64</w:t>
            </w:r>
          </w:p>
        </w:tc>
        <w:tc>
          <w:tcPr>
            <w:tcW w:w="397" w:type="pct"/>
            <w:tcBorders>
              <w:left w:val="nil"/>
              <w:right w:val="single" w:sz="4" w:space="0" w:color="auto"/>
            </w:tcBorders>
            <w:shd w:val="clear" w:color="000000" w:fill="FFFFFF"/>
            <w:noWrap/>
            <w:vAlign w:val="bottom"/>
          </w:tcPr>
          <w:p w14:paraId="52BEA033" w14:textId="77777777" w:rsidR="00717BA5" w:rsidRPr="00717BA5" w:rsidRDefault="00717BA5" w:rsidP="00717BA5">
            <w:pPr>
              <w:spacing w:after="0" w:line="240" w:lineRule="auto"/>
              <w:ind w:firstLine="20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447" w:type="pct"/>
            <w:tcBorders>
              <w:left w:val="single" w:sz="4" w:space="0" w:color="auto"/>
              <w:right w:val="single" w:sz="4" w:space="0" w:color="auto"/>
            </w:tcBorders>
            <w:shd w:val="clear" w:color="000000" w:fill="FFFFFF"/>
            <w:vAlign w:val="bottom"/>
          </w:tcPr>
          <w:p w14:paraId="7614AA94"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404" w:type="pct"/>
            <w:tcBorders>
              <w:left w:val="single" w:sz="4" w:space="0" w:color="auto"/>
              <w:right w:val="single" w:sz="4" w:space="0" w:color="auto"/>
            </w:tcBorders>
            <w:shd w:val="clear" w:color="000000" w:fill="FFFFFF"/>
            <w:vAlign w:val="bottom"/>
          </w:tcPr>
          <w:p w14:paraId="11E0D8BE"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3</w:t>
            </w:r>
          </w:p>
        </w:tc>
        <w:tc>
          <w:tcPr>
            <w:tcW w:w="475" w:type="pct"/>
            <w:tcBorders>
              <w:left w:val="single" w:sz="4" w:space="0" w:color="auto"/>
              <w:right w:val="single" w:sz="4" w:space="0" w:color="auto"/>
            </w:tcBorders>
            <w:shd w:val="clear" w:color="000000" w:fill="FFFFFF"/>
            <w:vAlign w:val="bottom"/>
          </w:tcPr>
          <w:p w14:paraId="79E7B6EE"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17</w:t>
            </w:r>
          </w:p>
        </w:tc>
        <w:tc>
          <w:tcPr>
            <w:tcW w:w="379" w:type="pct"/>
            <w:tcBorders>
              <w:left w:val="single" w:sz="4" w:space="0" w:color="auto"/>
            </w:tcBorders>
            <w:shd w:val="clear" w:color="000000" w:fill="FFFFFF"/>
            <w:noWrap/>
            <w:vAlign w:val="bottom"/>
          </w:tcPr>
          <w:p w14:paraId="4961B45C" w14:textId="77777777" w:rsidR="00717BA5" w:rsidRPr="00717BA5" w:rsidRDefault="00717BA5" w:rsidP="00717BA5">
            <w:pPr>
              <w:spacing w:after="0" w:line="240" w:lineRule="auto"/>
              <w:ind w:firstLineChars="100" w:firstLine="181"/>
              <w:jc w:val="right"/>
              <w:rPr>
                <w:rFonts w:ascii="Arial" w:eastAsia="Times New Roman" w:hAnsi="Arial" w:cs="Arial"/>
                <w:color w:val="auto"/>
                <w:sz w:val="18"/>
                <w:szCs w:val="18"/>
                <w:lang w:val="en-AU"/>
              </w:rPr>
            </w:pPr>
            <w:r w:rsidRPr="00717BA5">
              <w:rPr>
                <w:rFonts w:ascii="Arial" w:eastAsia="SimSun" w:hAnsi="Arial" w:cs="Arial"/>
                <w:b/>
                <w:bCs/>
                <w:color w:val="auto"/>
                <w:sz w:val="18"/>
                <w:szCs w:val="18"/>
                <w:lang w:val="en-AU" w:eastAsia="en-US"/>
              </w:rPr>
              <w:t>84</w:t>
            </w:r>
          </w:p>
        </w:tc>
      </w:tr>
      <w:tr w:rsidR="00717BA5" w:rsidRPr="00717BA5" w14:paraId="6DE17E0D" w14:textId="77777777" w:rsidTr="00F0752D">
        <w:trPr>
          <w:trHeight w:val="20"/>
        </w:trPr>
        <w:tc>
          <w:tcPr>
            <w:tcW w:w="2000" w:type="pct"/>
            <w:tcBorders>
              <w:top w:val="nil"/>
              <w:left w:val="nil"/>
              <w:bottom w:val="nil"/>
            </w:tcBorders>
            <w:shd w:val="clear" w:color="000000" w:fill="FFFFFF"/>
            <w:vAlign w:val="bottom"/>
          </w:tcPr>
          <w:p w14:paraId="710C83FA"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Depreciation</w:t>
            </w:r>
          </w:p>
        </w:tc>
        <w:tc>
          <w:tcPr>
            <w:tcW w:w="450" w:type="pct"/>
            <w:tcBorders>
              <w:left w:val="nil"/>
              <w:right w:val="single" w:sz="4" w:space="0" w:color="auto"/>
            </w:tcBorders>
            <w:shd w:val="clear" w:color="000000" w:fill="FFFFFF"/>
            <w:noWrap/>
            <w:vAlign w:val="bottom"/>
          </w:tcPr>
          <w:p w14:paraId="08300FF9"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(130)</w:t>
            </w:r>
          </w:p>
        </w:tc>
        <w:tc>
          <w:tcPr>
            <w:tcW w:w="448" w:type="pct"/>
            <w:tcBorders>
              <w:left w:val="single" w:sz="4" w:space="0" w:color="auto"/>
              <w:right w:val="single" w:sz="4" w:space="0" w:color="auto"/>
            </w:tcBorders>
            <w:shd w:val="clear" w:color="000000" w:fill="FFFFFF"/>
            <w:noWrap/>
            <w:vAlign w:val="bottom"/>
          </w:tcPr>
          <w:p w14:paraId="36E18A91"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(26)</w:t>
            </w:r>
          </w:p>
        </w:tc>
        <w:tc>
          <w:tcPr>
            <w:tcW w:w="397" w:type="pct"/>
            <w:tcBorders>
              <w:left w:val="single" w:sz="4" w:space="0" w:color="auto"/>
              <w:right w:val="single" w:sz="4" w:space="0" w:color="auto"/>
            </w:tcBorders>
            <w:shd w:val="clear" w:color="000000" w:fill="FFFFFF"/>
            <w:noWrap/>
            <w:vAlign w:val="bottom"/>
          </w:tcPr>
          <w:p w14:paraId="058D9E9E"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(10)</w:t>
            </w:r>
          </w:p>
        </w:tc>
        <w:tc>
          <w:tcPr>
            <w:tcW w:w="447" w:type="pct"/>
            <w:tcBorders>
              <w:left w:val="single" w:sz="4" w:space="0" w:color="auto"/>
              <w:right w:val="single" w:sz="4" w:space="0" w:color="auto"/>
            </w:tcBorders>
            <w:shd w:val="clear" w:color="000000" w:fill="FFFFFF"/>
            <w:vAlign w:val="bottom"/>
          </w:tcPr>
          <w:p w14:paraId="250AC0E2"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(10)</w:t>
            </w:r>
          </w:p>
        </w:tc>
        <w:tc>
          <w:tcPr>
            <w:tcW w:w="404" w:type="pct"/>
            <w:tcBorders>
              <w:left w:val="single" w:sz="4" w:space="0" w:color="auto"/>
              <w:right w:val="single" w:sz="4" w:space="0" w:color="auto"/>
            </w:tcBorders>
            <w:shd w:val="clear" w:color="000000" w:fill="FFFFFF"/>
            <w:vAlign w:val="bottom"/>
          </w:tcPr>
          <w:p w14:paraId="28965B65"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(25)</w:t>
            </w:r>
          </w:p>
        </w:tc>
        <w:tc>
          <w:tcPr>
            <w:tcW w:w="475" w:type="pct"/>
            <w:tcBorders>
              <w:left w:val="single" w:sz="4" w:space="0" w:color="auto"/>
              <w:right w:val="single" w:sz="4" w:space="0" w:color="auto"/>
            </w:tcBorders>
            <w:shd w:val="clear" w:color="000000" w:fill="FFFFFF"/>
            <w:vAlign w:val="bottom"/>
          </w:tcPr>
          <w:p w14:paraId="2B3CFB7F"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(41)</w:t>
            </w:r>
          </w:p>
        </w:tc>
        <w:tc>
          <w:tcPr>
            <w:tcW w:w="379" w:type="pct"/>
            <w:tcBorders>
              <w:left w:val="single" w:sz="4" w:space="0" w:color="auto"/>
            </w:tcBorders>
            <w:shd w:val="clear" w:color="000000" w:fill="FFFFFF"/>
            <w:noWrap/>
            <w:vAlign w:val="bottom"/>
          </w:tcPr>
          <w:p w14:paraId="5D890DC1" w14:textId="77777777" w:rsidR="00717BA5" w:rsidRPr="00717BA5" w:rsidRDefault="00717BA5" w:rsidP="00717BA5">
            <w:pPr>
              <w:spacing w:after="0" w:line="240" w:lineRule="auto"/>
              <w:ind w:firstLineChars="100" w:firstLine="181"/>
              <w:jc w:val="right"/>
              <w:rPr>
                <w:rFonts w:ascii="Arial" w:eastAsia="Times New Roman" w:hAnsi="Arial" w:cs="Arial"/>
                <w:color w:val="auto"/>
                <w:sz w:val="18"/>
                <w:szCs w:val="18"/>
                <w:lang w:val="en-AU"/>
              </w:rPr>
            </w:pPr>
            <w:r w:rsidRPr="00717BA5">
              <w:rPr>
                <w:rFonts w:ascii="Arial" w:eastAsia="SimSun" w:hAnsi="Arial" w:cs="Arial"/>
                <w:b/>
                <w:bCs/>
                <w:color w:val="auto"/>
                <w:sz w:val="18"/>
                <w:szCs w:val="18"/>
                <w:lang w:val="en-AU" w:eastAsia="en-US"/>
              </w:rPr>
              <w:t>(241)</w:t>
            </w:r>
          </w:p>
        </w:tc>
      </w:tr>
      <w:tr w:rsidR="00717BA5" w:rsidRPr="00717BA5" w14:paraId="1AFCB61D" w14:textId="77777777" w:rsidTr="00F0752D">
        <w:trPr>
          <w:trHeight w:val="20"/>
        </w:trPr>
        <w:tc>
          <w:tcPr>
            <w:tcW w:w="2000" w:type="pct"/>
            <w:tcBorders>
              <w:top w:val="nil"/>
              <w:left w:val="nil"/>
              <w:bottom w:val="nil"/>
            </w:tcBorders>
            <w:shd w:val="clear" w:color="000000" w:fill="FFFFFF"/>
            <w:vAlign w:val="bottom"/>
          </w:tcPr>
          <w:p w14:paraId="7EADA9DC"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Disposals</w:t>
            </w:r>
          </w:p>
        </w:tc>
        <w:tc>
          <w:tcPr>
            <w:tcW w:w="450" w:type="pct"/>
            <w:tcBorders>
              <w:left w:val="nil"/>
              <w:bottom w:val="single" w:sz="4" w:space="0" w:color="auto"/>
              <w:right w:val="single" w:sz="4" w:space="0" w:color="auto"/>
            </w:tcBorders>
            <w:shd w:val="clear" w:color="000000" w:fill="FFFFFF"/>
            <w:vAlign w:val="bottom"/>
          </w:tcPr>
          <w:p w14:paraId="675A67E9"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448" w:type="pct"/>
            <w:tcBorders>
              <w:left w:val="nil"/>
              <w:bottom w:val="single" w:sz="4" w:space="0" w:color="auto"/>
              <w:right w:val="single" w:sz="4" w:space="0" w:color="auto"/>
            </w:tcBorders>
            <w:shd w:val="clear" w:color="000000" w:fill="FFFFFF"/>
            <w:vAlign w:val="bottom"/>
          </w:tcPr>
          <w:p w14:paraId="125153C1"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(43)</w:t>
            </w:r>
          </w:p>
        </w:tc>
        <w:tc>
          <w:tcPr>
            <w:tcW w:w="397" w:type="pct"/>
            <w:tcBorders>
              <w:left w:val="nil"/>
              <w:bottom w:val="single" w:sz="4" w:space="0" w:color="auto"/>
              <w:right w:val="single" w:sz="4" w:space="0" w:color="auto"/>
            </w:tcBorders>
            <w:shd w:val="clear" w:color="000000" w:fill="FFFFFF"/>
            <w:noWrap/>
            <w:vAlign w:val="bottom"/>
          </w:tcPr>
          <w:p w14:paraId="5506BB20"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447" w:type="pct"/>
            <w:tcBorders>
              <w:left w:val="single" w:sz="4" w:space="0" w:color="auto"/>
              <w:bottom w:val="single" w:sz="4" w:space="0" w:color="auto"/>
              <w:right w:val="single" w:sz="4" w:space="0" w:color="auto"/>
            </w:tcBorders>
            <w:shd w:val="clear" w:color="000000" w:fill="FFFFFF"/>
            <w:vAlign w:val="bottom"/>
          </w:tcPr>
          <w:p w14:paraId="7E459450"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404" w:type="pct"/>
            <w:tcBorders>
              <w:left w:val="single" w:sz="4" w:space="0" w:color="auto"/>
              <w:bottom w:val="single" w:sz="4" w:space="0" w:color="auto"/>
              <w:right w:val="single" w:sz="4" w:space="0" w:color="auto"/>
            </w:tcBorders>
            <w:shd w:val="clear" w:color="000000" w:fill="FFFFFF"/>
            <w:vAlign w:val="bottom"/>
          </w:tcPr>
          <w:p w14:paraId="4E57AB29"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w:t>
            </w:r>
          </w:p>
        </w:tc>
        <w:tc>
          <w:tcPr>
            <w:tcW w:w="475" w:type="pct"/>
            <w:tcBorders>
              <w:left w:val="single" w:sz="4" w:space="0" w:color="auto"/>
              <w:bottom w:val="single" w:sz="4" w:space="0" w:color="auto"/>
              <w:right w:val="single" w:sz="4" w:space="0" w:color="auto"/>
            </w:tcBorders>
            <w:shd w:val="clear" w:color="000000" w:fill="FFFFFF"/>
            <w:vAlign w:val="bottom"/>
          </w:tcPr>
          <w:p w14:paraId="144E2587"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379" w:type="pct"/>
            <w:tcBorders>
              <w:left w:val="single" w:sz="4" w:space="0" w:color="auto"/>
              <w:bottom w:val="single" w:sz="4" w:space="0" w:color="auto"/>
            </w:tcBorders>
            <w:shd w:val="clear" w:color="000000" w:fill="FFFFFF"/>
            <w:vAlign w:val="bottom"/>
          </w:tcPr>
          <w:p w14:paraId="15027986" w14:textId="77777777" w:rsidR="00717BA5" w:rsidRPr="00717BA5" w:rsidRDefault="00717BA5" w:rsidP="00717BA5">
            <w:pPr>
              <w:spacing w:after="0" w:line="240" w:lineRule="auto"/>
              <w:ind w:firstLineChars="100" w:firstLine="181"/>
              <w:jc w:val="right"/>
              <w:rPr>
                <w:rFonts w:ascii="Arial" w:eastAsia="Times New Roman" w:hAnsi="Arial" w:cs="Arial"/>
                <w:color w:val="auto"/>
                <w:sz w:val="18"/>
                <w:szCs w:val="18"/>
                <w:lang w:val="en-AU"/>
              </w:rPr>
            </w:pPr>
            <w:r w:rsidRPr="00717BA5">
              <w:rPr>
                <w:rFonts w:ascii="Arial" w:eastAsia="SimSun" w:hAnsi="Arial" w:cs="Arial"/>
                <w:b/>
                <w:bCs/>
                <w:color w:val="auto"/>
                <w:sz w:val="18"/>
                <w:szCs w:val="18"/>
                <w:lang w:val="en-AU" w:eastAsia="en-US"/>
              </w:rPr>
              <w:t>(44)</w:t>
            </w:r>
          </w:p>
        </w:tc>
      </w:tr>
      <w:tr w:rsidR="00717BA5" w:rsidRPr="00717BA5" w14:paraId="22EE1CAD" w14:textId="77777777" w:rsidTr="00F0752D">
        <w:trPr>
          <w:trHeight w:val="20"/>
        </w:trPr>
        <w:tc>
          <w:tcPr>
            <w:tcW w:w="2000" w:type="pct"/>
            <w:tcBorders>
              <w:left w:val="nil"/>
            </w:tcBorders>
            <w:shd w:val="clear" w:color="000000" w:fill="FFFFFF"/>
            <w:vAlign w:val="bottom"/>
          </w:tcPr>
          <w:p w14:paraId="6BE3455B" w14:textId="77777777" w:rsidR="00717BA5" w:rsidRPr="00717BA5" w:rsidRDefault="00717BA5" w:rsidP="00717BA5">
            <w:pPr>
              <w:spacing w:after="0" w:line="240" w:lineRule="auto"/>
              <w:ind w:firstLineChars="100" w:firstLine="181"/>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 at the End of the Reporting Period</w:t>
            </w:r>
          </w:p>
        </w:tc>
        <w:tc>
          <w:tcPr>
            <w:tcW w:w="450" w:type="pct"/>
            <w:tcBorders>
              <w:top w:val="single" w:sz="4" w:space="0" w:color="auto"/>
              <w:left w:val="nil"/>
              <w:bottom w:val="double" w:sz="4" w:space="0" w:color="auto"/>
              <w:right w:val="single" w:sz="4" w:space="0" w:color="auto"/>
            </w:tcBorders>
            <w:shd w:val="clear" w:color="000000" w:fill="FFFFFF"/>
            <w:noWrap/>
            <w:vAlign w:val="bottom"/>
          </w:tcPr>
          <w:p w14:paraId="08E8B790" w14:textId="77777777" w:rsidR="00717BA5" w:rsidRPr="00717BA5" w:rsidRDefault="00717BA5" w:rsidP="00717BA5">
            <w:pPr>
              <w:spacing w:after="0" w:line="240" w:lineRule="auto"/>
              <w:ind w:firstLineChars="100" w:firstLine="181"/>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996</w:t>
            </w:r>
          </w:p>
        </w:tc>
        <w:tc>
          <w:tcPr>
            <w:tcW w:w="448" w:type="pct"/>
            <w:tcBorders>
              <w:top w:val="single" w:sz="4" w:space="0" w:color="auto"/>
              <w:left w:val="nil"/>
              <w:bottom w:val="double" w:sz="4" w:space="0" w:color="auto"/>
              <w:right w:val="single" w:sz="4" w:space="0" w:color="auto"/>
            </w:tcBorders>
            <w:shd w:val="clear" w:color="000000" w:fill="FFFFFF"/>
            <w:noWrap/>
            <w:vAlign w:val="bottom"/>
          </w:tcPr>
          <w:p w14:paraId="62D6BA65" w14:textId="77777777" w:rsidR="00717BA5" w:rsidRPr="00717BA5" w:rsidRDefault="00717BA5" w:rsidP="00717BA5">
            <w:pPr>
              <w:spacing w:after="0" w:line="240" w:lineRule="auto"/>
              <w:ind w:firstLineChars="100" w:firstLine="181"/>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52</w:t>
            </w:r>
          </w:p>
        </w:tc>
        <w:tc>
          <w:tcPr>
            <w:tcW w:w="397" w:type="pct"/>
            <w:tcBorders>
              <w:top w:val="single" w:sz="4" w:space="0" w:color="auto"/>
              <w:left w:val="nil"/>
              <w:bottom w:val="double" w:sz="4" w:space="0" w:color="auto"/>
              <w:right w:val="single" w:sz="4" w:space="0" w:color="auto"/>
            </w:tcBorders>
            <w:shd w:val="clear" w:color="000000" w:fill="FFFFFF"/>
            <w:noWrap/>
            <w:vAlign w:val="bottom"/>
          </w:tcPr>
          <w:p w14:paraId="62B99F8A" w14:textId="77777777" w:rsidR="00717BA5" w:rsidRPr="00717BA5" w:rsidRDefault="00717BA5" w:rsidP="00717BA5">
            <w:pPr>
              <w:spacing w:after="0" w:line="240" w:lineRule="auto"/>
              <w:ind w:firstLineChars="100" w:firstLine="181"/>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w:t>
            </w:r>
          </w:p>
        </w:tc>
        <w:tc>
          <w:tcPr>
            <w:tcW w:w="447" w:type="pct"/>
            <w:tcBorders>
              <w:top w:val="single" w:sz="4" w:space="0" w:color="auto"/>
              <w:left w:val="single" w:sz="4" w:space="0" w:color="auto"/>
              <w:bottom w:val="double" w:sz="4" w:space="0" w:color="auto"/>
              <w:right w:val="single" w:sz="4" w:space="0" w:color="auto"/>
            </w:tcBorders>
            <w:shd w:val="clear" w:color="000000" w:fill="FFFFFF"/>
            <w:vAlign w:val="bottom"/>
          </w:tcPr>
          <w:p w14:paraId="062A4BBA" w14:textId="77777777" w:rsidR="00717BA5" w:rsidRPr="00717BA5" w:rsidRDefault="00717BA5" w:rsidP="00717BA5">
            <w:pPr>
              <w:spacing w:after="0" w:line="240" w:lineRule="auto"/>
              <w:ind w:firstLineChars="100" w:firstLine="181"/>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26</w:t>
            </w:r>
          </w:p>
        </w:tc>
        <w:tc>
          <w:tcPr>
            <w:tcW w:w="404" w:type="pct"/>
            <w:tcBorders>
              <w:top w:val="single" w:sz="4" w:space="0" w:color="auto"/>
              <w:left w:val="single" w:sz="4" w:space="0" w:color="auto"/>
              <w:bottom w:val="double" w:sz="4" w:space="0" w:color="auto"/>
              <w:right w:val="single" w:sz="4" w:space="0" w:color="auto"/>
            </w:tcBorders>
            <w:shd w:val="clear" w:color="000000" w:fill="FFFFFF"/>
            <w:vAlign w:val="bottom"/>
          </w:tcPr>
          <w:p w14:paraId="1FA7C2D7" w14:textId="77777777" w:rsidR="00717BA5" w:rsidRPr="00717BA5" w:rsidRDefault="00717BA5" w:rsidP="00717BA5">
            <w:pPr>
              <w:spacing w:after="0" w:line="240" w:lineRule="auto"/>
              <w:ind w:firstLineChars="100" w:firstLine="181"/>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48</w:t>
            </w:r>
          </w:p>
        </w:tc>
        <w:tc>
          <w:tcPr>
            <w:tcW w:w="475" w:type="pct"/>
            <w:tcBorders>
              <w:top w:val="single" w:sz="4" w:space="0" w:color="auto"/>
              <w:left w:val="single" w:sz="4" w:space="0" w:color="auto"/>
              <w:bottom w:val="double" w:sz="4" w:space="0" w:color="auto"/>
              <w:right w:val="single" w:sz="4" w:space="0" w:color="auto"/>
            </w:tcBorders>
            <w:shd w:val="clear" w:color="000000" w:fill="FFFFFF"/>
            <w:vAlign w:val="bottom"/>
          </w:tcPr>
          <w:p w14:paraId="01EA624A" w14:textId="77777777" w:rsidR="00717BA5" w:rsidRPr="00717BA5" w:rsidRDefault="00717BA5" w:rsidP="00717BA5">
            <w:pPr>
              <w:spacing w:after="0" w:line="240" w:lineRule="auto"/>
              <w:ind w:firstLineChars="100" w:firstLine="181"/>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373</w:t>
            </w:r>
          </w:p>
        </w:tc>
        <w:tc>
          <w:tcPr>
            <w:tcW w:w="379" w:type="pct"/>
            <w:tcBorders>
              <w:top w:val="single" w:sz="4" w:space="0" w:color="auto"/>
              <w:left w:val="single" w:sz="4" w:space="0" w:color="auto"/>
              <w:bottom w:val="double" w:sz="4" w:space="0" w:color="auto"/>
            </w:tcBorders>
            <w:shd w:val="clear" w:color="000000" w:fill="FFFFFF"/>
            <w:noWrap/>
            <w:vAlign w:val="bottom"/>
          </w:tcPr>
          <w:p w14:paraId="17C95C7E" w14:textId="77777777" w:rsidR="00717BA5" w:rsidRPr="00717BA5" w:rsidRDefault="00717BA5" w:rsidP="00717BA5">
            <w:pPr>
              <w:spacing w:after="0" w:line="240" w:lineRule="auto"/>
              <w:ind w:firstLineChars="100" w:firstLine="181"/>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1,496</w:t>
            </w:r>
          </w:p>
        </w:tc>
      </w:tr>
      <w:tr w:rsidR="00717BA5" w:rsidRPr="00717BA5" w14:paraId="4678DADC" w14:textId="77777777" w:rsidTr="00F0752D">
        <w:trPr>
          <w:trHeight w:val="272"/>
        </w:trPr>
        <w:tc>
          <w:tcPr>
            <w:tcW w:w="2000" w:type="pct"/>
            <w:tcBorders>
              <w:left w:val="nil"/>
            </w:tcBorders>
            <w:shd w:val="clear" w:color="000000" w:fill="FFFFFF"/>
            <w:vAlign w:val="bottom"/>
          </w:tcPr>
          <w:p w14:paraId="23CEED98" w14:textId="77777777" w:rsidR="00717BA5" w:rsidRPr="00717BA5" w:rsidRDefault="00717BA5" w:rsidP="00717BA5">
            <w:pPr>
              <w:spacing w:after="0" w:line="240" w:lineRule="auto"/>
              <w:ind w:firstLineChars="100" w:firstLine="181"/>
              <w:rPr>
                <w:rFonts w:ascii="Arial" w:eastAsia="Times New Roman" w:hAnsi="Arial" w:cs="Arial"/>
                <w:b/>
                <w:bCs/>
                <w:color w:val="auto"/>
                <w:sz w:val="18"/>
                <w:szCs w:val="18"/>
                <w:lang w:val="en-AU"/>
              </w:rPr>
            </w:pPr>
          </w:p>
        </w:tc>
        <w:tc>
          <w:tcPr>
            <w:tcW w:w="450" w:type="pct"/>
            <w:tcBorders>
              <w:top w:val="double" w:sz="4" w:space="0" w:color="auto"/>
              <w:left w:val="nil"/>
              <w:bottom w:val="single" w:sz="4" w:space="0" w:color="auto"/>
              <w:right w:val="single" w:sz="4" w:space="0" w:color="auto"/>
            </w:tcBorders>
            <w:shd w:val="clear" w:color="000000" w:fill="FFFFFF"/>
            <w:noWrap/>
            <w:vAlign w:val="bottom"/>
          </w:tcPr>
          <w:p w14:paraId="547DA467"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48" w:type="pct"/>
            <w:tcBorders>
              <w:top w:val="double" w:sz="4" w:space="0" w:color="auto"/>
              <w:left w:val="nil"/>
              <w:bottom w:val="single" w:sz="4" w:space="0" w:color="auto"/>
              <w:right w:val="single" w:sz="4" w:space="0" w:color="auto"/>
            </w:tcBorders>
            <w:shd w:val="clear" w:color="000000" w:fill="FFFFFF"/>
            <w:noWrap/>
            <w:vAlign w:val="bottom"/>
          </w:tcPr>
          <w:p w14:paraId="7318E87E"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397" w:type="pct"/>
            <w:tcBorders>
              <w:top w:val="double" w:sz="4" w:space="0" w:color="auto"/>
              <w:left w:val="nil"/>
              <w:bottom w:val="single" w:sz="4" w:space="0" w:color="auto"/>
              <w:right w:val="single" w:sz="4" w:space="0" w:color="auto"/>
            </w:tcBorders>
            <w:shd w:val="clear" w:color="000000" w:fill="FFFFFF"/>
            <w:noWrap/>
            <w:vAlign w:val="bottom"/>
          </w:tcPr>
          <w:p w14:paraId="1D9C2B40"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47" w:type="pct"/>
            <w:tcBorders>
              <w:top w:val="double" w:sz="4" w:space="0" w:color="auto"/>
              <w:left w:val="single" w:sz="4" w:space="0" w:color="auto"/>
              <w:bottom w:val="single" w:sz="4" w:space="0" w:color="auto"/>
              <w:right w:val="single" w:sz="4" w:space="0" w:color="auto"/>
            </w:tcBorders>
            <w:shd w:val="clear" w:color="000000" w:fill="FFFFFF"/>
            <w:vAlign w:val="bottom"/>
          </w:tcPr>
          <w:p w14:paraId="0B340B4C"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04" w:type="pct"/>
            <w:tcBorders>
              <w:top w:val="double" w:sz="4" w:space="0" w:color="auto"/>
              <w:left w:val="single" w:sz="4" w:space="0" w:color="auto"/>
              <w:bottom w:val="single" w:sz="4" w:space="0" w:color="auto"/>
              <w:right w:val="single" w:sz="4" w:space="0" w:color="auto"/>
            </w:tcBorders>
            <w:shd w:val="clear" w:color="000000" w:fill="FFFFFF"/>
            <w:vAlign w:val="bottom"/>
          </w:tcPr>
          <w:p w14:paraId="66A21C4D"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75" w:type="pct"/>
            <w:tcBorders>
              <w:top w:val="double" w:sz="4" w:space="0" w:color="auto"/>
              <w:left w:val="single" w:sz="4" w:space="0" w:color="auto"/>
              <w:bottom w:val="single" w:sz="4" w:space="0" w:color="auto"/>
              <w:right w:val="single" w:sz="4" w:space="0" w:color="auto"/>
            </w:tcBorders>
            <w:shd w:val="clear" w:color="000000" w:fill="FFFFFF"/>
            <w:vAlign w:val="bottom"/>
          </w:tcPr>
          <w:p w14:paraId="7424B0ED"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379" w:type="pct"/>
            <w:tcBorders>
              <w:top w:val="double" w:sz="4" w:space="0" w:color="auto"/>
              <w:left w:val="single" w:sz="4" w:space="0" w:color="auto"/>
              <w:bottom w:val="single" w:sz="4" w:space="0" w:color="auto"/>
            </w:tcBorders>
            <w:shd w:val="clear" w:color="000000" w:fill="FFFFFF"/>
            <w:noWrap/>
            <w:vAlign w:val="bottom"/>
          </w:tcPr>
          <w:p w14:paraId="3EA47713"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r>
      <w:tr w:rsidR="00717BA5" w:rsidRPr="00717BA5" w14:paraId="764F43BB" w14:textId="77777777" w:rsidTr="00F0752D">
        <w:trPr>
          <w:trHeight w:val="272"/>
        </w:trPr>
        <w:tc>
          <w:tcPr>
            <w:tcW w:w="2450" w:type="pct"/>
            <w:gridSpan w:val="2"/>
            <w:tcBorders>
              <w:left w:val="nil"/>
              <w:right w:val="single" w:sz="4" w:space="0" w:color="auto"/>
            </w:tcBorders>
            <w:shd w:val="clear" w:color="000000" w:fill="FFFFFF"/>
            <w:vAlign w:val="bottom"/>
          </w:tcPr>
          <w:p w14:paraId="2571044A"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Carrying Amount at the End of the Reporting Period is represented by:</w:t>
            </w:r>
          </w:p>
        </w:tc>
        <w:tc>
          <w:tcPr>
            <w:tcW w:w="448" w:type="pct"/>
            <w:tcBorders>
              <w:top w:val="single" w:sz="4" w:space="0" w:color="auto"/>
              <w:left w:val="nil"/>
              <w:bottom w:val="single" w:sz="4" w:space="0" w:color="auto"/>
              <w:right w:val="single" w:sz="4" w:space="0" w:color="auto"/>
            </w:tcBorders>
            <w:shd w:val="clear" w:color="000000" w:fill="FFFFFF"/>
            <w:noWrap/>
            <w:vAlign w:val="bottom"/>
          </w:tcPr>
          <w:p w14:paraId="7BBE409A"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397" w:type="pct"/>
            <w:tcBorders>
              <w:top w:val="single" w:sz="4" w:space="0" w:color="auto"/>
              <w:left w:val="nil"/>
              <w:bottom w:val="single" w:sz="4" w:space="0" w:color="auto"/>
              <w:right w:val="single" w:sz="4" w:space="0" w:color="auto"/>
            </w:tcBorders>
            <w:shd w:val="clear" w:color="000000" w:fill="FFFFFF"/>
            <w:noWrap/>
            <w:vAlign w:val="bottom"/>
          </w:tcPr>
          <w:p w14:paraId="4CC15D37"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47" w:type="pct"/>
            <w:tcBorders>
              <w:top w:val="single" w:sz="4" w:space="0" w:color="auto"/>
              <w:left w:val="single" w:sz="4" w:space="0" w:color="auto"/>
              <w:bottom w:val="single" w:sz="4" w:space="0" w:color="auto"/>
              <w:right w:val="single" w:sz="4" w:space="0" w:color="auto"/>
            </w:tcBorders>
            <w:shd w:val="clear" w:color="000000" w:fill="FFFFFF"/>
            <w:vAlign w:val="bottom"/>
          </w:tcPr>
          <w:p w14:paraId="3121D7D4"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04" w:type="pct"/>
            <w:tcBorders>
              <w:top w:val="single" w:sz="4" w:space="0" w:color="auto"/>
              <w:left w:val="single" w:sz="4" w:space="0" w:color="auto"/>
              <w:bottom w:val="single" w:sz="4" w:space="0" w:color="auto"/>
              <w:right w:val="single" w:sz="4" w:space="0" w:color="auto"/>
            </w:tcBorders>
            <w:shd w:val="clear" w:color="000000" w:fill="FFFFFF"/>
            <w:vAlign w:val="bottom"/>
          </w:tcPr>
          <w:p w14:paraId="7A61B97A"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75" w:type="pct"/>
            <w:tcBorders>
              <w:top w:val="single" w:sz="4" w:space="0" w:color="auto"/>
              <w:left w:val="single" w:sz="4" w:space="0" w:color="auto"/>
              <w:bottom w:val="single" w:sz="4" w:space="0" w:color="auto"/>
              <w:right w:val="single" w:sz="4" w:space="0" w:color="auto"/>
            </w:tcBorders>
            <w:shd w:val="clear" w:color="000000" w:fill="FFFFFF"/>
            <w:vAlign w:val="bottom"/>
          </w:tcPr>
          <w:p w14:paraId="121578E1"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379" w:type="pct"/>
            <w:tcBorders>
              <w:top w:val="single" w:sz="4" w:space="0" w:color="auto"/>
              <w:left w:val="single" w:sz="4" w:space="0" w:color="auto"/>
              <w:bottom w:val="single" w:sz="4" w:space="0" w:color="auto"/>
            </w:tcBorders>
            <w:shd w:val="clear" w:color="000000" w:fill="FFFFFF"/>
            <w:noWrap/>
            <w:vAlign w:val="bottom"/>
          </w:tcPr>
          <w:p w14:paraId="5CCB1771"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r>
      <w:tr w:rsidR="00717BA5" w:rsidRPr="00717BA5" w14:paraId="0F5A1FFB" w14:textId="77777777" w:rsidTr="00F0752D">
        <w:trPr>
          <w:trHeight w:val="20"/>
        </w:trPr>
        <w:tc>
          <w:tcPr>
            <w:tcW w:w="2000" w:type="pct"/>
            <w:tcBorders>
              <w:left w:val="nil"/>
            </w:tcBorders>
            <w:shd w:val="clear" w:color="000000" w:fill="FFFFFF"/>
            <w:vAlign w:val="bottom"/>
          </w:tcPr>
          <w:p w14:paraId="59E65C89"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Gross Book Value</w:t>
            </w:r>
          </w:p>
        </w:tc>
        <w:tc>
          <w:tcPr>
            <w:tcW w:w="450" w:type="pct"/>
            <w:tcBorders>
              <w:top w:val="single" w:sz="4" w:space="0" w:color="auto"/>
              <w:left w:val="nil"/>
              <w:bottom w:val="single" w:sz="4" w:space="0" w:color="auto"/>
              <w:right w:val="single" w:sz="4" w:space="0" w:color="auto"/>
            </w:tcBorders>
            <w:shd w:val="clear" w:color="000000" w:fill="FFFFFF"/>
            <w:noWrap/>
            <w:vAlign w:val="bottom"/>
          </w:tcPr>
          <w:p w14:paraId="7578DA7E"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1,905</w:t>
            </w:r>
          </w:p>
        </w:tc>
        <w:tc>
          <w:tcPr>
            <w:tcW w:w="448" w:type="pct"/>
            <w:tcBorders>
              <w:top w:val="single" w:sz="4" w:space="0" w:color="auto"/>
              <w:left w:val="nil"/>
              <w:bottom w:val="single" w:sz="4" w:space="0" w:color="auto"/>
              <w:right w:val="single" w:sz="4" w:space="0" w:color="auto"/>
            </w:tcBorders>
            <w:shd w:val="clear" w:color="000000" w:fill="FFFFFF"/>
            <w:noWrap/>
            <w:vAlign w:val="bottom"/>
          </w:tcPr>
          <w:p w14:paraId="3863151A"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58</w:t>
            </w:r>
          </w:p>
        </w:tc>
        <w:tc>
          <w:tcPr>
            <w:tcW w:w="397" w:type="pct"/>
            <w:tcBorders>
              <w:top w:val="single" w:sz="4" w:space="0" w:color="auto"/>
              <w:left w:val="nil"/>
              <w:bottom w:val="single" w:sz="4" w:space="0" w:color="auto"/>
              <w:right w:val="single" w:sz="4" w:space="0" w:color="auto"/>
            </w:tcBorders>
            <w:shd w:val="clear" w:color="000000" w:fill="FFFFFF"/>
            <w:noWrap/>
            <w:vAlign w:val="bottom"/>
          </w:tcPr>
          <w:p w14:paraId="4C2D4DB4"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447" w:type="pct"/>
            <w:tcBorders>
              <w:top w:val="single" w:sz="4" w:space="0" w:color="auto"/>
              <w:left w:val="single" w:sz="4" w:space="0" w:color="auto"/>
              <w:bottom w:val="single" w:sz="4" w:space="0" w:color="auto"/>
              <w:right w:val="single" w:sz="4" w:space="0" w:color="auto"/>
            </w:tcBorders>
            <w:shd w:val="clear" w:color="000000" w:fill="FFFFFF"/>
            <w:vAlign w:val="bottom"/>
          </w:tcPr>
          <w:p w14:paraId="010AC245"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39</w:t>
            </w:r>
          </w:p>
        </w:tc>
        <w:tc>
          <w:tcPr>
            <w:tcW w:w="404" w:type="pct"/>
            <w:tcBorders>
              <w:top w:val="single" w:sz="4" w:space="0" w:color="auto"/>
              <w:left w:val="single" w:sz="4" w:space="0" w:color="auto"/>
              <w:bottom w:val="single" w:sz="4" w:space="0" w:color="auto"/>
              <w:right w:val="single" w:sz="4" w:space="0" w:color="auto"/>
            </w:tcBorders>
            <w:shd w:val="clear" w:color="000000" w:fill="FFFFFF"/>
            <w:vAlign w:val="bottom"/>
          </w:tcPr>
          <w:p w14:paraId="14CB764F"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111</w:t>
            </w:r>
          </w:p>
        </w:tc>
        <w:tc>
          <w:tcPr>
            <w:tcW w:w="475" w:type="pct"/>
            <w:tcBorders>
              <w:top w:val="single" w:sz="4" w:space="0" w:color="auto"/>
              <w:left w:val="single" w:sz="4" w:space="0" w:color="auto"/>
              <w:bottom w:val="single" w:sz="4" w:space="0" w:color="auto"/>
              <w:right w:val="single" w:sz="4" w:space="0" w:color="auto"/>
            </w:tcBorders>
            <w:shd w:val="clear" w:color="000000" w:fill="FFFFFF"/>
            <w:vAlign w:val="bottom"/>
          </w:tcPr>
          <w:p w14:paraId="5C8672BD"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515</w:t>
            </w:r>
          </w:p>
        </w:tc>
        <w:tc>
          <w:tcPr>
            <w:tcW w:w="379" w:type="pct"/>
            <w:tcBorders>
              <w:top w:val="single" w:sz="4" w:space="0" w:color="auto"/>
              <w:left w:val="single" w:sz="4" w:space="0" w:color="auto"/>
              <w:bottom w:val="single" w:sz="4" w:space="0" w:color="auto"/>
            </w:tcBorders>
            <w:shd w:val="clear" w:color="000000" w:fill="FFFFFF"/>
            <w:noWrap/>
            <w:vAlign w:val="bottom"/>
          </w:tcPr>
          <w:p w14:paraId="2CECB14A" w14:textId="77777777" w:rsidR="00717BA5" w:rsidRPr="00717BA5" w:rsidRDefault="00717BA5" w:rsidP="00717BA5">
            <w:pPr>
              <w:spacing w:after="0" w:line="240" w:lineRule="auto"/>
              <w:ind w:firstLineChars="100" w:firstLine="181"/>
              <w:jc w:val="right"/>
              <w:rPr>
                <w:rFonts w:ascii="Arial" w:eastAsia="Times New Roman" w:hAnsi="Arial" w:cs="Arial"/>
                <w:color w:val="auto"/>
                <w:sz w:val="18"/>
                <w:szCs w:val="18"/>
                <w:lang w:val="en-AU"/>
              </w:rPr>
            </w:pPr>
            <w:r w:rsidRPr="00717BA5">
              <w:rPr>
                <w:rFonts w:ascii="Arial" w:eastAsia="SimSun" w:hAnsi="Arial" w:cs="Arial"/>
                <w:b/>
                <w:bCs/>
                <w:color w:val="auto"/>
                <w:sz w:val="18"/>
                <w:szCs w:val="18"/>
                <w:lang w:val="en-AU" w:eastAsia="en-US"/>
              </w:rPr>
              <w:t>2,629</w:t>
            </w:r>
          </w:p>
        </w:tc>
      </w:tr>
      <w:tr w:rsidR="00717BA5" w:rsidRPr="00717BA5" w14:paraId="48AB3745" w14:textId="77777777" w:rsidTr="00F0752D">
        <w:trPr>
          <w:trHeight w:val="20"/>
        </w:trPr>
        <w:tc>
          <w:tcPr>
            <w:tcW w:w="2000" w:type="pct"/>
            <w:tcBorders>
              <w:left w:val="nil"/>
            </w:tcBorders>
            <w:shd w:val="clear" w:color="000000" w:fill="FFFFFF"/>
            <w:vAlign w:val="bottom"/>
          </w:tcPr>
          <w:p w14:paraId="0F898739"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Accumulated Depreciation</w:t>
            </w:r>
          </w:p>
        </w:tc>
        <w:tc>
          <w:tcPr>
            <w:tcW w:w="450" w:type="pct"/>
            <w:tcBorders>
              <w:top w:val="single" w:sz="4" w:space="0" w:color="auto"/>
              <w:left w:val="nil"/>
              <w:bottom w:val="single" w:sz="4" w:space="0" w:color="auto"/>
              <w:right w:val="single" w:sz="4" w:space="0" w:color="auto"/>
            </w:tcBorders>
            <w:shd w:val="clear" w:color="000000" w:fill="FFFFFF"/>
            <w:noWrap/>
            <w:vAlign w:val="bottom"/>
          </w:tcPr>
          <w:p w14:paraId="2A156189"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(909)</w:t>
            </w:r>
          </w:p>
        </w:tc>
        <w:tc>
          <w:tcPr>
            <w:tcW w:w="448" w:type="pct"/>
            <w:tcBorders>
              <w:top w:val="single" w:sz="4" w:space="0" w:color="auto"/>
              <w:left w:val="nil"/>
              <w:bottom w:val="single" w:sz="4" w:space="0" w:color="auto"/>
              <w:right w:val="single" w:sz="4" w:space="0" w:color="auto"/>
            </w:tcBorders>
            <w:shd w:val="clear" w:color="000000" w:fill="FFFFFF"/>
            <w:noWrap/>
            <w:vAlign w:val="bottom"/>
          </w:tcPr>
          <w:p w14:paraId="114B97B8"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(6)</w:t>
            </w:r>
          </w:p>
        </w:tc>
        <w:tc>
          <w:tcPr>
            <w:tcW w:w="397" w:type="pct"/>
            <w:tcBorders>
              <w:top w:val="single" w:sz="4" w:space="0" w:color="auto"/>
              <w:left w:val="nil"/>
              <w:bottom w:val="single" w:sz="4" w:space="0" w:color="auto"/>
              <w:right w:val="single" w:sz="4" w:space="0" w:color="auto"/>
            </w:tcBorders>
            <w:shd w:val="clear" w:color="000000" w:fill="FFFFFF"/>
            <w:noWrap/>
            <w:vAlign w:val="bottom"/>
          </w:tcPr>
          <w:p w14:paraId="1C08243F"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447" w:type="pct"/>
            <w:tcBorders>
              <w:top w:val="single" w:sz="4" w:space="0" w:color="auto"/>
              <w:left w:val="single" w:sz="4" w:space="0" w:color="auto"/>
              <w:bottom w:val="single" w:sz="4" w:space="0" w:color="auto"/>
              <w:right w:val="single" w:sz="4" w:space="0" w:color="auto"/>
            </w:tcBorders>
            <w:shd w:val="clear" w:color="000000" w:fill="FFFFFF"/>
            <w:vAlign w:val="bottom"/>
          </w:tcPr>
          <w:p w14:paraId="7F63336A"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(12)</w:t>
            </w:r>
          </w:p>
        </w:tc>
        <w:tc>
          <w:tcPr>
            <w:tcW w:w="404" w:type="pct"/>
            <w:tcBorders>
              <w:top w:val="single" w:sz="4" w:space="0" w:color="auto"/>
              <w:left w:val="single" w:sz="4" w:space="0" w:color="auto"/>
              <w:bottom w:val="single" w:sz="4" w:space="0" w:color="auto"/>
              <w:right w:val="single" w:sz="4" w:space="0" w:color="auto"/>
            </w:tcBorders>
            <w:shd w:val="clear" w:color="000000" w:fill="FFFFFF"/>
            <w:vAlign w:val="bottom"/>
          </w:tcPr>
          <w:p w14:paraId="1BB861FF"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(63)</w:t>
            </w:r>
          </w:p>
        </w:tc>
        <w:tc>
          <w:tcPr>
            <w:tcW w:w="475" w:type="pct"/>
            <w:tcBorders>
              <w:top w:val="single" w:sz="4" w:space="0" w:color="auto"/>
              <w:left w:val="single" w:sz="4" w:space="0" w:color="auto"/>
              <w:bottom w:val="single" w:sz="4" w:space="0" w:color="auto"/>
              <w:right w:val="single" w:sz="4" w:space="0" w:color="auto"/>
            </w:tcBorders>
            <w:shd w:val="clear" w:color="000000" w:fill="FFFFFF"/>
            <w:vAlign w:val="bottom"/>
          </w:tcPr>
          <w:p w14:paraId="0B942A1D"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(143)</w:t>
            </w:r>
          </w:p>
        </w:tc>
        <w:tc>
          <w:tcPr>
            <w:tcW w:w="379" w:type="pct"/>
            <w:tcBorders>
              <w:top w:val="single" w:sz="4" w:space="0" w:color="auto"/>
              <w:left w:val="single" w:sz="4" w:space="0" w:color="auto"/>
              <w:bottom w:val="single" w:sz="4" w:space="0" w:color="auto"/>
            </w:tcBorders>
            <w:shd w:val="clear" w:color="000000" w:fill="FFFFFF"/>
            <w:noWrap/>
            <w:vAlign w:val="bottom"/>
          </w:tcPr>
          <w:p w14:paraId="4E205009" w14:textId="77777777" w:rsidR="00717BA5" w:rsidRPr="00717BA5" w:rsidRDefault="00717BA5" w:rsidP="00717BA5">
            <w:pPr>
              <w:spacing w:after="0" w:line="240" w:lineRule="auto"/>
              <w:ind w:firstLineChars="100" w:firstLine="181"/>
              <w:jc w:val="right"/>
              <w:rPr>
                <w:rFonts w:ascii="Arial" w:eastAsia="Times New Roman" w:hAnsi="Arial" w:cs="Arial"/>
                <w:color w:val="auto"/>
                <w:sz w:val="18"/>
                <w:szCs w:val="18"/>
                <w:lang w:val="en-AU"/>
              </w:rPr>
            </w:pPr>
            <w:r w:rsidRPr="00717BA5">
              <w:rPr>
                <w:rFonts w:ascii="Arial" w:eastAsia="SimSun" w:hAnsi="Arial" w:cs="Arial"/>
                <w:b/>
                <w:bCs/>
                <w:color w:val="auto"/>
                <w:sz w:val="18"/>
                <w:szCs w:val="18"/>
                <w:lang w:val="en-AU" w:eastAsia="en-US"/>
              </w:rPr>
              <w:t>(1,133)</w:t>
            </w:r>
          </w:p>
        </w:tc>
      </w:tr>
      <w:tr w:rsidR="00717BA5" w:rsidRPr="00717BA5" w14:paraId="26374664" w14:textId="77777777" w:rsidTr="00F0752D">
        <w:trPr>
          <w:trHeight w:val="20"/>
        </w:trPr>
        <w:tc>
          <w:tcPr>
            <w:tcW w:w="2000" w:type="pct"/>
            <w:tcBorders>
              <w:left w:val="nil"/>
            </w:tcBorders>
            <w:shd w:val="clear" w:color="000000" w:fill="FFFFFF"/>
            <w:vAlign w:val="bottom"/>
          </w:tcPr>
          <w:p w14:paraId="6B742F46" w14:textId="77777777" w:rsidR="00717BA5" w:rsidRPr="00717BA5" w:rsidRDefault="00717BA5" w:rsidP="00717BA5">
            <w:pPr>
              <w:spacing w:after="0" w:line="240" w:lineRule="auto"/>
              <w:ind w:firstLineChars="100" w:firstLine="181"/>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 at the End of the Reporting Period</w:t>
            </w:r>
          </w:p>
        </w:tc>
        <w:tc>
          <w:tcPr>
            <w:tcW w:w="450" w:type="pct"/>
            <w:tcBorders>
              <w:top w:val="single" w:sz="4" w:space="0" w:color="auto"/>
              <w:left w:val="nil"/>
              <w:bottom w:val="double" w:sz="6" w:space="0" w:color="auto"/>
              <w:right w:val="single" w:sz="4" w:space="0" w:color="auto"/>
            </w:tcBorders>
            <w:shd w:val="clear" w:color="000000" w:fill="FFFFFF"/>
            <w:noWrap/>
            <w:vAlign w:val="bottom"/>
          </w:tcPr>
          <w:p w14:paraId="63468F22"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996</w:t>
            </w:r>
          </w:p>
        </w:tc>
        <w:tc>
          <w:tcPr>
            <w:tcW w:w="448" w:type="pct"/>
            <w:tcBorders>
              <w:top w:val="single" w:sz="4" w:space="0" w:color="auto"/>
              <w:left w:val="nil"/>
              <w:bottom w:val="double" w:sz="6" w:space="0" w:color="auto"/>
              <w:right w:val="single" w:sz="4" w:space="0" w:color="auto"/>
            </w:tcBorders>
            <w:shd w:val="clear" w:color="000000" w:fill="FFFFFF"/>
            <w:noWrap/>
            <w:vAlign w:val="bottom"/>
          </w:tcPr>
          <w:p w14:paraId="24EDEB30"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52</w:t>
            </w:r>
          </w:p>
        </w:tc>
        <w:tc>
          <w:tcPr>
            <w:tcW w:w="397" w:type="pct"/>
            <w:tcBorders>
              <w:top w:val="single" w:sz="4" w:space="0" w:color="auto"/>
              <w:left w:val="nil"/>
              <w:bottom w:val="double" w:sz="6" w:space="0" w:color="auto"/>
              <w:right w:val="single" w:sz="4" w:space="0" w:color="auto"/>
            </w:tcBorders>
            <w:shd w:val="clear" w:color="000000" w:fill="FFFFFF"/>
            <w:noWrap/>
            <w:vAlign w:val="bottom"/>
          </w:tcPr>
          <w:p w14:paraId="56645020"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w:t>
            </w:r>
          </w:p>
        </w:tc>
        <w:tc>
          <w:tcPr>
            <w:tcW w:w="447" w:type="pct"/>
            <w:tcBorders>
              <w:top w:val="single" w:sz="4" w:space="0" w:color="auto"/>
              <w:left w:val="single" w:sz="4" w:space="0" w:color="auto"/>
              <w:bottom w:val="double" w:sz="6" w:space="0" w:color="auto"/>
              <w:right w:val="single" w:sz="4" w:space="0" w:color="auto"/>
            </w:tcBorders>
            <w:shd w:val="clear" w:color="000000" w:fill="FFFFFF"/>
            <w:vAlign w:val="bottom"/>
          </w:tcPr>
          <w:p w14:paraId="6162C499"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26</w:t>
            </w:r>
          </w:p>
        </w:tc>
        <w:tc>
          <w:tcPr>
            <w:tcW w:w="404" w:type="pct"/>
            <w:tcBorders>
              <w:top w:val="single" w:sz="4" w:space="0" w:color="auto"/>
              <w:left w:val="single" w:sz="4" w:space="0" w:color="auto"/>
              <w:bottom w:val="double" w:sz="6" w:space="0" w:color="auto"/>
              <w:right w:val="single" w:sz="4" w:space="0" w:color="auto"/>
            </w:tcBorders>
            <w:shd w:val="clear" w:color="000000" w:fill="FFFFFF"/>
            <w:vAlign w:val="bottom"/>
          </w:tcPr>
          <w:p w14:paraId="251D0DC8"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48</w:t>
            </w:r>
          </w:p>
        </w:tc>
        <w:tc>
          <w:tcPr>
            <w:tcW w:w="475" w:type="pct"/>
            <w:tcBorders>
              <w:top w:val="single" w:sz="4" w:space="0" w:color="auto"/>
              <w:left w:val="single" w:sz="4" w:space="0" w:color="auto"/>
              <w:bottom w:val="double" w:sz="6" w:space="0" w:color="auto"/>
              <w:right w:val="single" w:sz="4" w:space="0" w:color="auto"/>
            </w:tcBorders>
            <w:shd w:val="clear" w:color="000000" w:fill="FFFFFF"/>
            <w:vAlign w:val="bottom"/>
          </w:tcPr>
          <w:p w14:paraId="66A67038"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373</w:t>
            </w:r>
          </w:p>
        </w:tc>
        <w:tc>
          <w:tcPr>
            <w:tcW w:w="379" w:type="pct"/>
            <w:tcBorders>
              <w:top w:val="single" w:sz="4" w:space="0" w:color="auto"/>
              <w:left w:val="single" w:sz="4" w:space="0" w:color="auto"/>
              <w:bottom w:val="double" w:sz="6" w:space="0" w:color="auto"/>
            </w:tcBorders>
            <w:shd w:val="clear" w:color="000000" w:fill="FFFFFF"/>
            <w:noWrap/>
            <w:vAlign w:val="bottom"/>
          </w:tcPr>
          <w:p w14:paraId="1A2C07E3"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1,496</w:t>
            </w:r>
          </w:p>
        </w:tc>
      </w:tr>
      <w:bookmarkEnd w:id="102"/>
    </w:tbl>
    <w:p w14:paraId="31942346" w14:textId="77777777" w:rsidR="00717BA5" w:rsidRPr="00717BA5" w:rsidRDefault="00717BA5" w:rsidP="00717BA5">
      <w:pPr>
        <w:spacing w:after="120" w:line="240" w:lineRule="auto"/>
        <w:jc w:val="both"/>
        <w:rPr>
          <w:rFonts w:ascii="Arial" w:eastAsia="Times New Roman" w:hAnsi="Arial" w:cs="Arial"/>
          <w:color w:val="auto"/>
          <w:sz w:val="14"/>
          <w:szCs w:val="14"/>
          <w:lang w:val="en-AU"/>
        </w:rPr>
      </w:pPr>
    </w:p>
    <w:p w14:paraId="1B1A1012" w14:textId="77777777" w:rsidR="00717BA5" w:rsidRPr="00717BA5" w:rsidRDefault="00717BA5" w:rsidP="00717BA5">
      <w:pPr>
        <w:spacing w:after="0" w:line="240" w:lineRule="auto"/>
        <w:jc w:val="both"/>
        <w:rPr>
          <w:rFonts w:ascii="Arial" w:eastAsia="SimSun" w:hAnsi="Arial" w:cs="Arial"/>
          <w:color w:val="auto"/>
          <w:lang w:val="en-AU"/>
        </w:rPr>
      </w:pPr>
    </w:p>
    <w:p w14:paraId="51E73BA2" w14:textId="77777777" w:rsidR="00717BA5" w:rsidRPr="00717BA5" w:rsidRDefault="00717BA5" w:rsidP="00717BA5">
      <w:pPr>
        <w:spacing w:after="0" w:line="240" w:lineRule="auto"/>
        <w:jc w:val="both"/>
        <w:rPr>
          <w:rFonts w:ascii="Arial" w:eastAsia="SimSun" w:hAnsi="Arial" w:cs="Arial"/>
          <w:color w:val="auto"/>
          <w:lang w:val="en-AU"/>
        </w:rPr>
      </w:pPr>
    </w:p>
    <w:p w14:paraId="2EE79F6D" w14:textId="77777777" w:rsidR="00717BA5" w:rsidRPr="00717BA5" w:rsidRDefault="00717BA5" w:rsidP="00717BA5">
      <w:pPr>
        <w:spacing w:after="0" w:line="240" w:lineRule="auto"/>
        <w:jc w:val="both"/>
        <w:rPr>
          <w:rFonts w:ascii="Arial" w:eastAsia="SimSun" w:hAnsi="Arial" w:cs="Arial"/>
          <w:color w:val="auto"/>
          <w:lang w:val="en-AU"/>
        </w:rPr>
      </w:pPr>
    </w:p>
    <w:p w14:paraId="06DBEFD1" w14:textId="77777777" w:rsidR="00717BA5" w:rsidRPr="00717BA5" w:rsidRDefault="00717BA5" w:rsidP="00717BA5">
      <w:pPr>
        <w:spacing w:after="0" w:line="240" w:lineRule="auto"/>
        <w:jc w:val="both"/>
        <w:rPr>
          <w:rFonts w:ascii="Arial" w:eastAsia="SimSun" w:hAnsi="Arial" w:cs="Arial"/>
          <w:color w:val="auto"/>
          <w:lang w:val="en-AU"/>
        </w:rPr>
      </w:pPr>
    </w:p>
    <w:p w14:paraId="3E8BE8E3" w14:textId="77777777" w:rsidR="00717BA5" w:rsidRPr="00717BA5" w:rsidRDefault="00717BA5" w:rsidP="00717BA5">
      <w:pPr>
        <w:spacing w:after="0" w:line="240" w:lineRule="auto"/>
        <w:jc w:val="both"/>
        <w:rPr>
          <w:rFonts w:ascii="Arial" w:eastAsia="SimSun" w:hAnsi="Arial" w:cs="Arial"/>
          <w:color w:val="auto"/>
          <w:lang w:val="en-AU"/>
        </w:rPr>
      </w:pPr>
    </w:p>
    <w:p w14:paraId="18721CA4" w14:textId="77777777" w:rsidR="00717BA5" w:rsidRPr="00717BA5" w:rsidRDefault="00717BA5" w:rsidP="00717BA5">
      <w:pPr>
        <w:spacing w:after="0" w:line="240" w:lineRule="auto"/>
        <w:jc w:val="both"/>
        <w:rPr>
          <w:rFonts w:ascii="Arial" w:eastAsia="SimSun" w:hAnsi="Arial" w:cs="Arial"/>
          <w:color w:val="auto"/>
          <w:lang w:val="en-AU"/>
        </w:rPr>
      </w:pPr>
    </w:p>
    <w:p w14:paraId="6CC180B0" w14:textId="77777777" w:rsidR="00717BA5" w:rsidRPr="00717BA5" w:rsidRDefault="00717BA5" w:rsidP="00717BA5">
      <w:pPr>
        <w:spacing w:after="0" w:line="240" w:lineRule="auto"/>
        <w:jc w:val="both"/>
        <w:rPr>
          <w:rFonts w:ascii="Arial" w:eastAsia="SimSun" w:hAnsi="Arial" w:cs="Arial"/>
          <w:color w:val="auto"/>
          <w:lang w:val="en-AU"/>
        </w:rPr>
      </w:pPr>
    </w:p>
    <w:p w14:paraId="5672DA38" w14:textId="77777777" w:rsidR="00717BA5" w:rsidRPr="00717BA5" w:rsidRDefault="00717BA5" w:rsidP="00717BA5">
      <w:pPr>
        <w:spacing w:after="0" w:line="240" w:lineRule="auto"/>
        <w:jc w:val="both"/>
        <w:rPr>
          <w:rFonts w:ascii="Arial" w:eastAsia="SimSun" w:hAnsi="Arial" w:cs="Arial"/>
          <w:color w:val="auto"/>
          <w:lang w:val="en-AU"/>
        </w:rPr>
      </w:pPr>
    </w:p>
    <w:p w14:paraId="0F2A80F8" w14:textId="77777777" w:rsidR="00717BA5" w:rsidRPr="00717BA5" w:rsidRDefault="00717BA5" w:rsidP="00717BA5">
      <w:pPr>
        <w:spacing w:after="0" w:line="240" w:lineRule="auto"/>
        <w:jc w:val="both"/>
        <w:rPr>
          <w:rFonts w:ascii="Arial" w:eastAsia="SimSun" w:hAnsi="Arial" w:cs="Arial"/>
          <w:color w:val="auto"/>
          <w:lang w:val="en-AU"/>
        </w:rPr>
      </w:pPr>
    </w:p>
    <w:p w14:paraId="6CA26FC6" w14:textId="77777777" w:rsidR="00717BA5" w:rsidRPr="00717BA5" w:rsidRDefault="00717BA5" w:rsidP="00717BA5">
      <w:pPr>
        <w:spacing w:after="0" w:line="240" w:lineRule="auto"/>
        <w:rPr>
          <w:rFonts w:ascii="Arial" w:eastAsia="SimSun" w:hAnsi="Arial" w:cs="Arial"/>
          <w:b/>
          <w:bCs/>
          <w:color w:val="auto"/>
          <w:sz w:val="24"/>
          <w:szCs w:val="24"/>
          <w:lang w:val="en-AU"/>
        </w:rPr>
      </w:pPr>
      <w:r w:rsidRPr="00717BA5">
        <w:rPr>
          <w:rFonts w:ascii="Arial" w:eastAsia="SimSun" w:hAnsi="Arial" w:cs="Arial"/>
          <w:b/>
          <w:bCs/>
          <w:color w:val="auto"/>
          <w:sz w:val="24"/>
          <w:szCs w:val="24"/>
          <w:lang w:val="en-AU"/>
        </w:rPr>
        <w:br w:type="page"/>
      </w:r>
    </w:p>
    <w:p w14:paraId="2EA6FC49" w14:textId="77777777" w:rsidR="00717BA5" w:rsidRPr="00717BA5" w:rsidRDefault="00717BA5" w:rsidP="00717BA5">
      <w:pPr>
        <w:spacing w:after="0" w:line="240" w:lineRule="auto"/>
        <w:jc w:val="both"/>
        <w:rPr>
          <w:rFonts w:ascii="Arial" w:eastAsia="SimSun" w:hAnsi="Arial" w:cs="Arial"/>
          <w:b/>
          <w:bCs/>
          <w:color w:val="auto"/>
          <w:sz w:val="24"/>
          <w:szCs w:val="24"/>
          <w:lang w:val="en-AU"/>
        </w:rPr>
      </w:pPr>
    </w:p>
    <w:p w14:paraId="57295203" w14:textId="77777777" w:rsidR="00717BA5" w:rsidRPr="00717BA5" w:rsidRDefault="00717BA5" w:rsidP="00717BA5">
      <w:pPr>
        <w:spacing w:before="120" w:after="240" w:line="240" w:lineRule="auto"/>
        <w:jc w:val="both"/>
        <w:rPr>
          <w:rFonts w:ascii="Arial" w:eastAsia="SimSun" w:hAnsi="Arial" w:cs="Arial"/>
          <w:b/>
          <w:bCs/>
          <w:color w:val="auto"/>
          <w:sz w:val="24"/>
          <w:szCs w:val="24"/>
          <w:lang w:val="en-AU"/>
        </w:rPr>
      </w:pPr>
      <w:r w:rsidRPr="00717BA5">
        <w:rPr>
          <w:rFonts w:ascii="Arial" w:eastAsia="SimSun" w:hAnsi="Arial" w:cs="Arial"/>
          <w:b/>
          <w:bCs/>
          <w:color w:val="auto"/>
          <w:sz w:val="24"/>
          <w:szCs w:val="24"/>
          <w:lang w:val="en-AU"/>
        </w:rPr>
        <w:t>NOTE 13.   PROPERTY, PLANT AND EQUIPMENT - CONTINUED</w:t>
      </w:r>
    </w:p>
    <w:p w14:paraId="673C2098" w14:textId="77777777" w:rsidR="00717BA5" w:rsidRPr="00717BA5" w:rsidRDefault="00717BA5" w:rsidP="00717BA5">
      <w:pPr>
        <w:spacing w:after="120" w:line="240" w:lineRule="auto"/>
        <w:jc w:val="both"/>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Reconciliation of Property, Plant and Equipment – 2024-25</w:t>
      </w:r>
    </w:p>
    <w:tbl>
      <w:tblPr>
        <w:tblW w:w="5000" w:type="pct"/>
        <w:tblLook w:val="04A0" w:firstRow="1" w:lastRow="0" w:firstColumn="1" w:lastColumn="0" w:noHBand="0" w:noVBand="1"/>
      </w:tblPr>
      <w:tblGrid>
        <w:gridCol w:w="6040"/>
        <w:gridCol w:w="1348"/>
        <w:gridCol w:w="1342"/>
        <w:gridCol w:w="1188"/>
        <w:gridCol w:w="1339"/>
        <w:gridCol w:w="1210"/>
        <w:gridCol w:w="1447"/>
        <w:gridCol w:w="1222"/>
      </w:tblGrid>
      <w:tr w:rsidR="00717BA5" w:rsidRPr="00717BA5" w14:paraId="028EE038" w14:textId="77777777" w:rsidTr="00F0752D">
        <w:trPr>
          <w:trHeight w:val="272"/>
        </w:trPr>
        <w:tc>
          <w:tcPr>
            <w:tcW w:w="1996" w:type="pct"/>
            <w:tcBorders>
              <w:left w:val="nil"/>
              <w:bottom w:val="nil"/>
            </w:tcBorders>
            <w:shd w:val="clear" w:color="000000" w:fill="FFFFFF"/>
          </w:tcPr>
          <w:p w14:paraId="08BB4974"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446" w:type="pct"/>
            <w:tcBorders>
              <w:top w:val="single" w:sz="4" w:space="0" w:color="auto"/>
              <w:left w:val="nil"/>
              <w:bottom w:val="nil"/>
              <w:right w:val="single" w:sz="4" w:space="0" w:color="auto"/>
            </w:tcBorders>
            <w:shd w:val="clear" w:color="000000" w:fill="FFFFFF"/>
            <w:vAlign w:val="bottom"/>
          </w:tcPr>
          <w:p w14:paraId="13FD9FA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Right-of-use Buildings </w:t>
            </w:r>
          </w:p>
        </w:tc>
        <w:tc>
          <w:tcPr>
            <w:tcW w:w="444" w:type="pct"/>
            <w:tcBorders>
              <w:top w:val="single" w:sz="4" w:space="0" w:color="auto"/>
              <w:left w:val="nil"/>
              <w:bottom w:val="nil"/>
              <w:right w:val="single" w:sz="4" w:space="0" w:color="auto"/>
            </w:tcBorders>
            <w:shd w:val="clear" w:color="000000" w:fill="FFFFFF"/>
            <w:vAlign w:val="bottom"/>
          </w:tcPr>
          <w:p w14:paraId="03E2086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Plant and Equipment</w:t>
            </w:r>
          </w:p>
        </w:tc>
        <w:tc>
          <w:tcPr>
            <w:tcW w:w="393" w:type="pct"/>
            <w:tcBorders>
              <w:top w:val="single" w:sz="4" w:space="0" w:color="auto"/>
              <w:left w:val="nil"/>
              <w:bottom w:val="nil"/>
              <w:right w:val="single" w:sz="4" w:space="0" w:color="auto"/>
            </w:tcBorders>
            <w:shd w:val="clear" w:color="000000" w:fill="FFFFFF"/>
            <w:vAlign w:val="bottom"/>
          </w:tcPr>
          <w:p w14:paraId="11694F9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Right-of-use Plant and Equipment</w:t>
            </w:r>
          </w:p>
        </w:tc>
        <w:tc>
          <w:tcPr>
            <w:tcW w:w="443" w:type="pct"/>
            <w:tcBorders>
              <w:top w:val="single" w:sz="4" w:space="0" w:color="auto"/>
              <w:left w:val="single" w:sz="4" w:space="0" w:color="auto"/>
              <w:bottom w:val="nil"/>
              <w:right w:val="single" w:sz="4" w:space="0" w:color="auto"/>
            </w:tcBorders>
            <w:shd w:val="clear" w:color="000000" w:fill="FFFFFF"/>
            <w:vAlign w:val="bottom"/>
          </w:tcPr>
          <w:p w14:paraId="101FAE4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Right-of-use Motor Vehicle</w:t>
            </w:r>
          </w:p>
        </w:tc>
        <w:tc>
          <w:tcPr>
            <w:tcW w:w="400" w:type="pct"/>
            <w:tcBorders>
              <w:top w:val="single" w:sz="4" w:space="0" w:color="auto"/>
              <w:left w:val="single" w:sz="4" w:space="0" w:color="auto"/>
              <w:bottom w:val="nil"/>
              <w:right w:val="single" w:sz="4" w:space="0" w:color="auto"/>
            </w:tcBorders>
            <w:shd w:val="clear" w:color="000000" w:fill="FFFFFF"/>
            <w:vAlign w:val="bottom"/>
          </w:tcPr>
          <w:p w14:paraId="2A6D796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Furniture and Fittings</w:t>
            </w:r>
          </w:p>
        </w:tc>
        <w:tc>
          <w:tcPr>
            <w:tcW w:w="474" w:type="pct"/>
            <w:tcBorders>
              <w:top w:val="single" w:sz="4" w:space="0" w:color="auto"/>
              <w:left w:val="single" w:sz="4" w:space="0" w:color="auto"/>
              <w:bottom w:val="nil"/>
              <w:right w:val="single" w:sz="4" w:space="0" w:color="auto"/>
            </w:tcBorders>
            <w:shd w:val="clear" w:color="000000" w:fill="FFFFFF"/>
            <w:vAlign w:val="bottom"/>
          </w:tcPr>
          <w:p w14:paraId="44D7A40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Leasehold Improvements</w:t>
            </w:r>
          </w:p>
        </w:tc>
        <w:tc>
          <w:tcPr>
            <w:tcW w:w="404" w:type="pct"/>
            <w:tcBorders>
              <w:top w:val="single" w:sz="4" w:space="0" w:color="auto"/>
              <w:left w:val="single" w:sz="4" w:space="0" w:color="auto"/>
              <w:bottom w:val="nil"/>
              <w:right w:val="nil"/>
            </w:tcBorders>
            <w:shd w:val="clear" w:color="000000" w:fill="FFFFFF"/>
            <w:vAlign w:val="bottom"/>
          </w:tcPr>
          <w:p w14:paraId="1FBBCC0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w:t>
            </w:r>
          </w:p>
        </w:tc>
      </w:tr>
      <w:tr w:rsidR="00717BA5" w:rsidRPr="00717BA5" w14:paraId="4770E529" w14:textId="77777777" w:rsidTr="00F0752D">
        <w:trPr>
          <w:trHeight w:val="185"/>
        </w:trPr>
        <w:tc>
          <w:tcPr>
            <w:tcW w:w="1996" w:type="pct"/>
            <w:tcBorders>
              <w:top w:val="nil"/>
              <w:left w:val="nil"/>
            </w:tcBorders>
            <w:shd w:val="clear" w:color="000000" w:fill="FFFFFF"/>
            <w:vAlign w:val="bottom"/>
          </w:tcPr>
          <w:p w14:paraId="3E3C763F"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446" w:type="pct"/>
            <w:tcBorders>
              <w:top w:val="nil"/>
              <w:left w:val="nil"/>
              <w:bottom w:val="single" w:sz="4" w:space="0" w:color="auto"/>
              <w:right w:val="single" w:sz="4" w:space="0" w:color="auto"/>
            </w:tcBorders>
            <w:shd w:val="clear" w:color="000000" w:fill="FFFFFF"/>
            <w:vAlign w:val="bottom"/>
          </w:tcPr>
          <w:p w14:paraId="309127A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444" w:type="pct"/>
            <w:tcBorders>
              <w:top w:val="nil"/>
              <w:left w:val="nil"/>
              <w:bottom w:val="single" w:sz="4" w:space="0" w:color="auto"/>
              <w:right w:val="single" w:sz="4" w:space="0" w:color="auto"/>
            </w:tcBorders>
            <w:shd w:val="clear" w:color="000000" w:fill="FFFFFF"/>
            <w:vAlign w:val="bottom"/>
          </w:tcPr>
          <w:p w14:paraId="4BAC120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393" w:type="pct"/>
            <w:tcBorders>
              <w:top w:val="nil"/>
              <w:left w:val="nil"/>
              <w:bottom w:val="single" w:sz="4" w:space="0" w:color="auto"/>
              <w:right w:val="single" w:sz="4" w:space="0" w:color="auto"/>
            </w:tcBorders>
            <w:shd w:val="clear" w:color="000000" w:fill="FFFFFF"/>
            <w:vAlign w:val="bottom"/>
          </w:tcPr>
          <w:p w14:paraId="233D86B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443" w:type="pct"/>
            <w:tcBorders>
              <w:top w:val="nil"/>
              <w:left w:val="single" w:sz="4" w:space="0" w:color="auto"/>
              <w:bottom w:val="single" w:sz="4" w:space="0" w:color="auto"/>
              <w:right w:val="single" w:sz="4" w:space="0" w:color="auto"/>
            </w:tcBorders>
            <w:shd w:val="clear" w:color="000000" w:fill="FFFFFF"/>
            <w:vAlign w:val="bottom"/>
          </w:tcPr>
          <w:p w14:paraId="0A66F0D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400" w:type="pct"/>
            <w:tcBorders>
              <w:top w:val="nil"/>
              <w:left w:val="single" w:sz="4" w:space="0" w:color="auto"/>
              <w:bottom w:val="single" w:sz="4" w:space="0" w:color="auto"/>
              <w:right w:val="single" w:sz="4" w:space="0" w:color="auto"/>
            </w:tcBorders>
            <w:shd w:val="clear" w:color="000000" w:fill="FFFFFF"/>
            <w:vAlign w:val="bottom"/>
          </w:tcPr>
          <w:p w14:paraId="2A31CBA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474" w:type="pct"/>
            <w:tcBorders>
              <w:top w:val="nil"/>
              <w:left w:val="single" w:sz="4" w:space="0" w:color="auto"/>
              <w:bottom w:val="single" w:sz="4" w:space="0" w:color="auto"/>
              <w:right w:val="single" w:sz="4" w:space="0" w:color="auto"/>
            </w:tcBorders>
            <w:shd w:val="clear" w:color="000000" w:fill="FFFFFF"/>
            <w:vAlign w:val="bottom"/>
          </w:tcPr>
          <w:p w14:paraId="535DDEC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404" w:type="pct"/>
            <w:tcBorders>
              <w:top w:val="nil"/>
              <w:left w:val="single" w:sz="4" w:space="0" w:color="auto"/>
              <w:bottom w:val="single" w:sz="4" w:space="0" w:color="auto"/>
              <w:right w:val="nil"/>
            </w:tcBorders>
            <w:shd w:val="clear" w:color="000000" w:fill="FFFFFF"/>
            <w:vAlign w:val="bottom"/>
          </w:tcPr>
          <w:p w14:paraId="5338DC8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5A5A6B20" w14:textId="77777777" w:rsidTr="00F0752D">
        <w:trPr>
          <w:trHeight w:val="20"/>
        </w:trPr>
        <w:tc>
          <w:tcPr>
            <w:tcW w:w="1996" w:type="pct"/>
            <w:tcBorders>
              <w:top w:val="nil"/>
              <w:left w:val="nil"/>
              <w:bottom w:val="nil"/>
            </w:tcBorders>
            <w:shd w:val="clear" w:color="000000" w:fill="FFFFFF"/>
            <w:vAlign w:val="bottom"/>
          </w:tcPr>
          <w:p w14:paraId="51141FA0" w14:textId="77777777" w:rsidR="00717BA5" w:rsidRPr="00717BA5" w:rsidRDefault="00717BA5" w:rsidP="00717BA5">
            <w:pPr>
              <w:spacing w:before="120" w:after="0" w:line="240" w:lineRule="auto"/>
              <w:ind w:firstLineChars="100" w:firstLine="181"/>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 at the Beginning of the Reporting Period</w:t>
            </w:r>
          </w:p>
        </w:tc>
        <w:tc>
          <w:tcPr>
            <w:tcW w:w="446" w:type="pct"/>
            <w:tcBorders>
              <w:top w:val="single" w:sz="4" w:space="0" w:color="auto"/>
              <w:left w:val="nil"/>
              <w:bottom w:val="double" w:sz="6" w:space="0" w:color="auto"/>
              <w:right w:val="single" w:sz="4" w:space="0" w:color="auto"/>
            </w:tcBorders>
            <w:shd w:val="clear" w:color="000000" w:fill="FFFFFF"/>
            <w:noWrap/>
            <w:vAlign w:val="bottom"/>
          </w:tcPr>
          <w:p w14:paraId="0C0E0CC7"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1,255 </w:t>
            </w:r>
          </w:p>
        </w:tc>
        <w:tc>
          <w:tcPr>
            <w:tcW w:w="444" w:type="pct"/>
            <w:tcBorders>
              <w:top w:val="single" w:sz="4" w:space="0" w:color="auto"/>
              <w:left w:val="nil"/>
              <w:bottom w:val="double" w:sz="6" w:space="0" w:color="auto"/>
              <w:right w:val="single" w:sz="4" w:space="0" w:color="auto"/>
            </w:tcBorders>
            <w:shd w:val="clear" w:color="000000" w:fill="FFFFFF"/>
            <w:noWrap/>
            <w:vAlign w:val="bottom"/>
          </w:tcPr>
          <w:p w14:paraId="120CE4FE"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55 </w:t>
            </w:r>
          </w:p>
        </w:tc>
        <w:tc>
          <w:tcPr>
            <w:tcW w:w="393" w:type="pct"/>
            <w:tcBorders>
              <w:top w:val="single" w:sz="4" w:space="0" w:color="auto"/>
              <w:left w:val="nil"/>
              <w:bottom w:val="double" w:sz="6" w:space="0" w:color="auto"/>
              <w:right w:val="single" w:sz="4" w:space="0" w:color="auto"/>
            </w:tcBorders>
            <w:shd w:val="clear" w:color="000000" w:fill="FFFFFF"/>
            <w:noWrap/>
            <w:vAlign w:val="bottom"/>
          </w:tcPr>
          <w:p w14:paraId="13B9AEAE"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15 </w:t>
            </w:r>
          </w:p>
        </w:tc>
        <w:tc>
          <w:tcPr>
            <w:tcW w:w="443" w:type="pct"/>
            <w:tcBorders>
              <w:top w:val="single" w:sz="4" w:space="0" w:color="auto"/>
              <w:left w:val="single" w:sz="4" w:space="0" w:color="auto"/>
              <w:bottom w:val="double" w:sz="6" w:space="0" w:color="auto"/>
              <w:right w:val="single" w:sz="4" w:space="0" w:color="auto"/>
            </w:tcBorders>
            <w:shd w:val="clear" w:color="000000" w:fill="FFFFFF"/>
            <w:vAlign w:val="bottom"/>
          </w:tcPr>
          <w:p w14:paraId="556F0AD9"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3 </w:t>
            </w:r>
          </w:p>
        </w:tc>
        <w:tc>
          <w:tcPr>
            <w:tcW w:w="400" w:type="pct"/>
            <w:tcBorders>
              <w:top w:val="single" w:sz="4" w:space="0" w:color="auto"/>
              <w:left w:val="single" w:sz="4" w:space="0" w:color="auto"/>
              <w:bottom w:val="double" w:sz="6" w:space="0" w:color="auto"/>
              <w:right w:val="single" w:sz="4" w:space="0" w:color="auto"/>
            </w:tcBorders>
            <w:shd w:val="clear" w:color="000000" w:fill="FFFFFF"/>
            <w:vAlign w:val="bottom"/>
          </w:tcPr>
          <w:p w14:paraId="2000052B"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81 </w:t>
            </w:r>
          </w:p>
        </w:tc>
        <w:tc>
          <w:tcPr>
            <w:tcW w:w="474" w:type="pct"/>
            <w:tcBorders>
              <w:top w:val="single" w:sz="4" w:space="0" w:color="auto"/>
              <w:left w:val="single" w:sz="4" w:space="0" w:color="auto"/>
              <w:bottom w:val="double" w:sz="6" w:space="0" w:color="auto"/>
              <w:right w:val="single" w:sz="4" w:space="0" w:color="auto"/>
            </w:tcBorders>
            <w:shd w:val="clear" w:color="000000" w:fill="FFFFFF"/>
            <w:vAlign w:val="bottom"/>
          </w:tcPr>
          <w:p w14:paraId="3BD31066"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472 </w:t>
            </w:r>
          </w:p>
        </w:tc>
        <w:tc>
          <w:tcPr>
            <w:tcW w:w="404" w:type="pct"/>
            <w:tcBorders>
              <w:top w:val="single" w:sz="4" w:space="0" w:color="auto"/>
              <w:left w:val="single" w:sz="4" w:space="0" w:color="auto"/>
              <w:bottom w:val="double" w:sz="6" w:space="0" w:color="auto"/>
            </w:tcBorders>
            <w:shd w:val="clear" w:color="000000" w:fill="FFFFFF"/>
            <w:noWrap/>
            <w:vAlign w:val="bottom"/>
          </w:tcPr>
          <w:p w14:paraId="2B28E15D"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1,882 </w:t>
            </w:r>
          </w:p>
        </w:tc>
      </w:tr>
      <w:tr w:rsidR="00717BA5" w:rsidRPr="00717BA5" w14:paraId="08533E88" w14:textId="77777777" w:rsidTr="00F0752D">
        <w:trPr>
          <w:trHeight w:val="20"/>
        </w:trPr>
        <w:tc>
          <w:tcPr>
            <w:tcW w:w="1996" w:type="pct"/>
            <w:tcBorders>
              <w:top w:val="nil"/>
              <w:left w:val="nil"/>
              <w:bottom w:val="nil"/>
            </w:tcBorders>
            <w:shd w:val="clear" w:color="000000" w:fill="FFFFFF"/>
            <w:vAlign w:val="bottom"/>
          </w:tcPr>
          <w:p w14:paraId="59CC8942"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Additions</w:t>
            </w:r>
          </w:p>
        </w:tc>
        <w:tc>
          <w:tcPr>
            <w:tcW w:w="446" w:type="pct"/>
            <w:tcBorders>
              <w:top w:val="single" w:sz="4" w:space="0" w:color="auto"/>
              <w:left w:val="nil"/>
              <w:right w:val="single" w:sz="4" w:space="0" w:color="auto"/>
            </w:tcBorders>
            <w:shd w:val="clear" w:color="000000" w:fill="FFFFFF"/>
            <w:noWrap/>
            <w:vAlign w:val="bottom"/>
          </w:tcPr>
          <w:p w14:paraId="16BA92A1"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   </w:t>
            </w:r>
          </w:p>
        </w:tc>
        <w:tc>
          <w:tcPr>
            <w:tcW w:w="444" w:type="pct"/>
            <w:tcBorders>
              <w:top w:val="single" w:sz="4" w:space="0" w:color="auto"/>
              <w:left w:val="nil"/>
              <w:right w:val="single" w:sz="4" w:space="0" w:color="auto"/>
            </w:tcBorders>
            <w:shd w:val="clear" w:color="000000" w:fill="FFFFFF"/>
            <w:noWrap/>
            <w:vAlign w:val="bottom"/>
          </w:tcPr>
          <w:p w14:paraId="0E97E250"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23 </w:t>
            </w:r>
          </w:p>
        </w:tc>
        <w:tc>
          <w:tcPr>
            <w:tcW w:w="393" w:type="pct"/>
            <w:tcBorders>
              <w:top w:val="single" w:sz="4" w:space="0" w:color="auto"/>
              <w:left w:val="nil"/>
              <w:right w:val="single" w:sz="4" w:space="0" w:color="auto"/>
            </w:tcBorders>
            <w:shd w:val="clear" w:color="000000" w:fill="FFFFFF"/>
            <w:noWrap/>
            <w:vAlign w:val="bottom"/>
          </w:tcPr>
          <w:p w14:paraId="73D1D6E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   </w:t>
            </w:r>
          </w:p>
        </w:tc>
        <w:tc>
          <w:tcPr>
            <w:tcW w:w="443" w:type="pct"/>
            <w:tcBorders>
              <w:top w:val="single" w:sz="4" w:space="0" w:color="auto"/>
              <w:left w:val="single" w:sz="4" w:space="0" w:color="auto"/>
              <w:right w:val="single" w:sz="4" w:space="0" w:color="auto"/>
            </w:tcBorders>
            <w:shd w:val="clear" w:color="000000" w:fill="FFFFFF"/>
            <w:vAlign w:val="bottom"/>
          </w:tcPr>
          <w:p w14:paraId="542E2C77"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39 </w:t>
            </w:r>
          </w:p>
        </w:tc>
        <w:tc>
          <w:tcPr>
            <w:tcW w:w="400" w:type="pct"/>
            <w:tcBorders>
              <w:top w:val="single" w:sz="4" w:space="0" w:color="auto"/>
              <w:left w:val="single" w:sz="4" w:space="0" w:color="auto"/>
              <w:right w:val="single" w:sz="4" w:space="0" w:color="auto"/>
            </w:tcBorders>
            <w:shd w:val="clear" w:color="000000" w:fill="FFFFFF"/>
            <w:vAlign w:val="bottom"/>
          </w:tcPr>
          <w:p w14:paraId="0A6CB543"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4 </w:t>
            </w:r>
          </w:p>
        </w:tc>
        <w:tc>
          <w:tcPr>
            <w:tcW w:w="474" w:type="pct"/>
            <w:tcBorders>
              <w:top w:val="single" w:sz="4" w:space="0" w:color="auto"/>
              <w:left w:val="single" w:sz="4" w:space="0" w:color="auto"/>
              <w:right w:val="single" w:sz="4" w:space="0" w:color="auto"/>
            </w:tcBorders>
            <w:shd w:val="clear" w:color="000000" w:fill="FFFFFF"/>
            <w:vAlign w:val="bottom"/>
          </w:tcPr>
          <w:p w14:paraId="077291A0"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27 </w:t>
            </w:r>
          </w:p>
        </w:tc>
        <w:tc>
          <w:tcPr>
            <w:tcW w:w="404" w:type="pct"/>
            <w:tcBorders>
              <w:top w:val="single" w:sz="4" w:space="0" w:color="auto"/>
              <w:left w:val="single" w:sz="4" w:space="0" w:color="auto"/>
            </w:tcBorders>
            <w:shd w:val="clear" w:color="000000" w:fill="FFFFFF"/>
            <w:noWrap/>
            <w:vAlign w:val="bottom"/>
          </w:tcPr>
          <w:p w14:paraId="51496923"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94 </w:t>
            </w:r>
          </w:p>
        </w:tc>
      </w:tr>
      <w:tr w:rsidR="00717BA5" w:rsidRPr="00717BA5" w14:paraId="613C9580" w14:textId="77777777" w:rsidTr="00F0752D">
        <w:trPr>
          <w:trHeight w:val="20"/>
        </w:trPr>
        <w:tc>
          <w:tcPr>
            <w:tcW w:w="1996" w:type="pct"/>
            <w:tcBorders>
              <w:top w:val="nil"/>
              <w:left w:val="nil"/>
              <w:bottom w:val="nil"/>
            </w:tcBorders>
            <w:shd w:val="clear" w:color="000000" w:fill="FFFFFF"/>
            <w:vAlign w:val="bottom"/>
          </w:tcPr>
          <w:p w14:paraId="7C92A093"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Depreciation</w:t>
            </w:r>
          </w:p>
        </w:tc>
        <w:tc>
          <w:tcPr>
            <w:tcW w:w="446" w:type="pct"/>
            <w:tcBorders>
              <w:left w:val="nil"/>
              <w:right w:val="single" w:sz="4" w:space="0" w:color="auto"/>
            </w:tcBorders>
            <w:shd w:val="clear" w:color="000000" w:fill="FFFFFF"/>
            <w:noWrap/>
            <w:vAlign w:val="bottom"/>
          </w:tcPr>
          <w:p w14:paraId="202717F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(129) </w:t>
            </w:r>
          </w:p>
        </w:tc>
        <w:tc>
          <w:tcPr>
            <w:tcW w:w="444" w:type="pct"/>
            <w:tcBorders>
              <w:left w:val="nil"/>
              <w:right w:val="single" w:sz="4" w:space="0" w:color="auto"/>
            </w:tcBorders>
            <w:shd w:val="clear" w:color="000000" w:fill="FFFFFF"/>
            <w:noWrap/>
            <w:vAlign w:val="bottom"/>
          </w:tcPr>
          <w:p w14:paraId="16CE722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(19) </w:t>
            </w:r>
          </w:p>
        </w:tc>
        <w:tc>
          <w:tcPr>
            <w:tcW w:w="393" w:type="pct"/>
            <w:tcBorders>
              <w:left w:val="nil"/>
              <w:right w:val="single" w:sz="4" w:space="0" w:color="auto"/>
            </w:tcBorders>
            <w:shd w:val="clear" w:color="000000" w:fill="FFFFFF"/>
            <w:noWrap/>
            <w:vAlign w:val="bottom"/>
          </w:tcPr>
          <w:p w14:paraId="08FE612B"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(5) </w:t>
            </w:r>
          </w:p>
        </w:tc>
        <w:tc>
          <w:tcPr>
            <w:tcW w:w="443" w:type="pct"/>
            <w:tcBorders>
              <w:left w:val="single" w:sz="4" w:space="0" w:color="auto"/>
              <w:right w:val="single" w:sz="4" w:space="0" w:color="auto"/>
            </w:tcBorders>
            <w:shd w:val="clear" w:color="000000" w:fill="FFFFFF"/>
            <w:vAlign w:val="bottom"/>
          </w:tcPr>
          <w:p w14:paraId="21E2730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(6) </w:t>
            </w:r>
          </w:p>
        </w:tc>
        <w:tc>
          <w:tcPr>
            <w:tcW w:w="400" w:type="pct"/>
            <w:tcBorders>
              <w:left w:val="single" w:sz="4" w:space="0" w:color="auto"/>
              <w:right w:val="single" w:sz="4" w:space="0" w:color="auto"/>
            </w:tcBorders>
            <w:shd w:val="clear" w:color="000000" w:fill="FFFFFF"/>
            <w:vAlign w:val="bottom"/>
          </w:tcPr>
          <w:p w14:paraId="0763CD8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(14) </w:t>
            </w:r>
          </w:p>
        </w:tc>
        <w:tc>
          <w:tcPr>
            <w:tcW w:w="474" w:type="pct"/>
            <w:tcBorders>
              <w:left w:val="single" w:sz="4" w:space="0" w:color="auto"/>
              <w:right w:val="single" w:sz="4" w:space="0" w:color="auto"/>
            </w:tcBorders>
            <w:shd w:val="clear" w:color="000000" w:fill="FFFFFF"/>
            <w:vAlign w:val="bottom"/>
          </w:tcPr>
          <w:p w14:paraId="1AD082C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(102) </w:t>
            </w:r>
          </w:p>
        </w:tc>
        <w:tc>
          <w:tcPr>
            <w:tcW w:w="404" w:type="pct"/>
            <w:tcBorders>
              <w:left w:val="single" w:sz="4" w:space="0" w:color="auto"/>
            </w:tcBorders>
            <w:shd w:val="clear" w:color="000000" w:fill="FFFFFF"/>
            <w:noWrap/>
            <w:vAlign w:val="bottom"/>
          </w:tcPr>
          <w:p w14:paraId="4C367BE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(275) </w:t>
            </w:r>
          </w:p>
        </w:tc>
      </w:tr>
      <w:tr w:rsidR="00717BA5" w:rsidRPr="00717BA5" w14:paraId="17CFFB1F" w14:textId="77777777" w:rsidTr="00F0752D">
        <w:trPr>
          <w:trHeight w:val="20"/>
        </w:trPr>
        <w:tc>
          <w:tcPr>
            <w:tcW w:w="1996" w:type="pct"/>
            <w:tcBorders>
              <w:top w:val="nil"/>
              <w:left w:val="nil"/>
              <w:bottom w:val="nil"/>
            </w:tcBorders>
            <w:shd w:val="clear" w:color="000000" w:fill="FFFFFF"/>
            <w:vAlign w:val="bottom"/>
          </w:tcPr>
          <w:p w14:paraId="6C403301"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Disposals</w:t>
            </w:r>
          </w:p>
        </w:tc>
        <w:tc>
          <w:tcPr>
            <w:tcW w:w="446" w:type="pct"/>
            <w:tcBorders>
              <w:left w:val="nil"/>
              <w:right w:val="single" w:sz="4" w:space="0" w:color="auto"/>
            </w:tcBorders>
            <w:shd w:val="clear" w:color="000000" w:fill="FFFFFF"/>
            <w:vAlign w:val="bottom"/>
          </w:tcPr>
          <w:p w14:paraId="75F18F9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w:t>
            </w:r>
          </w:p>
        </w:tc>
        <w:tc>
          <w:tcPr>
            <w:tcW w:w="444" w:type="pct"/>
            <w:tcBorders>
              <w:left w:val="single" w:sz="4" w:space="0" w:color="auto"/>
              <w:right w:val="single" w:sz="4" w:space="0" w:color="auto"/>
            </w:tcBorders>
            <w:shd w:val="clear" w:color="000000" w:fill="FFFFFF"/>
            <w:vAlign w:val="bottom"/>
          </w:tcPr>
          <w:p w14:paraId="4F1E992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(2) </w:t>
            </w:r>
          </w:p>
        </w:tc>
        <w:tc>
          <w:tcPr>
            <w:tcW w:w="393" w:type="pct"/>
            <w:tcBorders>
              <w:left w:val="single" w:sz="4" w:space="0" w:color="auto"/>
              <w:right w:val="single" w:sz="4" w:space="0" w:color="auto"/>
            </w:tcBorders>
            <w:shd w:val="clear" w:color="000000" w:fill="FFFFFF"/>
            <w:noWrap/>
            <w:vAlign w:val="bottom"/>
          </w:tcPr>
          <w:p w14:paraId="63E64C6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   </w:t>
            </w:r>
          </w:p>
        </w:tc>
        <w:tc>
          <w:tcPr>
            <w:tcW w:w="443" w:type="pct"/>
            <w:tcBorders>
              <w:left w:val="single" w:sz="4" w:space="0" w:color="auto"/>
              <w:right w:val="single" w:sz="4" w:space="0" w:color="auto"/>
            </w:tcBorders>
            <w:shd w:val="clear" w:color="000000" w:fill="FFFFFF"/>
            <w:vAlign w:val="bottom"/>
          </w:tcPr>
          <w:p w14:paraId="150DE01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   </w:t>
            </w:r>
          </w:p>
        </w:tc>
        <w:tc>
          <w:tcPr>
            <w:tcW w:w="400" w:type="pct"/>
            <w:tcBorders>
              <w:left w:val="single" w:sz="4" w:space="0" w:color="auto"/>
              <w:right w:val="single" w:sz="4" w:space="0" w:color="auto"/>
            </w:tcBorders>
            <w:shd w:val="clear" w:color="000000" w:fill="FFFFFF"/>
            <w:vAlign w:val="bottom"/>
          </w:tcPr>
          <w:p w14:paraId="505A8F9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   </w:t>
            </w:r>
          </w:p>
        </w:tc>
        <w:tc>
          <w:tcPr>
            <w:tcW w:w="474" w:type="pct"/>
            <w:tcBorders>
              <w:left w:val="single" w:sz="4" w:space="0" w:color="auto"/>
              <w:right w:val="single" w:sz="4" w:space="0" w:color="auto"/>
            </w:tcBorders>
            <w:shd w:val="clear" w:color="000000" w:fill="FFFFFF"/>
            <w:vAlign w:val="bottom"/>
          </w:tcPr>
          <w:p w14:paraId="3D42BD3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   </w:t>
            </w:r>
          </w:p>
        </w:tc>
        <w:tc>
          <w:tcPr>
            <w:tcW w:w="404" w:type="pct"/>
            <w:tcBorders>
              <w:left w:val="single" w:sz="4" w:space="0" w:color="auto"/>
            </w:tcBorders>
            <w:shd w:val="clear" w:color="000000" w:fill="FFFFFF"/>
            <w:vAlign w:val="bottom"/>
          </w:tcPr>
          <w:p w14:paraId="4462A7E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(2) </w:t>
            </w:r>
          </w:p>
        </w:tc>
      </w:tr>
      <w:tr w:rsidR="00717BA5" w:rsidRPr="00717BA5" w14:paraId="0C09D5C9" w14:textId="77777777" w:rsidTr="00F0752D">
        <w:trPr>
          <w:trHeight w:val="20"/>
        </w:trPr>
        <w:tc>
          <w:tcPr>
            <w:tcW w:w="1996" w:type="pct"/>
            <w:tcBorders>
              <w:left w:val="nil"/>
            </w:tcBorders>
            <w:shd w:val="clear" w:color="000000" w:fill="FFFFFF"/>
            <w:vAlign w:val="bottom"/>
          </w:tcPr>
          <w:p w14:paraId="20E1A290" w14:textId="77777777" w:rsidR="00717BA5" w:rsidRPr="00717BA5" w:rsidRDefault="00717BA5" w:rsidP="00717BA5">
            <w:pPr>
              <w:spacing w:after="0" w:line="240" w:lineRule="auto"/>
              <w:ind w:firstLineChars="100" w:firstLine="181"/>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 at the End of the Reporting Period</w:t>
            </w:r>
          </w:p>
        </w:tc>
        <w:tc>
          <w:tcPr>
            <w:tcW w:w="446" w:type="pct"/>
            <w:tcBorders>
              <w:top w:val="single" w:sz="4" w:space="0" w:color="auto"/>
              <w:left w:val="nil"/>
              <w:bottom w:val="double" w:sz="4" w:space="0" w:color="auto"/>
              <w:right w:val="single" w:sz="4" w:space="0" w:color="auto"/>
            </w:tcBorders>
            <w:shd w:val="clear" w:color="000000" w:fill="FFFFFF"/>
            <w:noWrap/>
            <w:vAlign w:val="bottom"/>
          </w:tcPr>
          <w:p w14:paraId="0B264109"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1,126 </w:t>
            </w:r>
          </w:p>
        </w:tc>
        <w:tc>
          <w:tcPr>
            <w:tcW w:w="444" w:type="pct"/>
            <w:tcBorders>
              <w:top w:val="single" w:sz="4" w:space="0" w:color="auto"/>
              <w:left w:val="nil"/>
              <w:bottom w:val="double" w:sz="4" w:space="0" w:color="auto"/>
              <w:right w:val="single" w:sz="4" w:space="0" w:color="auto"/>
            </w:tcBorders>
            <w:shd w:val="clear" w:color="000000" w:fill="FFFFFF"/>
            <w:noWrap/>
            <w:vAlign w:val="bottom"/>
          </w:tcPr>
          <w:p w14:paraId="5599BE20"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57 </w:t>
            </w:r>
          </w:p>
        </w:tc>
        <w:tc>
          <w:tcPr>
            <w:tcW w:w="393" w:type="pct"/>
            <w:tcBorders>
              <w:top w:val="single" w:sz="4" w:space="0" w:color="auto"/>
              <w:left w:val="nil"/>
              <w:bottom w:val="double" w:sz="4" w:space="0" w:color="auto"/>
              <w:right w:val="single" w:sz="4" w:space="0" w:color="auto"/>
            </w:tcBorders>
            <w:shd w:val="clear" w:color="000000" w:fill="FFFFFF"/>
            <w:noWrap/>
            <w:vAlign w:val="bottom"/>
          </w:tcPr>
          <w:p w14:paraId="061FB2E3"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10 </w:t>
            </w:r>
          </w:p>
        </w:tc>
        <w:tc>
          <w:tcPr>
            <w:tcW w:w="443" w:type="pct"/>
            <w:tcBorders>
              <w:top w:val="single" w:sz="4" w:space="0" w:color="auto"/>
              <w:left w:val="single" w:sz="4" w:space="0" w:color="auto"/>
              <w:bottom w:val="double" w:sz="4" w:space="0" w:color="auto"/>
              <w:right w:val="single" w:sz="4" w:space="0" w:color="auto"/>
            </w:tcBorders>
            <w:shd w:val="clear" w:color="000000" w:fill="FFFFFF"/>
            <w:vAlign w:val="bottom"/>
          </w:tcPr>
          <w:p w14:paraId="091E591A"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36 </w:t>
            </w:r>
          </w:p>
        </w:tc>
        <w:tc>
          <w:tcPr>
            <w:tcW w:w="400" w:type="pct"/>
            <w:tcBorders>
              <w:top w:val="single" w:sz="4" w:space="0" w:color="auto"/>
              <w:left w:val="single" w:sz="4" w:space="0" w:color="auto"/>
              <w:bottom w:val="double" w:sz="4" w:space="0" w:color="auto"/>
              <w:right w:val="single" w:sz="4" w:space="0" w:color="auto"/>
            </w:tcBorders>
            <w:shd w:val="clear" w:color="000000" w:fill="FFFFFF"/>
            <w:vAlign w:val="bottom"/>
          </w:tcPr>
          <w:p w14:paraId="6C4CFB7B"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71 </w:t>
            </w:r>
          </w:p>
        </w:tc>
        <w:tc>
          <w:tcPr>
            <w:tcW w:w="474" w:type="pct"/>
            <w:tcBorders>
              <w:top w:val="single" w:sz="4" w:space="0" w:color="auto"/>
              <w:left w:val="single" w:sz="4" w:space="0" w:color="auto"/>
              <w:bottom w:val="double" w:sz="4" w:space="0" w:color="auto"/>
              <w:right w:val="single" w:sz="4" w:space="0" w:color="auto"/>
            </w:tcBorders>
            <w:shd w:val="clear" w:color="000000" w:fill="FFFFFF"/>
            <w:vAlign w:val="bottom"/>
          </w:tcPr>
          <w:p w14:paraId="605890FF"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397 </w:t>
            </w:r>
          </w:p>
        </w:tc>
        <w:tc>
          <w:tcPr>
            <w:tcW w:w="404" w:type="pct"/>
            <w:tcBorders>
              <w:top w:val="single" w:sz="4" w:space="0" w:color="auto"/>
              <w:left w:val="single" w:sz="4" w:space="0" w:color="auto"/>
              <w:bottom w:val="double" w:sz="4" w:space="0" w:color="auto"/>
            </w:tcBorders>
            <w:shd w:val="clear" w:color="000000" w:fill="FFFFFF"/>
            <w:noWrap/>
            <w:vAlign w:val="bottom"/>
          </w:tcPr>
          <w:p w14:paraId="40BF7575"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1,697 </w:t>
            </w:r>
          </w:p>
        </w:tc>
      </w:tr>
      <w:tr w:rsidR="00717BA5" w:rsidRPr="00717BA5" w14:paraId="1DE2F2A8" w14:textId="77777777" w:rsidTr="00F0752D">
        <w:trPr>
          <w:trHeight w:val="20"/>
        </w:trPr>
        <w:tc>
          <w:tcPr>
            <w:tcW w:w="1996" w:type="pct"/>
            <w:tcBorders>
              <w:left w:val="nil"/>
            </w:tcBorders>
            <w:shd w:val="clear" w:color="000000" w:fill="FFFFFF"/>
            <w:vAlign w:val="bottom"/>
          </w:tcPr>
          <w:p w14:paraId="705B300C" w14:textId="77777777" w:rsidR="00717BA5" w:rsidRPr="00717BA5" w:rsidRDefault="00717BA5" w:rsidP="00717BA5">
            <w:pPr>
              <w:spacing w:after="0" w:line="240" w:lineRule="auto"/>
              <w:ind w:firstLineChars="100" w:firstLine="181"/>
              <w:rPr>
                <w:rFonts w:ascii="Arial" w:eastAsia="Times New Roman" w:hAnsi="Arial" w:cs="Arial"/>
                <w:b/>
                <w:bCs/>
                <w:color w:val="auto"/>
                <w:sz w:val="18"/>
                <w:szCs w:val="18"/>
                <w:lang w:val="en-AU"/>
              </w:rPr>
            </w:pPr>
          </w:p>
        </w:tc>
        <w:tc>
          <w:tcPr>
            <w:tcW w:w="446" w:type="pct"/>
            <w:tcBorders>
              <w:top w:val="double" w:sz="4" w:space="0" w:color="auto"/>
              <w:left w:val="nil"/>
              <w:bottom w:val="single" w:sz="4" w:space="0" w:color="auto"/>
              <w:right w:val="single" w:sz="4" w:space="0" w:color="auto"/>
            </w:tcBorders>
            <w:shd w:val="clear" w:color="000000" w:fill="FFFFFF"/>
            <w:noWrap/>
            <w:vAlign w:val="bottom"/>
          </w:tcPr>
          <w:p w14:paraId="754F26C1"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44" w:type="pct"/>
            <w:tcBorders>
              <w:top w:val="double" w:sz="4" w:space="0" w:color="auto"/>
              <w:left w:val="nil"/>
              <w:bottom w:val="single" w:sz="4" w:space="0" w:color="auto"/>
              <w:right w:val="single" w:sz="4" w:space="0" w:color="auto"/>
            </w:tcBorders>
            <w:shd w:val="clear" w:color="000000" w:fill="FFFFFF"/>
            <w:noWrap/>
            <w:vAlign w:val="bottom"/>
          </w:tcPr>
          <w:p w14:paraId="788EB79D"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393" w:type="pct"/>
            <w:tcBorders>
              <w:top w:val="double" w:sz="4" w:space="0" w:color="auto"/>
              <w:left w:val="nil"/>
              <w:bottom w:val="single" w:sz="4" w:space="0" w:color="auto"/>
              <w:right w:val="single" w:sz="4" w:space="0" w:color="auto"/>
            </w:tcBorders>
            <w:shd w:val="clear" w:color="000000" w:fill="FFFFFF"/>
            <w:noWrap/>
            <w:vAlign w:val="bottom"/>
          </w:tcPr>
          <w:p w14:paraId="16270BD5"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43" w:type="pct"/>
            <w:tcBorders>
              <w:top w:val="double" w:sz="4" w:space="0" w:color="auto"/>
              <w:left w:val="single" w:sz="4" w:space="0" w:color="auto"/>
              <w:bottom w:val="single" w:sz="4" w:space="0" w:color="auto"/>
              <w:right w:val="single" w:sz="4" w:space="0" w:color="auto"/>
            </w:tcBorders>
            <w:shd w:val="clear" w:color="000000" w:fill="FFFFFF"/>
            <w:vAlign w:val="bottom"/>
          </w:tcPr>
          <w:p w14:paraId="72FD9F5A"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00" w:type="pct"/>
            <w:tcBorders>
              <w:top w:val="double" w:sz="4" w:space="0" w:color="auto"/>
              <w:left w:val="single" w:sz="4" w:space="0" w:color="auto"/>
              <w:bottom w:val="single" w:sz="4" w:space="0" w:color="auto"/>
              <w:right w:val="single" w:sz="4" w:space="0" w:color="auto"/>
            </w:tcBorders>
            <w:shd w:val="clear" w:color="000000" w:fill="FFFFFF"/>
            <w:vAlign w:val="bottom"/>
          </w:tcPr>
          <w:p w14:paraId="06D729A6"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74" w:type="pct"/>
            <w:tcBorders>
              <w:top w:val="double" w:sz="4" w:space="0" w:color="auto"/>
              <w:left w:val="single" w:sz="4" w:space="0" w:color="auto"/>
              <w:bottom w:val="single" w:sz="4" w:space="0" w:color="auto"/>
              <w:right w:val="single" w:sz="4" w:space="0" w:color="auto"/>
            </w:tcBorders>
            <w:shd w:val="clear" w:color="000000" w:fill="FFFFFF"/>
            <w:vAlign w:val="bottom"/>
          </w:tcPr>
          <w:p w14:paraId="076572CA"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04" w:type="pct"/>
            <w:tcBorders>
              <w:top w:val="double" w:sz="4" w:space="0" w:color="auto"/>
              <w:left w:val="single" w:sz="4" w:space="0" w:color="auto"/>
              <w:bottom w:val="single" w:sz="4" w:space="0" w:color="auto"/>
            </w:tcBorders>
            <w:shd w:val="clear" w:color="000000" w:fill="FFFFFF"/>
            <w:noWrap/>
            <w:vAlign w:val="bottom"/>
          </w:tcPr>
          <w:p w14:paraId="59F16CAC"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r>
      <w:tr w:rsidR="00717BA5" w:rsidRPr="00717BA5" w14:paraId="2B1013C0" w14:textId="77777777" w:rsidTr="00F0752D">
        <w:trPr>
          <w:trHeight w:val="272"/>
        </w:trPr>
        <w:tc>
          <w:tcPr>
            <w:tcW w:w="2442" w:type="pct"/>
            <w:gridSpan w:val="2"/>
            <w:tcBorders>
              <w:left w:val="nil"/>
              <w:right w:val="single" w:sz="4" w:space="0" w:color="auto"/>
            </w:tcBorders>
            <w:shd w:val="clear" w:color="000000" w:fill="FFFFFF"/>
            <w:vAlign w:val="bottom"/>
          </w:tcPr>
          <w:p w14:paraId="2683C749"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Carrying Amount at the End of the Reporting Period is represented by:</w:t>
            </w:r>
          </w:p>
        </w:tc>
        <w:tc>
          <w:tcPr>
            <w:tcW w:w="444" w:type="pct"/>
            <w:tcBorders>
              <w:top w:val="single" w:sz="4" w:space="0" w:color="auto"/>
              <w:left w:val="nil"/>
              <w:bottom w:val="single" w:sz="4" w:space="0" w:color="auto"/>
              <w:right w:val="single" w:sz="4" w:space="0" w:color="auto"/>
            </w:tcBorders>
            <w:shd w:val="clear" w:color="000000" w:fill="FFFFFF"/>
            <w:noWrap/>
            <w:vAlign w:val="bottom"/>
          </w:tcPr>
          <w:p w14:paraId="28811476"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393" w:type="pct"/>
            <w:tcBorders>
              <w:top w:val="single" w:sz="4" w:space="0" w:color="auto"/>
              <w:left w:val="nil"/>
              <w:bottom w:val="single" w:sz="4" w:space="0" w:color="auto"/>
              <w:right w:val="single" w:sz="4" w:space="0" w:color="auto"/>
            </w:tcBorders>
            <w:shd w:val="clear" w:color="000000" w:fill="FFFFFF"/>
            <w:noWrap/>
            <w:vAlign w:val="bottom"/>
          </w:tcPr>
          <w:p w14:paraId="7AFABDA4"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43" w:type="pct"/>
            <w:tcBorders>
              <w:top w:val="single" w:sz="4" w:space="0" w:color="auto"/>
              <w:left w:val="single" w:sz="4" w:space="0" w:color="auto"/>
              <w:bottom w:val="single" w:sz="4" w:space="0" w:color="auto"/>
              <w:right w:val="single" w:sz="4" w:space="0" w:color="auto"/>
            </w:tcBorders>
            <w:shd w:val="clear" w:color="000000" w:fill="FFFFFF"/>
            <w:vAlign w:val="bottom"/>
          </w:tcPr>
          <w:p w14:paraId="004A476D"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00" w:type="pct"/>
            <w:tcBorders>
              <w:top w:val="single" w:sz="4" w:space="0" w:color="auto"/>
              <w:left w:val="single" w:sz="4" w:space="0" w:color="auto"/>
              <w:bottom w:val="single" w:sz="4" w:space="0" w:color="auto"/>
              <w:right w:val="single" w:sz="4" w:space="0" w:color="auto"/>
            </w:tcBorders>
            <w:shd w:val="clear" w:color="000000" w:fill="FFFFFF"/>
            <w:vAlign w:val="bottom"/>
          </w:tcPr>
          <w:p w14:paraId="3CA2C40A"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74" w:type="pct"/>
            <w:tcBorders>
              <w:top w:val="single" w:sz="4" w:space="0" w:color="auto"/>
              <w:left w:val="single" w:sz="4" w:space="0" w:color="auto"/>
              <w:bottom w:val="single" w:sz="4" w:space="0" w:color="auto"/>
              <w:right w:val="single" w:sz="4" w:space="0" w:color="auto"/>
            </w:tcBorders>
            <w:shd w:val="clear" w:color="000000" w:fill="FFFFFF"/>
            <w:vAlign w:val="bottom"/>
          </w:tcPr>
          <w:p w14:paraId="4B478A40"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c>
          <w:tcPr>
            <w:tcW w:w="404" w:type="pct"/>
            <w:tcBorders>
              <w:top w:val="single" w:sz="4" w:space="0" w:color="auto"/>
              <w:left w:val="single" w:sz="4" w:space="0" w:color="auto"/>
              <w:bottom w:val="single" w:sz="4" w:space="0" w:color="auto"/>
            </w:tcBorders>
            <w:shd w:val="clear" w:color="000000" w:fill="FFFFFF"/>
            <w:noWrap/>
            <w:vAlign w:val="bottom"/>
          </w:tcPr>
          <w:p w14:paraId="128FA094"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p>
        </w:tc>
      </w:tr>
      <w:tr w:rsidR="00717BA5" w:rsidRPr="00717BA5" w14:paraId="4F94B62C" w14:textId="77777777" w:rsidTr="00F0752D">
        <w:trPr>
          <w:trHeight w:val="20"/>
        </w:trPr>
        <w:tc>
          <w:tcPr>
            <w:tcW w:w="1996" w:type="pct"/>
            <w:tcBorders>
              <w:left w:val="nil"/>
            </w:tcBorders>
            <w:shd w:val="clear" w:color="000000" w:fill="FFFFFF"/>
            <w:vAlign w:val="bottom"/>
          </w:tcPr>
          <w:p w14:paraId="22D27941"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Gross Book Value</w:t>
            </w:r>
          </w:p>
        </w:tc>
        <w:tc>
          <w:tcPr>
            <w:tcW w:w="446" w:type="pct"/>
            <w:tcBorders>
              <w:top w:val="single" w:sz="4" w:space="0" w:color="auto"/>
              <w:left w:val="nil"/>
              <w:bottom w:val="single" w:sz="4" w:space="0" w:color="auto"/>
              <w:right w:val="single" w:sz="4" w:space="0" w:color="auto"/>
            </w:tcBorders>
            <w:shd w:val="clear" w:color="000000" w:fill="FFFFFF"/>
            <w:noWrap/>
            <w:vAlign w:val="bottom"/>
          </w:tcPr>
          <w:p w14:paraId="7F82778B"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1,905 </w:t>
            </w:r>
          </w:p>
        </w:tc>
        <w:tc>
          <w:tcPr>
            <w:tcW w:w="444" w:type="pct"/>
            <w:tcBorders>
              <w:top w:val="single" w:sz="4" w:space="0" w:color="auto"/>
              <w:left w:val="nil"/>
              <w:bottom w:val="single" w:sz="4" w:space="0" w:color="auto"/>
              <w:right w:val="single" w:sz="4" w:space="0" w:color="auto"/>
            </w:tcBorders>
            <w:shd w:val="clear" w:color="000000" w:fill="FFFFFF"/>
            <w:noWrap/>
            <w:vAlign w:val="bottom"/>
          </w:tcPr>
          <w:p w14:paraId="4B3113E5"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173 </w:t>
            </w:r>
          </w:p>
        </w:tc>
        <w:tc>
          <w:tcPr>
            <w:tcW w:w="393" w:type="pct"/>
            <w:tcBorders>
              <w:top w:val="single" w:sz="4" w:space="0" w:color="auto"/>
              <w:left w:val="nil"/>
              <w:bottom w:val="single" w:sz="4" w:space="0" w:color="auto"/>
              <w:right w:val="single" w:sz="4" w:space="0" w:color="auto"/>
            </w:tcBorders>
            <w:shd w:val="clear" w:color="000000" w:fill="FFFFFF"/>
            <w:noWrap/>
            <w:vAlign w:val="bottom"/>
          </w:tcPr>
          <w:p w14:paraId="34D51088"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27 </w:t>
            </w:r>
          </w:p>
        </w:tc>
        <w:tc>
          <w:tcPr>
            <w:tcW w:w="443" w:type="pct"/>
            <w:tcBorders>
              <w:top w:val="single" w:sz="4" w:space="0" w:color="auto"/>
              <w:left w:val="single" w:sz="4" w:space="0" w:color="auto"/>
              <w:bottom w:val="single" w:sz="4" w:space="0" w:color="auto"/>
              <w:right w:val="single" w:sz="4" w:space="0" w:color="auto"/>
            </w:tcBorders>
            <w:shd w:val="clear" w:color="000000" w:fill="FFFFFF"/>
            <w:vAlign w:val="bottom"/>
          </w:tcPr>
          <w:p w14:paraId="6CE8112A"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39 </w:t>
            </w:r>
          </w:p>
        </w:tc>
        <w:tc>
          <w:tcPr>
            <w:tcW w:w="400" w:type="pct"/>
            <w:tcBorders>
              <w:top w:val="single" w:sz="4" w:space="0" w:color="auto"/>
              <w:left w:val="single" w:sz="4" w:space="0" w:color="auto"/>
              <w:bottom w:val="single" w:sz="4" w:space="0" w:color="auto"/>
              <w:right w:val="single" w:sz="4" w:space="0" w:color="auto"/>
            </w:tcBorders>
            <w:shd w:val="clear" w:color="000000" w:fill="FFFFFF"/>
            <w:vAlign w:val="bottom"/>
          </w:tcPr>
          <w:p w14:paraId="1DE75758"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164 </w:t>
            </w:r>
          </w:p>
        </w:tc>
        <w:tc>
          <w:tcPr>
            <w:tcW w:w="474" w:type="pct"/>
            <w:tcBorders>
              <w:top w:val="single" w:sz="4" w:space="0" w:color="auto"/>
              <w:left w:val="single" w:sz="4" w:space="0" w:color="auto"/>
              <w:bottom w:val="single" w:sz="4" w:space="0" w:color="auto"/>
              <w:right w:val="single" w:sz="4" w:space="0" w:color="auto"/>
            </w:tcBorders>
            <w:shd w:val="clear" w:color="000000" w:fill="FFFFFF"/>
            <w:vAlign w:val="bottom"/>
          </w:tcPr>
          <w:p w14:paraId="4F0E91C7"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499 </w:t>
            </w:r>
          </w:p>
        </w:tc>
        <w:tc>
          <w:tcPr>
            <w:tcW w:w="404" w:type="pct"/>
            <w:tcBorders>
              <w:top w:val="single" w:sz="4" w:space="0" w:color="auto"/>
              <w:left w:val="single" w:sz="4" w:space="0" w:color="auto"/>
              <w:bottom w:val="single" w:sz="4" w:space="0" w:color="auto"/>
            </w:tcBorders>
            <w:shd w:val="clear" w:color="000000" w:fill="FFFFFF"/>
            <w:noWrap/>
            <w:vAlign w:val="bottom"/>
          </w:tcPr>
          <w:p w14:paraId="7CFB4BB7"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2,807</w:t>
            </w:r>
          </w:p>
        </w:tc>
      </w:tr>
      <w:tr w:rsidR="00717BA5" w:rsidRPr="00717BA5" w14:paraId="7B8B7D21" w14:textId="77777777" w:rsidTr="00F0752D">
        <w:trPr>
          <w:trHeight w:val="20"/>
        </w:trPr>
        <w:tc>
          <w:tcPr>
            <w:tcW w:w="1996" w:type="pct"/>
            <w:tcBorders>
              <w:left w:val="nil"/>
            </w:tcBorders>
            <w:shd w:val="clear" w:color="000000" w:fill="FFFFFF"/>
            <w:vAlign w:val="bottom"/>
          </w:tcPr>
          <w:p w14:paraId="171D9838" w14:textId="77777777" w:rsidR="00717BA5" w:rsidRPr="00717BA5" w:rsidRDefault="00717BA5" w:rsidP="00717BA5">
            <w:pPr>
              <w:spacing w:after="0" w:line="240" w:lineRule="auto"/>
              <w:ind w:firstLineChars="100" w:firstLine="18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Accumulated Depreciation</w:t>
            </w:r>
          </w:p>
        </w:tc>
        <w:tc>
          <w:tcPr>
            <w:tcW w:w="446" w:type="pct"/>
            <w:tcBorders>
              <w:top w:val="single" w:sz="4" w:space="0" w:color="auto"/>
              <w:left w:val="nil"/>
              <w:bottom w:val="single" w:sz="4" w:space="0" w:color="auto"/>
              <w:right w:val="single" w:sz="4" w:space="0" w:color="auto"/>
            </w:tcBorders>
            <w:shd w:val="clear" w:color="000000" w:fill="FFFFFF"/>
            <w:noWrap/>
            <w:vAlign w:val="bottom"/>
          </w:tcPr>
          <w:p w14:paraId="656554D6"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(779) </w:t>
            </w:r>
          </w:p>
        </w:tc>
        <w:tc>
          <w:tcPr>
            <w:tcW w:w="444" w:type="pct"/>
            <w:tcBorders>
              <w:top w:val="single" w:sz="4" w:space="0" w:color="auto"/>
              <w:left w:val="nil"/>
              <w:bottom w:val="single" w:sz="4" w:space="0" w:color="auto"/>
              <w:right w:val="single" w:sz="4" w:space="0" w:color="auto"/>
            </w:tcBorders>
            <w:shd w:val="clear" w:color="000000" w:fill="FFFFFF"/>
            <w:noWrap/>
            <w:vAlign w:val="bottom"/>
          </w:tcPr>
          <w:p w14:paraId="7B74944B"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(116) </w:t>
            </w:r>
          </w:p>
        </w:tc>
        <w:tc>
          <w:tcPr>
            <w:tcW w:w="393" w:type="pct"/>
            <w:tcBorders>
              <w:top w:val="single" w:sz="4" w:space="0" w:color="auto"/>
              <w:left w:val="nil"/>
              <w:bottom w:val="single" w:sz="4" w:space="0" w:color="auto"/>
              <w:right w:val="single" w:sz="4" w:space="0" w:color="auto"/>
            </w:tcBorders>
            <w:shd w:val="clear" w:color="000000" w:fill="FFFFFF"/>
            <w:noWrap/>
            <w:vAlign w:val="bottom"/>
          </w:tcPr>
          <w:p w14:paraId="4269F96E"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(17) </w:t>
            </w:r>
          </w:p>
        </w:tc>
        <w:tc>
          <w:tcPr>
            <w:tcW w:w="443" w:type="pct"/>
            <w:tcBorders>
              <w:top w:val="single" w:sz="4" w:space="0" w:color="auto"/>
              <w:left w:val="single" w:sz="4" w:space="0" w:color="auto"/>
              <w:bottom w:val="single" w:sz="4" w:space="0" w:color="auto"/>
              <w:right w:val="single" w:sz="4" w:space="0" w:color="auto"/>
            </w:tcBorders>
            <w:shd w:val="clear" w:color="000000" w:fill="FFFFFF"/>
            <w:vAlign w:val="bottom"/>
          </w:tcPr>
          <w:p w14:paraId="7692D849"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(3) </w:t>
            </w:r>
          </w:p>
        </w:tc>
        <w:tc>
          <w:tcPr>
            <w:tcW w:w="400" w:type="pct"/>
            <w:tcBorders>
              <w:top w:val="single" w:sz="4" w:space="0" w:color="auto"/>
              <w:left w:val="single" w:sz="4" w:space="0" w:color="auto"/>
              <w:bottom w:val="single" w:sz="4" w:space="0" w:color="auto"/>
              <w:right w:val="single" w:sz="4" w:space="0" w:color="auto"/>
            </w:tcBorders>
            <w:shd w:val="clear" w:color="000000" w:fill="FFFFFF"/>
            <w:vAlign w:val="bottom"/>
          </w:tcPr>
          <w:p w14:paraId="7A8054DD"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(93) </w:t>
            </w:r>
          </w:p>
        </w:tc>
        <w:tc>
          <w:tcPr>
            <w:tcW w:w="474" w:type="pct"/>
            <w:tcBorders>
              <w:top w:val="single" w:sz="4" w:space="0" w:color="auto"/>
              <w:left w:val="single" w:sz="4" w:space="0" w:color="auto"/>
              <w:bottom w:val="single" w:sz="4" w:space="0" w:color="auto"/>
              <w:right w:val="single" w:sz="4" w:space="0" w:color="auto"/>
            </w:tcBorders>
            <w:shd w:val="clear" w:color="000000" w:fill="FFFFFF"/>
            <w:vAlign w:val="bottom"/>
          </w:tcPr>
          <w:p w14:paraId="2844954D"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(102) </w:t>
            </w:r>
          </w:p>
        </w:tc>
        <w:tc>
          <w:tcPr>
            <w:tcW w:w="404" w:type="pct"/>
            <w:tcBorders>
              <w:top w:val="single" w:sz="4" w:space="0" w:color="auto"/>
              <w:left w:val="single" w:sz="4" w:space="0" w:color="auto"/>
              <w:bottom w:val="single" w:sz="4" w:space="0" w:color="auto"/>
            </w:tcBorders>
            <w:shd w:val="clear" w:color="000000" w:fill="FFFFFF"/>
            <w:noWrap/>
            <w:vAlign w:val="bottom"/>
          </w:tcPr>
          <w:p w14:paraId="6A207DEB"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(1,110)</w:t>
            </w:r>
          </w:p>
        </w:tc>
      </w:tr>
      <w:tr w:rsidR="00717BA5" w:rsidRPr="00717BA5" w14:paraId="7A5A761E" w14:textId="77777777" w:rsidTr="00F0752D">
        <w:trPr>
          <w:trHeight w:val="20"/>
        </w:trPr>
        <w:tc>
          <w:tcPr>
            <w:tcW w:w="1996" w:type="pct"/>
            <w:tcBorders>
              <w:left w:val="nil"/>
            </w:tcBorders>
            <w:shd w:val="clear" w:color="000000" w:fill="FFFFFF"/>
            <w:vAlign w:val="bottom"/>
          </w:tcPr>
          <w:p w14:paraId="314C563F" w14:textId="77777777" w:rsidR="00717BA5" w:rsidRPr="00717BA5" w:rsidRDefault="00717BA5" w:rsidP="00717BA5">
            <w:pPr>
              <w:spacing w:after="0" w:line="240" w:lineRule="auto"/>
              <w:ind w:firstLineChars="100" w:firstLine="181"/>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 at the End of the Reporting Period</w:t>
            </w:r>
          </w:p>
        </w:tc>
        <w:tc>
          <w:tcPr>
            <w:tcW w:w="446" w:type="pct"/>
            <w:tcBorders>
              <w:top w:val="single" w:sz="4" w:space="0" w:color="auto"/>
              <w:left w:val="nil"/>
              <w:bottom w:val="double" w:sz="6" w:space="0" w:color="auto"/>
              <w:right w:val="single" w:sz="4" w:space="0" w:color="auto"/>
            </w:tcBorders>
            <w:shd w:val="clear" w:color="000000" w:fill="FFFFFF"/>
            <w:noWrap/>
            <w:vAlign w:val="bottom"/>
          </w:tcPr>
          <w:p w14:paraId="58958115"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1,126 </w:t>
            </w:r>
          </w:p>
        </w:tc>
        <w:tc>
          <w:tcPr>
            <w:tcW w:w="444" w:type="pct"/>
            <w:tcBorders>
              <w:top w:val="single" w:sz="4" w:space="0" w:color="auto"/>
              <w:left w:val="nil"/>
              <w:bottom w:val="double" w:sz="6" w:space="0" w:color="auto"/>
              <w:right w:val="single" w:sz="4" w:space="0" w:color="auto"/>
            </w:tcBorders>
            <w:shd w:val="clear" w:color="000000" w:fill="FFFFFF"/>
            <w:noWrap/>
            <w:vAlign w:val="bottom"/>
          </w:tcPr>
          <w:p w14:paraId="7A85E66E"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57 </w:t>
            </w:r>
          </w:p>
        </w:tc>
        <w:tc>
          <w:tcPr>
            <w:tcW w:w="393" w:type="pct"/>
            <w:tcBorders>
              <w:top w:val="single" w:sz="4" w:space="0" w:color="auto"/>
              <w:left w:val="nil"/>
              <w:bottom w:val="double" w:sz="6" w:space="0" w:color="auto"/>
              <w:right w:val="single" w:sz="4" w:space="0" w:color="auto"/>
            </w:tcBorders>
            <w:shd w:val="clear" w:color="000000" w:fill="FFFFFF"/>
            <w:noWrap/>
            <w:vAlign w:val="bottom"/>
          </w:tcPr>
          <w:p w14:paraId="7DE60810"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10 </w:t>
            </w:r>
          </w:p>
        </w:tc>
        <w:tc>
          <w:tcPr>
            <w:tcW w:w="443" w:type="pct"/>
            <w:tcBorders>
              <w:top w:val="single" w:sz="4" w:space="0" w:color="auto"/>
              <w:left w:val="single" w:sz="4" w:space="0" w:color="auto"/>
              <w:bottom w:val="double" w:sz="6" w:space="0" w:color="auto"/>
              <w:right w:val="single" w:sz="4" w:space="0" w:color="auto"/>
            </w:tcBorders>
            <w:shd w:val="clear" w:color="000000" w:fill="FFFFFF"/>
            <w:vAlign w:val="bottom"/>
          </w:tcPr>
          <w:p w14:paraId="7CD0429F"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36 </w:t>
            </w:r>
          </w:p>
        </w:tc>
        <w:tc>
          <w:tcPr>
            <w:tcW w:w="400" w:type="pct"/>
            <w:tcBorders>
              <w:top w:val="single" w:sz="4" w:space="0" w:color="auto"/>
              <w:left w:val="single" w:sz="4" w:space="0" w:color="auto"/>
              <w:bottom w:val="double" w:sz="6" w:space="0" w:color="auto"/>
              <w:right w:val="single" w:sz="4" w:space="0" w:color="auto"/>
            </w:tcBorders>
            <w:shd w:val="clear" w:color="000000" w:fill="FFFFFF"/>
            <w:vAlign w:val="bottom"/>
          </w:tcPr>
          <w:p w14:paraId="5C98D4DB"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71 </w:t>
            </w:r>
          </w:p>
        </w:tc>
        <w:tc>
          <w:tcPr>
            <w:tcW w:w="474" w:type="pct"/>
            <w:tcBorders>
              <w:top w:val="single" w:sz="4" w:space="0" w:color="auto"/>
              <w:left w:val="single" w:sz="4" w:space="0" w:color="auto"/>
              <w:bottom w:val="double" w:sz="6" w:space="0" w:color="auto"/>
              <w:right w:val="single" w:sz="4" w:space="0" w:color="auto"/>
            </w:tcBorders>
            <w:shd w:val="clear" w:color="000000" w:fill="FFFFFF"/>
            <w:vAlign w:val="bottom"/>
          </w:tcPr>
          <w:p w14:paraId="6E2AC294"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color w:val="auto"/>
                <w:sz w:val="18"/>
                <w:szCs w:val="18"/>
                <w:lang w:val="en-AU"/>
              </w:rPr>
              <w:t xml:space="preserve"> 397 </w:t>
            </w:r>
          </w:p>
        </w:tc>
        <w:tc>
          <w:tcPr>
            <w:tcW w:w="404" w:type="pct"/>
            <w:tcBorders>
              <w:top w:val="single" w:sz="4" w:space="0" w:color="auto"/>
              <w:left w:val="single" w:sz="4" w:space="0" w:color="auto"/>
              <w:bottom w:val="double" w:sz="6" w:space="0" w:color="auto"/>
            </w:tcBorders>
            <w:shd w:val="clear" w:color="000000" w:fill="FFFFFF"/>
            <w:noWrap/>
            <w:vAlign w:val="bottom"/>
          </w:tcPr>
          <w:p w14:paraId="79778C9E"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1,697</w:t>
            </w:r>
          </w:p>
        </w:tc>
      </w:tr>
    </w:tbl>
    <w:p w14:paraId="7B724C50" w14:textId="77777777" w:rsidR="00717BA5" w:rsidRPr="00717BA5" w:rsidRDefault="00717BA5" w:rsidP="00717BA5">
      <w:pPr>
        <w:spacing w:after="0" w:line="240" w:lineRule="auto"/>
        <w:rPr>
          <w:rFonts w:ascii="Arial" w:eastAsia="SimSun" w:hAnsi="Arial" w:cs="Arial"/>
          <w:color w:val="auto"/>
          <w:lang w:val="en-AU"/>
        </w:rPr>
      </w:pPr>
    </w:p>
    <w:tbl>
      <w:tblPr>
        <w:tblStyle w:val="CVtable13"/>
        <w:tblW w:w="4903" w:type="pct"/>
        <w:tblInd w:w="142" w:type="dxa"/>
        <w:tblLayout w:type="fixed"/>
        <w:tblLook w:val="00A0" w:firstRow="1" w:lastRow="0" w:firstColumn="1" w:lastColumn="0" w:noHBand="0" w:noVBand="0"/>
      </w:tblPr>
      <w:tblGrid>
        <w:gridCol w:w="11245"/>
        <w:gridCol w:w="1798"/>
        <w:gridCol w:w="1799"/>
      </w:tblGrid>
      <w:tr w:rsidR="00717BA5" w:rsidRPr="00717BA5" w14:paraId="3140EE3C" w14:textId="77777777" w:rsidTr="00F0752D">
        <w:trPr>
          <w:trHeight w:val="206"/>
        </w:trPr>
        <w:tc>
          <w:tcPr>
            <w:tcW w:w="11245" w:type="dxa"/>
            <w:tcBorders>
              <w:top w:val="nil"/>
              <w:left w:val="nil"/>
              <w:bottom w:val="nil"/>
              <w:right w:val="nil"/>
            </w:tcBorders>
          </w:tcPr>
          <w:p w14:paraId="6AE69D29" w14:textId="77777777" w:rsidR="00717BA5" w:rsidRPr="00717BA5" w:rsidRDefault="00717BA5" w:rsidP="00717BA5">
            <w:pPr>
              <w:tabs>
                <w:tab w:val="left" w:pos="3306"/>
              </w:tabs>
              <w:spacing w:after="0" w:line="240" w:lineRule="auto"/>
              <w:rPr>
                <w:rFonts w:ascii="Arial" w:eastAsia="Times New Roman" w:hAnsi="Arial" w:cs="Arial"/>
                <w:b/>
                <w:sz w:val="18"/>
                <w:szCs w:val="18"/>
                <w:lang w:val="en-AU" w:eastAsia="en-US"/>
              </w:rPr>
            </w:pPr>
          </w:p>
        </w:tc>
        <w:tc>
          <w:tcPr>
            <w:tcW w:w="1798" w:type="dxa"/>
            <w:tcBorders>
              <w:top w:val="nil"/>
              <w:left w:val="nil"/>
              <w:bottom w:val="nil"/>
              <w:right w:val="nil"/>
            </w:tcBorders>
            <w:hideMark/>
          </w:tcPr>
          <w:p w14:paraId="2C2810BA" w14:textId="77777777" w:rsidR="00717BA5" w:rsidRPr="00717BA5" w:rsidRDefault="00717BA5" w:rsidP="00717BA5">
            <w:pPr>
              <w:tabs>
                <w:tab w:val="left" w:pos="3306"/>
              </w:tabs>
              <w:spacing w:after="0" w:line="240" w:lineRule="auto"/>
              <w:jc w:val="right"/>
              <w:rPr>
                <w:rFonts w:ascii="Arial" w:eastAsia="Times New Roman" w:hAnsi="Arial" w:cs="Arial"/>
                <w:b/>
                <w:sz w:val="18"/>
                <w:szCs w:val="18"/>
                <w:lang w:val="en-AU" w:eastAsia="en-US"/>
              </w:rPr>
            </w:pPr>
            <w:r w:rsidRPr="00717BA5">
              <w:rPr>
                <w:rFonts w:ascii="Arial" w:eastAsia="Times New Roman" w:hAnsi="Arial" w:cs="Arial"/>
                <w:b/>
                <w:sz w:val="18"/>
                <w:szCs w:val="18"/>
                <w:lang w:val="en-AU" w:eastAsia="en-US"/>
              </w:rPr>
              <w:t>2026</w:t>
            </w:r>
          </w:p>
        </w:tc>
        <w:tc>
          <w:tcPr>
            <w:tcW w:w="1799" w:type="dxa"/>
            <w:tcBorders>
              <w:top w:val="nil"/>
              <w:left w:val="nil"/>
              <w:bottom w:val="nil"/>
              <w:right w:val="nil"/>
            </w:tcBorders>
            <w:hideMark/>
          </w:tcPr>
          <w:p w14:paraId="18167987" w14:textId="77777777" w:rsidR="00717BA5" w:rsidRPr="00717BA5" w:rsidRDefault="00717BA5" w:rsidP="00717BA5">
            <w:pPr>
              <w:tabs>
                <w:tab w:val="left" w:pos="3306"/>
              </w:tabs>
              <w:spacing w:after="0" w:line="240" w:lineRule="auto"/>
              <w:jc w:val="right"/>
              <w:rPr>
                <w:rFonts w:ascii="Arial" w:eastAsia="Times New Roman" w:hAnsi="Arial" w:cs="Arial"/>
                <w:b/>
                <w:sz w:val="18"/>
                <w:szCs w:val="18"/>
                <w:lang w:val="en-AU" w:eastAsia="en-US"/>
              </w:rPr>
            </w:pPr>
            <w:r w:rsidRPr="00717BA5">
              <w:rPr>
                <w:rFonts w:ascii="Arial" w:eastAsia="Times New Roman" w:hAnsi="Arial" w:cs="Arial"/>
                <w:b/>
                <w:sz w:val="18"/>
                <w:szCs w:val="18"/>
                <w:lang w:val="en-AU" w:eastAsia="en-US"/>
              </w:rPr>
              <w:t>2025</w:t>
            </w:r>
          </w:p>
        </w:tc>
      </w:tr>
      <w:tr w:rsidR="00717BA5" w:rsidRPr="00717BA5" w14:paraId="50D0DF0C" w14:textId="77777777" w:rsidTr="00F0752D">
        <w:trPr>
          <w:trHeight w:val="206"/>
        </w:trPr>
        <w:tc>
          <w:tcPr>
            <w:tcW w:w="11245" w:type="dxa"/>
            <w:tcBorders>
              <w:top w:val="nil"/>
              <w:left w:val="nil"/>
              <w:bottom w:val="nil"/>
              <w:right w:val="nil"/>
            </w:tcBorders>
          </w:tcPr>
          <w:p w14:paraId="2300447F" w14:textId="77777777" w:rsidR="00717BA5" w:rsidRPr="00717BA5" w:rsidRDefault="00717BA5" w:rsidP="00717BA5">
            <w:pPr>
              <w:tabs>
                <w:tab w:val="left" w:pos="3306"/>
              </w:tabs>
              <w:spacing w:after="0" w:line="240" w:lineRule="auto"/>
              <w:rPr>
                <w:rFonts w:ascii="Arial" w:eastAsia="Times New Roman" w:hAnsi="Arial" w:cs="Arial"/>
                <w:b/>
                <w:sz w:val="18"/>
                <w:szCs w:val="18"/>
                <w:lang w:val="en-AU" w:eastAsia="en-US"/>
              </w:rPr>
            </w:pPr>
          </w:p>
        </w:tc>
        <w:tc>
          <w:tcPr>
            <w:tcW w:w="1798" w:type="dxa"/>
            <w:tcBorders>
              <w:top w:val="nil"/>
              <w:left w:val="nil"/>
              <w:bottom w:val="nil"/>
              <w:right w:val="nil"/>
            </w:tcBorders>
            <w:hideMark/>
          </w:tcPr>
          <w:p w14:paraId="5C5087AA" w14:textId="77777777" w:rsidR="00717BA5" w:rsidRPr="00717BA5" w:rsidRDefault="00717BA5" w:rsidP="00717BA5">
            <w:pPr>
              <w:tabs>
                <w:tab w:val="left" w:pos="3306"/>
              </w:tabs>
              <w:spacing w:after="0" w:line="240" w:lineRule="auto"/>
              <w:jc w:val="right"/>
              <w:rPr>
                <w:rFonts w:ascii="Arial" w:eastAsia="Times New Roman" w:hAnsi="Arial" w:cs="Arial"/>
                <w:b/>
                <w:sz w:val="18"/>
                <w:szCs w:val="18"/>
                <w:lang w:val="en-AU" w:eastAsia="en-US"/>
              </w:rPr>
            </w:pPr>
            <w:r w:rsidRPr="00717BA5">
              <w:rPr>
                <w:rFonts w:ascii="Arial" w:eastAsia="Times New Roman" w:hAnsi="Arial" w:cs="Arial"/>
                <w:b/>
                <w:sz w:val="18"/>
                <w:szCs w:val="18"/>
                <w:lang w:val="en-AU" w:eastAsia="en-US"/>
              </w:rPr>
              <w:t>$’000</w:t>
            </w:r>
          </w:p>
        </w:tc>
        <w:tc>
          <w:tcPr>
            <w:tcW w:w="1799" w:type="dxa"/>
            <w:tcBorders>
              <w:top w:val="nil"/>
              <w:left w:val="nil"/>
              <w:bottom w:val="nil"/>
              <w:right w:val="nil"/>
            </w:tcBorders>
            <w:hideMark/>
          </w:tcPr>
          <w:p w14:paraId="18716232" w14:textId="77777777" w:rsidR="00717BA5" w:rsidRPr="00717BA5" w:rsidRDefault="00717BA5" w:rsidP="00717BA5">
            <w:pPr>
              <w:tabs>
                <w:tab w:val="left" w:pos="3306"/>
              </w:tabs>
              <w:spacing w:after="0" w:line="240" w:lineRule="auto"/>
              <w:jc w:val="right"/>
              <w:rPr>
                <w:rFonts w:ascii="Arial" w:eastAsia="Times New Roman" w:hAnsi="Arial" w:cs="Arial"/>
                <w:b/>
                <w:sz w:val="18"/>
                <w:szCs w:val="18"/>
                <w:lang w:val="en-AU" w:eastAsia="en-US"/>
              </w:rPr>
            </w:pPr>
            <w:r w:rsidRPr="00717BA5">
              <w:rPr>
                <w:rFonts w:ascii="Arial" w:eastAsia="Times New Roman" w:hAnsi="Arial" w:cs="Arial"/>
                <w:b/>
                <w:sz w:val="18"/>
                <w:szCs w:val="18"/>
                <w:lang w:val="en-AU" w:eastAsia="en-US"/>
              </w:rPr>
              <w:t>$’000</w:t>
            </w:r>
          </w:p>
        </w:tc>
      </w:tr>
      <w:tr w:rsidR="00717BA5" w:rsidRPr="00717BA5" w14:paraId="77F37028" w14:textId="77777777" w:rsidTr="00F0752D">
        <w:trPr>
          <w:trHeight w:val="137"/>
        </w:trPr>
        <w:tc>
          <w:tcPr>
            <w:tcW w:w="11245" w:type="dxa"/>
            <w:tcBorders>
              <w:top w:val="nil"/>
              <w:left w:val="nil"/>
              <w:bottom w:val="nil"/>
              <w:right w:val="nil"/>
            </w:tcBorders>
            <w:hideMark/>
          </w:tcPr>
          <w:p w14:paraId="7809A2C0" w14:textId="77777777" w:rsidR="00717BA5" w:rsidRPr="00717BA5" w:rsidRDefault="00717BA5" w:rsidP="00717BA5">
            <w:pPr>
              <w:tabs>
                <w:tab w:val="left" w:pos="3306"/>
              </w:tabs>
              <w:spacing w:after="120" w:line="240" w:lineRule="auto"/>
              <w:rPr>
                <w:rFonts w:ascii="Arial" w:eastAsia="Times New Roman" w:hAnsi="Arial" w:cs="Arial"/>
                <w:bCs/>
                <w:sz w:val="18"/>
                <w:szCs w:val="18"/>
                <w:lang w:val="en-AU" w:eastAsia="en-US"/>
              </w:rPr>
            </w:pPr>
            <w:r w:rsidRPr="00717BA5">
              <w:rPr>
                <w:rFonts w:ascii="Arial" w:eastAsia="Times New Roman" w:hAnsi="Arial" w:cs="Arial"/>
                <w:b/>
                <w:sz w:val="18"/>
                <w:szCs w:val="18"/>
                <w:lang w:val="en-AU" w:eastAsia="en-US"/>
              </w:rPr>
              <w:t>Reconciliation of Depreciation and Amortisation Amounts from the Notes to the Amount on the Face of the Operating Statement</w:t>
            </w:r>
          </w:p>
        </w:tc>
        <w:tc>
          <w:tcPr>
            <w:tcW w:w="1798" w:type="dxa"/>
            <w:tcBorders>
              <w:top w:val="nil"/>
              <w:left w:val="nil"/>
              <w:bottom w:val="nil"/>
              <w:right w:val="nil"/>
            </w:tcBorders>
          </w:tcPr>
          <w:p w14:paraId="24B5A653" w14:textId="77777777" w:rsidR="00717BA5" w:rsidRPr="00717BA5" w:rsidRDefault="00717BA5" w:rsidP="00717BA5">
            <w:pPr>
              <w:tabs>
                <w:tab w:val="left" w:pos="3306"/>
              </w:tabs>
              <w:spacing w:after="0" w:line="240" w:lineRule="auto"/>
              <w:jc w:val="right"/>
              <w:rPr>
                <w:rFonts w:ascii="Arial" w:eastAsia="Times New Roman" w:hAnsi="Arial" w:cs="Arial"/>
                <w:sz w:val="18"/>
                <w:szCs w:val="18"/>
                <w:highlight w:val="yellow"/>
                <w:lang w:val="en-AU" w:eastAsia="en-US"/>
              </w:rPr>
            </w:pPr>
          </w:p>
        </w:tc>
        <w:tc>
          <w:tcPr>
            <w:tcW w:w="1799" w:type="dxa"/>
            <w:tcBorders>
              <w:top w:val="nil"/>
              <w:left w:val="nil"/>
              <w:bottom w:val="nil"/>
              <w:right w:val="nil"/>
            </w:tcBorders>
          </w:tcPr>
          <w:p w14:paraId="67BA7A51" w14:textId="77777777" w:rsidR="00717BA5" w:rsidRPr="00717BA5" w:rsidRDefault="00717BA5" w:rsidP="00717BA5">
            <w:pPr>
              <w:tabs>
                <w:tab w:val="left" w:pos="3306"/>
              </w:tabs>
              <w:spacing w:after="0" w:line="240" w:lineRule="auto"/>
              <w:jc w:val="right"/>
              <w:rPr>
                <w:rFonts w:ascii="Arial" w:eastAsia="Times New Roman" w:hAnsi="Arial" w:cs="Arial"/>
                <w:sz w:val="18"/>
                <w:szCs w:val="18"/>
                <w:highlight w:val="yellow"/>
                <w:lang w:val="en-AU" w:eastAsia="en-US"/>
              </w:rPr>
            </w:pPr>
          </w:p>
        </w:tc>
      </w:tr>
      <w:tr w:rsidR="00717BA5" w:rsidRPr="00717BA5" w14:paraId="29741E18" w14:textId="77777777" w:rsidTr="00F0752D">
        <w:trPr>
          <w:trHeight w:val="184"/>
        </w:trPr>
        <w:tc>
          <w:tcPr>
            <w:tcW w:w="11245" w:type="dxa"/>
            <w:tcBorders>
              <w:top w:val="nil"/>
              <w:left w:val="nil"/>
              <w:bottom w:val="nil"/>
              <w:right w:val="nil"/>
            </w:tcBorders>
            <w:hideMark/>
          </w:tcPr>
          <w:p w14:paraId="51229C9A" w14:textId="77777777" w:rsidR="00717BA5" w:rsidRPr="00717BA5" w:rsidRDefault="00717BA5" w:rsidP="00717BA5">
            <w:pPr>
              <w:tabs>
                <w:tab w:val="left" w:pos="3306"/>
              </w:tabs>
              <w:spacing w:after="0" w:line="240" w:lineRule="auto"/>
              <w:jc w:val="both"/>
              <w:rPr>
                <w:rFonts w:ascii="Arial" w:eastAsia="Times New Roman" w:hAnsi="Arial" w:cs="Arial"/>
                <w:bCs/>
                <w:sz w:val="18"/>
                <w:szCs w:val="18"/>
                <w:lang w:val="en-AU" w:eastAsia="en-US"/>
              </w:rPr>
            </w:pPr>
            <w:r w:rsidRPr="00717BA5">
              <w:rPr>
                <w:rFonts w:ascii="Arial" w:eastAsia="Times New Roman" w:hAnsi="Arial" w:cs="Arial"/>
                <w:bCs/>
                <w:sz w:val="18"/>
                <w:szCs w:val="18"/>
                <w:lang w:val="en-AU" w:eastAsia="en-US"/>
              </w:rPr>
              <w:t>Depreciation Expense (from Note 13 Property, Plant and Equipment above)</w:t>
            </w:r>
          </w:p>
        </w:tc>
        <w:tc>
          <w:tcPr>
            <w:tcW w:w="1798" w:type="dxa"/>
            <w:tcBorders>
              <w:top w:val="nil"/>
              <w:left w:val="nil"/>
              <w:bottom w:val="nil"/>
              <w:right w:val="nil"/>
            </w:tcBorders>
            <w:vAlign w:val="bottom"/>
          </w:tcPr>
          <w:p w14:paraId="37DE9357" w14:textId="77777777" w:rsidR="00717BA5" w:rsidRPr="00717BA5" w:rsidRDefault="00717BA5" w:rsidP="00717BA5">
            <w:pPr>
              <w:tabs>
                <w:tab w:val="left" w:pos="3306"/>
              </w:tabs>
              <w:spacing w:after="0" w:line="240" w:lineRule="auto"/>
              <w:jc w:val="right"/>
              <w:rPr>
                <w:rFonts w:ascii="Arial" w:eastAsia="Times New Roman" w:hAnsi="Arial" w:cs="Arial"/>
                <w:sz w:val="18"/>
                <w:szCs w:val="18"/>
                <w:lang w:val="en-AU" w:eastAsia="en-US"/>
              </w:rPr>
            </w:pPr>
            <w:r w:rsidRPr="00717BA5">
              <w:rPr>
                <w:rFonts w:ascii="Arial" w:eastAsia="Times New Roman" w:hAnsi="Arial" w:cs="Arial"/>
                <w:bCs/>
                <w:sz w:val="18"/>
                <w:szCs w:val="18"/>
                <w:lang w:val="en-AU" w:eastAsia="en-US"/>
              </w:rPr>
              <w:t>241</w:t>
            </w:r>
          </w:p>
        </w:tc>
        <w:tc>
          <w:tcPr>
            <w:tcW w:w="1799" w:type="dxa"/>
            <w:tcBorders>
              <w:top w:val="nil"/>
              <w:left w:val="nil"/>
              <w:bottom w:val="nil"/>
              <w:right w:val="nil"/>
            </w:tcBorders>
            <w:vAlign w:val="bottom"/>
          </w:tcPr>
          <w:p w14:paraId="70C750D0" w14:textId="77777777" w:rsidR="00717BA5" w:rsidRPr="00717BA5" w:rsidRDefault="00717BA5" w:rsidP="00717BA5">
            <w:pPr>
              <w:tabs>
                <w:tab w:val="left" w:pos="3306"/>
              </w:tabs>
              <w:spacing w:after="0" w:line="240" w:lineRule="auto"/>
              <w:jc w:val="right"/>
              <w:rPr>
                <w:rFonts w:ascii="Arial" w:eastAsia="Times New Roman" w:hAnsi="Arial" w:cs="Arial"/>
                <w:sz w:val="18"/>
                <w:szCs w:val="18"/>
                <w:lang w:val="en-AU" w:eastAsia="en-US"/>
              </w:rPr>
            </w:pPr>
            <w:r w:rsidRPr="00717BA5">
              <w:rPr>
                <w:rFonts w:ascii="Arial" w:eastAsia="Times New Roman" w:hAnsi="Arial" w:cs="Arial"/>
                <w:sz w:val="18"/>
                <w:szCs w:val="18"/>
                <w:lang w:val="en-AU" w:eastAsia="en-US"/>
              </w:rPr>
              <w:t>275</w:t>
            </w:r>
          </w:p>
        </w:tc>
      </w:tr>
      <w:tr w:rsidR="00717BA5" w:rsidRPr="00717BA5" w14:paraId="39441FCB" w14:textId="77777777" w:rsidTr="00F0752D">
        <w:trPr>
          <w:trHeight w:val="347"/>
        </w:trPr>
        <w:tc>
          <w:tcPr>
            <w:tcW w:w="11245" w:type="dxa"/>
            <w:tcBorders>
              <w:top w:val="nil"/>
              <w:left w:val="nil"/>
              <w:bottom w:val="nil"/>
              <w:right w:val="nil"/>
            </w:tcBorders>
            <w:hideMark/>
          </w:tcPr>
          <w:p w14:paraId="66B35329" w14:textId="00E0128F" w:rsidR="00717BA5" w:rsidRPr="00717BA5" w:rsidRDefault="00717BA5" w:rsidP="00717BA5">
            <w:pPr>
              <w:tabs>
                <w:tab w:val="left" w:pos="3306"/>
              </w:tabs>
              <w:spacing w:after="0" w:line="240" w:lineRule="auto"/>
              <w:jc w:val="both"/>
              <w:rPr>
                <w:rFonts w:ascii="Arial" w:eastAsia="Times New Roman" w:hAnsi="Arial" w:cs="Arial"/>
                <w:bCs/>
                <w:sz w:val="18"/>
                <w:szCs w:val="18"/>
                <w:lang w:val="en-AU" w:eastAsia="en-US"/>
              </w:rPr>
            </w:pPr>
            <w:r w:rsidRPr="00717BA5">
              <w:rPr>
                <w:rFonts w:ascii="Arial" w:eastAsia="Times New Roman" w:hAnsi="Arial" w:cs="Arial"/>
                <w:bCs/>
                <w:sz w:val="18"/>
                <w:szCs w:val="18"/>
                <w:lang w:val="en-AU" w:eastAsia="en-US"/>
              </w:rPr>
              <w:t>Amortisation Expense applied to Intangible Assets</w:t>
            </w:r>
            <w:r w:rsidR="00FC0A57">
              <w:rPr>
                <w:rFonts w:ascii="ZWAdobeF" w:eastAsia="Times New Roman" w:hAnsi="ZWAdobeF" w:cs="ZWAdobeF"/>
                <w:bCs/>
                <w:sz w:val="2"/>
                <w:szCs w:val="2"/>
                <w:lang w:val="en-AU" w:eastAsia="en-US"/>
              </w:rPr>
              <w:t>14F</w:t>
            </w:r>
            <w:r w:rsidRPr="00717BA5">
              <w:rPr>
                <w:rFonts w:ascii="Arial" w:eastAsia="Times New Roman" w:hAnsi="Arial" w:cs="Arial"/>
                <w:bCs/>
                <w:sz w:val="18"/>
                <w:szCs w:val="18"/>
                <w:vertAlign w:val="superscript"/>
                <w:lang w:val="en-AU" w:eastAsia="en-US"/>
              </w:rPr>
              <w:footnoteReference w:id="16"/>
            </w:r>
          </w:p>
        </w:tc>
        <w:tc>
          <w:tcPr>
            <w:tcW w:w="1798" w:type="dxa"/>
            <w:tcBorders>
              <w:top w:val="nil"/>
              <w:left w:val="nil"/>
              <w:bottom w:val="single" w:sz="4" w:space="0" w:color="auto"/>
              <w:right w:val="nil"/>
            </w:tcBorders>
            <w:vAlign w:val="bottom"/>
          </w:tcPr>
          <w:p w14:paraId="088A40F0" w14:textId="77777777" w:rsidR="00717BA5" w:rsidRPr="00717BA5" w:rsidRDefault="00717BA5" w:rsidP="00717BA5">
            <w:pPr>
              <w:tabs>
                <w:tab w:val="left" w:pos="3306"/>
              </w:tabs>
              <w:spacing w:after="0" w:line="240" w:lineRule="auto"/>
              <w:jc w:val="right"/>
              <w:rPr>
                <w:rFonts w:ascii="Arial" w:eastAsia="Times New Roman" w:hAnsi="Arial" w:cs="Arial"/>
                <w:sz w:val="18"/>
                <w:szCs w:val="18"/>
                <w:lang w:val="en-AU" w:eastAsia="en-US"/>
              </w:rPr>
            </w:pPr>
            <w:r w:rsidRPr="00717BA5">
              <w:rPr>
                <w:rFonts w:ascii="Arial" w:eastAsia="Times New Roman" w:hAnsi="Arial" w:cs="Arial"/>
                <w:bCs/>
                <w:sz w:val="18"/>
                <w:szCs w:val="18"/>
                <w:lang w:val="en-AU" w:eastAsia="en-US"/>
              </w:rPr>
              <w:t>13</w:t>
            </w:r>
          </w:p>
        </w:tc>
        <w:tc>
          <w:tcPr>
            <w:tcW w:w="1799" w:type="dxa"/>
            <w:tcBorders>
              <w:top w:val="nil"/>
              <w:left w:val="nil"/>
              <w:bottom w:val="single" w:sz="4" w:space="0" w:color="auto"/>
              <w:right w:val="nil"/>
            </w:tcBorders>
            <w:vAlign w:val="bottom"/>
          </w:tcPr>
          <w:p w14:paraId="3AE9E006" w14:textId="77777777" w:rsidR="00717BA5" w:rsidRPr="00717BA5" w:rsidRDefault="00717BA5" w:rsidP="00717BA5">
            <w:pPr>
              <w:tabs>
                <w:tab w:val="left" w:pos="3306"/>
              </w:tabs>
              <w:spacing w:after="0" w:line="240" w:lineRule="auto"/>
              <w:jc w:val="right"/>
              <w:rPr>
                <w:rFonts w:ascii="Arial" w:eastAsia="Times New Roman" w:hAnsi="Arial" w:cs="Arial"/>
                <w:sz w:val="18"/>
                <w:szCs w:val="18"/>
                <w:lang w:val="en-AU" w:eastAsia="en-US"/>
              </w:rPr>
            </w:pPr>
            <w:r w:rsidRPr="00717BA5">
              <w:rPr>
                <w:rFonts w:ascii="Arial" w:eastAsia="Times New Roman" w:hAnsi="Arial" w:cs="Arial"/>
                <w:sz w:val="18"/>
                <w:szCs w:val="18"/>
                <w:lang w:val="en-AU" w:eastAsia="en-US"/>
              </w:rPr>
              <w:t>41</w:t>
            </w:r>
          </w:p>
        </w:tc>
      </w:tr>
      <w:tr w:rsidR="00717BA5" w:rsidRPr="00717BA5" w14:paraId="3111EFAD" w14:textId="77777777" w:rsidTr="00F0752D">
        <w:trPr>
          <w:trHeight w:val="192"/>
        </w:trPr>
        <w:tc>
          <w:tcPr>
            <w:tcW w:w="11245" w:type="dxa"/>
            <w:tcBorders>
              <w:top w:val="nil"/>
              <w:left w:val="nil"/>
              <w:bottom w:val="nil"/>
              <w:right w:val="nil"/>
            </w:tcBorders>
            <w:hideMark/>
          </w:tcPr>
          <w:p w14:paraId="058491E1" w14:textId="77777777" w:rsidR="00717BA5" w:rsidRPr="00717BA5" w:rsidRDefault="00717BA5" w:rsidP="00717BA5">
            <w:pPr>
              <w:tabs>
                <w:tab w:val="left" w:pos="3306"/>
              </w:tabs>
              <w:spacing w:after="0" w:line="240" w:lineRule="auto"/>
              <w:jc w:val="both"/>
              <w:rPr>
                <w:rFonts w:ascii="Arial" w:eastAsia="Times New Roman" w:hAnsi="Arial" w:cs="Arial"/>
                <w:bCs/>
                <w:sz w:val="18"/>
                <w:szCs w:val="18"/>
                <w:lang w:val="en-AU" w:eastAsia="en-US"/>
              </w:rPr>
            </w:pPr>
            <w:r w:rsidRPr="00717BA5">
              <w:rPr>
                <w:rFonts w:ascii="Arial" w:eastAsia="Times New Roman" w:hAnsi="Arial" w:cs="Arial"/>
                <w:b/>
                <w:sz w:val="18"/>
                <w:szCs w:val="18"/>
                <w:lang w:val="en-AU" w:eastAsia="en-US"/>
              </w:rPr>
              <w:t>Total Depreciation and Amortisation Expense on the Operating Statement</w:t>
            </w:r>
          </w:p>
        </w:tc>
        <w:tc>
          <w:tcPr>
            <w:tcW w:w="1798" w:type="dxa"/>
            <w:tcBorders>
              <w:top w:val="single" w:sz="4" w:space="0" w:color="auto"/>
              <w:left w:val="nil"/>
              <w:bottom w:val="double" w:sz="4" w:space="0" w:color="auto"/>
              <w:right w:val="nil"/>
            </w:tcBorders>
            <w:vAlign w:val="bottom"/>
          </w:tcPr>
          <w:p w14:paraId="49DD2421" w14:textId="77777777" w:rsidR="00717BA5" w:rsidRPr="00717BA5" w:rsidRDefault="00717BA5" w:rsidP="00717BA5">
            <w:pPr>
              <w:tabs>
                <w:tab w:val="left" w:pos="3306"/>
              </w:tabs>
              <w:spacing w:after="0" w:line="240" w:lineRule="auto"/>
              <w:jc w:val="right"/>
              <w:rPr>
                <w:rFonts w:ascii="Arial" w:eastAsia="Times New Roman" w:hAnsi="Arial" w:cs="Arial"/>
                <w:b/>
                <w:sz w:val="18"/>
                <w:szCs w:val="18"/>
                <w:lang w:val="en-AU" w:eastAsia="en-US"/>
              </w:rPr>
            </w:pPr>
            <w:r w:rsidRPr="00717BA5">
              <w:rPr>
                <w:rFonts w:ascii="Arial" w:eastAsia="Times New Roman" w:hAnsi="Arial" w:cs="Arial"/>
                <w:b/>
                <w:sz w:val="18"/>
                <w:szCs w:val="18"/>
                <w:lang w:val="en-AU" w:eastAsia="en-US"/>
              </w:rPr>
              <w:t>254</w:t>
            </w:r>
          </w:p>
        </w:tc>
        <w:tc>
          <w:tcPr>
            <w:tcW w:w="1799" w:type="dxa"/>
            <w:tcBorders>
              <w:top w:val="single" w:sz="4" w:space="0" w:color="auto"/>
              <w:left w:val="nil"/>
              <w:bottom w:val="double" w:sz="4" w:space="0" w:color="auto"/>
              <w:right w:val="nil"/>
            </w:tcBorders>
            <w:vAlign w:val="bottom"/>
          </w:tcPr>
          <w:p w14:paraId="43BFD317" w14:textId="77777777" w:rsidR="00717BA5" w:rsidRPr="00717BA5" w:rsidRDefault="00717BA5" w:rsidP="00717BA5">
            <w:pPr>
              <w:tabs>
                <w:tab w:val="left" w:pos="3306"/>
              </w:tabs>
              <w:spacing w:after="0" w:line="240" w:lineRule="auto"/>
              <w:jc w:val="right"/>
              <w:rPr>
                <w:rFonts w:ascii="Arial" w:eastAsia="Times New Roman" w:hAnsi="Arial" w:cs="Arial"/>
                <w:b/>
                <w:sz w:val="18"/>
                <w:szCs w:val="18"/>
                <w:lang w:val="en-AU" w:eastAsia="en-US"/>
              </w:rPr>
            </w:pPr>
            <w:r w:rsidRPr="00717BA5">
              <w:rPr>
                <w:rFonts w:ascii="Arial" w:eastAsia="Times New Roman" w:hAnsi="Arial" w:cs="Arial"/>
                <w:b/>
                <w:sz w:val="18"/>
                <w:szCs w:val="18"/>
                <w:lang w:val="en-AU" w:eastAsia="en-US"/>
              </w:rPr>
              <w:t>317</w:t>
            </w:r>
          </w:p>
        </w:tc>
      </w:tr>
    </w:tbl>
    <w:p w14:paraId="18247CEB" w14:textId="77777777" w:rsidR="00717BA5" w:rsidRPr="00717BA5" w:rsidRDefault="00717BA5" w:rsidP="00717BA5">
      <w:pPr>
        <w:spacing w:after="0" w:line="240" w:lineRule="auto"/>
        <w:rPr>
          <w:rFonts w:ascii="Arial" w:eastAsia="SimSun" w:hAnsi="Arial" w:cs="Arial"/>
          <w:color w:val="auto"/>
          <w:lang w:val="en-AU"/>
        </w:rPr>
        <w:sectPr w:rsidR="00717BA5" w:rsidRPr="00717BA5" w:rsidSect="00717BA5">
          <w:footerReference w:type="default" r:id="rId75"/>
          <w:pgSz w:w="16838" w:h="11906" w:orient="landscape"/>
          <w:pgMar w:top="851" w:right="851" w:bottom="1106" w:left="851" w:header="709" w:footer="709" w:gutter="0"/>
          <w:cols w:space="708"/>
          <w:docGrid w:linePitch="360"/>
        </w:sectPr>
      </w:pPr>
    </w:p>
    <w:p w14:paraId="4AD8F845" w14:textId="77777777" w:rsidR="00717BA5" w:rsidRPr="00717BA5" w:rsidRDefault="00717BA5" w:rsidP="00717BA5">
      <w:pPr>
        <w:spacing w:after="240" w:line="240" w:lineRule="auto"/>
        <w:jc w:val="both"/>
        <w:outlineLvl w:val="0"/>
        <w:rPr>
          <w:rFonts w:ascii="Arial" w:eastAsia="Times New Roman" w:hAnsi="Arial" w:cs="Arial"/>
          <w:b/>
          <w:bCs/>
          <w:color w:val="auto"/>
          <w:kern w:val="32"/>
          <w:sz w:val="24"/>
          <w:szCs w:val="24"/>
          <w:lang w:val="en-AU"/>
        </w:rPr>
      </w:pPr>
    </w:p>
    <w:p w14:paraId="00B9520D" w14:textId="77777777" w:rsidR="00717BA5" w:rsidRPr="002B311D" w:rsidRDefault="00717BA5" w:rsidP="002B311D">
      <w:pPr>
        <w:pStyle w:val="Heading5"/>
      </w:pPr>
      <w:r w:rsidRPr="002B311D">
        <w:t xml:space="preserve">NOTE 13.   PROPERTY, PLANT AND EQUIPMENT - CONTINUED </w:t>
      </w:r>
    </w:p>
    <w:p w14:paraId="608D6E2C"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Fair Value Hierarchy</w:t>
      </w:r>
    </w:p>
    <w:p w14:paraId="2CC889B2"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color w:val="auto"/>
          <w:lang w:val="en-AU"/>
        </w:rPr>
        <w:t xml:space="preserve">The Fair Value Hierarchy below reflects the significance of the inputs used in determining fair value. The Fair Value Hierarchy </w:t>
      </w:r>
      <w:r w:rsidRPr="00717BA5">
        <w:rPr>
          <w:rFonts w:ascii="Arial" w:eastAsia="Times New Roman" w:hAnsi="Arial" w:cs="Arial"/>
          <w:color w:val="auto"/>
          <w:sz w:val="18"/>
          <w:szCs w:val="18"/>
          <w:lang w:val="en-AU"/>
        </w:rPr>
        <w:t>has three levels:</w:t>
      </w:r>
    </w:p>
    <w:p w14:paraId="24572C56" w14:textId="77777777" w:rsidR="00717BA5" w:rsidRPr="00717BA5" w:rsidRDefault="00717BA5" w:rsidP="000A630C">
      <w:pPr>
        <w:pStyle w:val="ListBullet"/>
      </w:pPr>
      <w:r w:rsidRPr="00717BA5">
        <w:t>Level 1 – quoted prices (unadjusted) in active markets for identical assets or liabilities that the agency can access at the measurement date</w:t>
      </w:r>
    </w:p>
    <w:p w14:paraId="3F4C9B56" w14:textId="77777777" w:rsidR="00717BA5" w:rsidRPr="00717BA5" w:rsidRDefault="00717BA5" w:rsidP="000A630C">
      <w:pPr>
        <w:pStyle w:val="ListBullet"/>
      </w:pPr>
      <w:r w:rsidRPr="00717BA5">
        <w:t>Level 2 – inputs other than quoted prices included within Level 1 that are observable for the asset or liability, either directly or indirectly and</w:t>
      </w:r>
    </w:p>
    <w:p w14:paraId="78EFFFA4" w14:textId="77777777" w:rsidR="00717BA5" w:rsidRPr="00717BA5" w:rsidRDefault="00717BA5" w:rsidP="000A630C">
      <w:pPr>
        <w:pStyle w:val="ListBullet"/>
      </w:pPr>
      <w:r w:rsidRPr="00717BA5">
        <w:t>Level 3 – inputs that are unobservable for particular assets or liabilities.</w:t>
      </w:r>
    </w:p>
    <w:p w14:paraId="2A2F28C5"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Details of ACT Leave’s property, plant and equipment at fair value and information about the Fair Value Hierarchy as at 30 June is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8"/>
        <w:gridCol w:w="4471"/>
      </w:tblGrid>
      <w:tr w:rsidR="00717BA5" w:rsidRPr="00717BA5" w14:paraId="29FEF7BE" w14:textId="77777777" w:rsidTr="00F0752D">
        <w:trPr>
          <w:cantSplit/>
          <w:trHeight w:val="279"/>
        </w:trPr>
        <w:tc>
          <w:tcPr>
            <w:tcW w:w="2753" w:type="pct"/>
            <w:tcBorders>
              <w:top w:val="nil"/>
              <w:left w:val="nil"/>
              <w:bottom w:val="nil"/>
              <w:right w:val="nil"/>
            </w:tcBorders>
            <w:vAlign w:val="bottom"/>
          </w:tcPr>
          <w:p w14:paraId="6E3BE082"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highlight w:val="yellow"/>
                <w:lang w:val="en-AU" w:eastAsia="en-US"/>
              </w:rPr>
            </w:pPr>
          </w:p>
        </w:tc>
        <w:tc>
          <w:tcPr>
            <w:tcW w:w="2247" w:type="pct"/>
            <w:tcBorders>
              <w:top w:val="nil"/>
              <w:left w:val="nil"/>
              <w:bottom w:val="nil"/>
              <w:right w:val="nil"/>
            </w:tcBorders>
            <w:vAlign w:val="bottom"/>
          </w:tcPr>
          <w:p w14:paraId="0A20DE5B"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Classification According to Fair Value Hierarchy</w:t>
            </w:r>
          </w:p>
        </w:tc>
      </w:tr>
      <w:tr w:rsidR="00717BA5" w:rsidRPr="00717BA5" w14:paraId="1B4A254D" w14:textId="77777777" w:rsidTr="00F0752D">
        <w:trPr>
          <w:cantSplit/>
          <w:trHeight w:val="279"/>
        </w:trPr>
        <w:tc>
          <w:tcPr>
            <w:tcW w:w="2753" w:type="pct"/>
            <w:tcBorders>
              <w:top w:val="nil"/>
              <w:left w:val="nil"/>
              <w:bottom w:val="nil"/>
              <w:right w:val="nil"/>
            </w:tcBorders>
            <w:vAlign w:val="bottom"/>
          </w:tcPr>
          <w:p w14:paraId="3572EDB8"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highlight w:val="yellow"/>
                <w:lang w:val="en-AU" w:eastAsia="en-US"/>
              </w:rPr>
            </w:pPr>
          </w:p>
        </w:tc>
        <w:tc>
          <w:tcPr>
            <w:tcW w:w="2247" w:type="pct"/>
            <w:tcBorders>
              <w:top w:val="nil"/>
              <w:left w:val="nil"/>
              <w:bottom w:val="nil"/>
              <w:right w:val="nil"/>
            </w:tcBorders>
            <w:vAlign w:val="bottom"/>
          </w:tcPr>
          <w:p w14:paraId="15168071"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Level 3</w:t>
            </w:r>
          </w:p>
        </w:tc>
      </w:tr>
      <w:tr w:rsidR="00717BA5" w:rsidRPr="00717BA5" w14:paraId="0CE5F7BE" w14:textId="77777777" w:rsidTr="00F0752D">
        <w:trPr>
          <w:cantSplit/>
          <w:trHeight w:val="279"/>
        </w:trPr>
        <w:tc>
          <w:tcPr>
            <w:tcW w:w="2753" w:type="pct"/>
            <w:tcBorders>
              <w:top w:val="nil"/>
              <w:left w:val="nil"/>
              <w:bottom w:val="nil"/>
              <w:right w:val="nil"/>
            </w:tcBorders>
            <w:vAlign w:val="bottom"/>
          </w:tcPr>
          <w:p w14:paraId="0685C1EF"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highlight w:val="yellow"/>
                <w:lang w:val="en-AU" w:eastAsia="en-US"/>
              </w:rPr>
            </w:pPr>
          </w:p>
        </w:tc>
        <w:tc>
          <w:tcPr>
            <w:tcW w:w="2247" w:type="pct"/>
            <w:tcBorders>
              <w:top w:val="nil"/>
              <w:left w:val="nil"/>
              <w:bottom w:val="nil"/>
              <w:right w:val="nil"/>
            </w:tcBorders>
            <w:vAlign w:val="bottom"/>
          </w:tcPr>
          <w:p w14:paraId="546DA1D3"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$’000</w:t>
            </w:r>
          </w:p>
        </w:tc>
      </w:tr>
      <w:tr w:rsidR="00717BA5" w:rsidRPr="00717BA5" w14:paraId="6040DD38" w14:textId="77777777" w:rsidTr="00F0752D">
        <w:trPr>
          <w:cantSplit/>
          <w:trHeight w:val="279"/>
        </w:trPr>
        <w:tc>
          <w:tcPr>
            <w:tcW w:w="2753" w:type="pct"/>
            <w:tcBorders>
              <w:top w:val="nil"/>
              <w:left w:val="nil"/>
              <w:bottom w:val="nil"/>
              <w:right w:val="nil"/>
            </w:tcBorders>
            <w:vAlign w:val="bottom"/>
          </w:tcPr>
          <w:p w14:paraId="6D5DF090"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b/>
                <w:bCs/>
                <w:color w:val="auto"/>
                <w:sz w:val="18"/>
                <w:szCs w:val="18"/>
                <w:lang w:val="en-AU" w:eastAsia="en-US"/>
              </w:rPr>
              <w:t>2026</w:t>
            </w:r>
          </w:p>
        </w:tc>
        <w:tc>
          <w:tcPr>
            <w:tcW w:w="2247" w:type="pct"/>
            <w:tcBorders>
              <w:top w:val="nil"/>
              <w:left w:val="nil"/>
              <w:bottom w:val="nil"/>
              <w:right w:val="nil"/>
            </w:tcBorders>
            <w:vAlign w:val="bottom"/>
          </w:tcPr>
          <w:p w14:paraId="47E2BB86"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27EF3663" w14:textId="77777777" w:rsidTr="00F0752D">
        <w:trPr>
          <w:cantSplit/>
          <w:trHeight w:val="279"/>
        </w:trPr>
        <w:tc>
          <w:tcPr>
            <w:tcW w:w="2753" w:type="pct"/>
            <w:tcBorders>
              <w:top w:val="nil"/>
              <w:left w:val="nil"/>
              <w:bottom w:val="nil"/>
              <w:right w:val="nil"/>
            </w:tcBorders>
            <w:vAlign w:val="bottom"/>
          </w:tcPr>
          <w:p w14:paraId="33738982"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b/>
                <w:bCs/>
                <w:color w:val="auto"/>
                <w:sz w:val="18"/>
                <w:szCs w:val="18"/>
                <w:lang w:val="en-AU" w:eastAsia="en-US"/>
              </w:rPr>
              <w:t>Property, Plant and Equipment at Fair Value</w:t>
            </w:r>
          </w:p>
        </w:tc>
        <w:tc>
          <w:tcPr>
            <w:tcW w:w="2247" w:type="pct"/>
            <w:tcBorders>
              <w:top w:val="nil"/>
              <w:left w:val="nil"/>
              <w:bottom w:val="nil"/>
              <w:right w:val="nil"/>
            </w:tcBorders>
            <w:vAlign w:val="bottom"/>
          </w:tcPr>
          <w:p w14:paraId="726F03BC"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p>
        </w:tc>
      </w:tr>
      <w:tr w:rsidR="00717BA5" w:rsidRPr="00717BA5" w14:paraId="6BEAB99D" w14:textId="77777777" w:rsidTr="00F0752D">
        <w:trPr>
          <w:cantSplit/>
          <w:trHeight w:val="279"/>
        </w:trPr>
        <w:tc>
          <w:tcPr>
            <w:tcW w:w="2753" w:type="pct"/>
            <w:tcBorders>
              <w:top w:val="nil"/>
              <w:left w:val="nil"/>
              <w:bottom w:val="nil"/>
              <w:right w:val="nil"/>
            </w:tcBorders>
            <w:vAlign w:val="bottom"/>
          </w:tcPr>
          <w:p w14:paraId="1F064DCE"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Leasehold Improvements</w:t>
            </w:r>
          </w:p>
        </w:tc>
        <w:tc>
          <w:tcPr>
            <w:tcW w:w="2247" w:type="pct"/>
            <w:tcBorders>
              <w:top w:val="nil"/>
              <w:left w:val="nil"/>
              <w:bottom w:val="single" w:sz="2" w:space="0" w:color="auto"/>
              <w:right w:val="nil"/>
            </w:tcBorders>
            <w:vAlign w:val="bottom"/>
          </w:tcPr>
          <w:p w14:paraId="4FE3A982"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373</w:t>
            </w:r>
          </w:p>
        </w:tc>
      </w:tr>
      <w:tr w:rsidR="00717BA5" w:rsidRPr="00717BA5" w14:paraId="675944B7" w14:textId="77777777" w:rsidTr="00F0752D">
        <w:trPr>
          <w:cantSplit/>
          <w:trHeight w:val="279"/>
        </w:trPr>
        <w:tc>
          <w:tcPr>
            <w:tcW w:w="2753" w:type="pct"/>
            <w:tcBorders>
              <w:top w:val="nil"/>
              <w:left w:val="nil"/>
              <w:bottom w:val="nil"/>
              <w:right w:val="nil"/>
            </w:tcBorders>
            <w:vAlign w:val="bottom"/>
          </w:tcPr>
          <w:p w14:paraId="26DFB0A0"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p>
        </w:tc>
        <w:tc>
          <w:tcPr>
            <w:tcW w:w="2247" w:type="pct"/>
            <w:tcBorders>
              <w:top w:val="single" w:sz="2" w:space="0" w:color="auto"/>
              <w:left w:val="nil"/>
              <w:bottom w:val="double" w:sz="4" w:space="0" w:color="auto"/>
              <w:right w:val="nil"/>
            </w:tcBorders>
            <w:vAlign w:val="bottom"/>
          </w:tcPr>
          <w:p w14:paraId="6E87B5E0"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373</w:t>
            </w:r>
          </w:p>
        </w:tc>
      </w:tr>
      <w:tr w:rsidR="00717BA5" w:rsidRPr="00717BA5" w14:paraId="1DD256C3" w14:textId="77777777" w:rsidTr="00F0752D">
        <w:trPr>
          <w:cantSplit/>
          <w:trHeight w:val="279"/>
        </w:trPr>
        <w:tc>
          <w:tcPr>
            <w:tcW w:w="2753" w:type="pct"/>
            <w:tcBorders>
              <w:top w:val="nil"/>
              <w:left w:val="nil"/>
              <w:bottom w:val="nil"/>
              <w:right w:val="nil"/>
            </w:tcBorders>
            <w:vAlign w:val="bottom"/>
          </w:tcPr>
          <w:p w14:paraId="66AE0183"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b/>
                <w:bCs/>
                <w:color w:val="auto"/>
                <w:sz w:val="18"/>
                <w:szCs w:val="18"/>
                <w:lang w:val="en-AU" w:eastAsia="en-US"/>
              </w:rPr>
              <w:t>2025</w:t>
            </w:r>
          </w:p>
        </w:tc>
        <w:tc>
          <w:tcPr>
            <w:tcW w:w="2247" w:type="pct"/>
            <w:tcBorders>
              <w:top w:val="double" w:sz="4" w:space="0" w:color="auto"/>
              <w:left w:val="nil"/>
              <w:bottom w:val="nil"/>
              <w:right w:val="nil"/>
            </w:tcBorders>
            <w:vAlign w:val="bottom"/>
          </w:tcPr>
          <w:p w14:paraId="3C7CE10C" w14:textId="77777777" w:rsidR="00717BA5" w:rsidRPr="00717BA5" w:rsidRDefault="00717BA5" w:rsidP="00717BA5">
            <w:pPr>
              <w:tabs>
                <w:tab w:val="left" w:pos="3306"/>
              </w:tabs>
              <w:spacing w:after="0" w:line="240" w:lineRule="auto"/>
              <w:jc w:val="right"/>
              <w:rPr>
                <w:rFonts w:ascii="Arial" w:eastAsia="Times New Roman" w:hAnsi="Arial" w:cs="Arial"/>
                <w:strike/>
                <w:color w:val="auto"/>
                <w:sz w:val="18"/>
                <w:szCs w:val="18"/>
                <w:lang w:val="en-AU" w:eastAsia="en-US"/>
              </w:rPr>
            </w:pPr>
          </w:p>
        </w:tc>
      </w:tr>
      <w:tr w:rsidR="00717BA5" w:rsidRPr="00717BA5" w14:paraId="4C5601F0" w14:textId="77777777" w:rsidTr="00F0752D">
        <w:trPr>
          <w:cantSplit/>
          <w:trHeight w:val="279"/>
        </w:trPr>
        <w:tc>
          <w:tcPr>
            <w:tcW w:w="2753" w:type="pct"/>
            <w:tcBorders>
              <w:top w:val="nil"/>
              <w:left w:val="nil"/>
              <w:bottom w:val="nil"/>
              <w:right w:val="nil"/>
            </w:tcBorders>
            <w:vAlign w:val="bottom"/>
          </w:tcPr>
          <w:p w14:paraId="295742AB"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b/>
                <w:bCs/>
                <w:color w:val="auto"/>
                <w:sz w:val="18"/>
                <w:szCs w:val="18"/>
                <w:lang w:val="en-AU" w:eastAsia="en-US"/>
              </w:rPr>
              <w:t>Property, Plant and Equipment at Fair Value</w:t>
            </w:r>
          </w:p>
        </w:tc>
        <w:tc>
          <w:tcPr>
            <w:tcW w:w="2247" w:type="pct"/>
            <w:tcBorders>
              <w:top w:val="nil"/>
              <w:left w:val="nil"/>
              <w:bottom w:val="nil"/>
              <w:right w:val="nil"/>
            </w:tcBorders>
            <w:vAlign w:val="bottom"/>
          </w:tcPr>
          <w:p w14:paraId="13A56D12" w14:textId="77777777" w:rsidR="00717BA5" w:rsidRPr="00717BA5" w:rsidRDefault="00717BA5" w:rsidP="00717BA5">
            <w:pPr>
              <w:tabs>
                <w:tab w:val="left" w:pos="3306"/>
              </w:tabs>
              <w:spacing w:after="0" w:line="240" w:lineRule="auto"/>
              <w:jc w:val="right"/>
              <w:rPr>
                <w:rFonts w:ascii="Arial" w:eastAsia="Times New Roman" w:hAnsi="Arial" w:cs="Arial"/>
                <w:strike/>
                <w:color w:val="auto"/>
                <w:sz w:val="18"/>
                <w:szCs w:val="18"/>
                <w:lang w:val="en-AU" w:eastAsia="en-US"/>
              </w:rPr>
            </w:pPr>
          </w:p>
        </w:tc>
      </w:tr>
      <w:tr w:rsidR="00717BA5" w:rsidRPr="00717BA5" w14:paraId="64028E96" w14:textId="77777777" w:rsidTr="00F0752D">
        <w:trPr>
          <w:cantSplit/>
          <w:trHeight w:val="279"/>
        </w:trPr>
        <w:tc>
          <w:tcPr>
            <w:tcW w:w="2753" w:type="pct"/>
            <w:tcBorders>
              <w:top w:val="nil"/>
              <w:left w:val="nil"/>
              <w:bottom w:val="nil"/>
              <w:right w:val="nil"/>
            </w:tcBorders>
            <w:vAlign w:val="bottom"/>
          </w:tcPr>
          <w:p w14:paraId="1A952915" w14:textId="77777777" w:rsidR="00717BA5" w:rsidRPr="00717BA5" w:rsidRDefault="00717BA5" w:rsidP="00717BA5">
            <w:pPr>
              <w:tabs>
                <w:tab w:val="left" w:pos="3306"/>
              </w:tabs>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Leasehold Improvements</w:t>
            </w:r>
          </w:p>
        </w:tc>
        <w:tc>
          <w:tcPr>
            <w:tcW w:w="2247" w:type="pct"/>
            <w:tcBorders>
              <w:top w:val="nil"/>
              <w:left w:val="nil"/>
              <w:bottom w:val="single" w:sz="2" w:space="0" w:color="auto"/>
              <w:right w:val="nil"/>
            </w:tcBorders>
            <w:vAlign w:val="bottom"/>
          </w:tcPr>
          <w:p w14:paraId="6755DCC0" w14:textId="77777777" w:rsidR="00717BA5" w:rsidRPr="00717BA5" w:rsidRDefault="00717BA5" w:rsidP="00717BA5">
            <w:pPr>
              <w:tabs>
                <w:tab w:val="left" w:pos="3306"/>
              </w:tabs>
              <w:spacing w:after="0" w:line="240" w:lineRule="auto"/>
              <w:jc w:val="right"/>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397</w:t>
            </w:r>
          </w:p>
        </w:tc>
      </w:tr>
      <w:tr w:rsidR="00717BA5" w:rsidRPr="00717BA5" w14:paraId="6CA975A8" w14:textId="77777777" w:rsidTr="00F0752D">
        <w:trPr>
          <w:cantSplit/>
          <w:trHeight w:val="279"/>
        </w:trPr>
        <w:tc>
          <w:tcPr>
            <w:tcW w:w="2753" w:type="pct"/>
            <w:tcBorders>
              <w:top w:val="nil"/>
              <w:left w:val="nil"/>
              <w:bottom w:val="nil"/>
              <w:right w:val="nil"/>
            </w:tcBorders>
            <w:vAlign w:val="bottom"/>
          </w:tcPr>
          <w:p w14:paraId="5124EC5B" w14:textId="77777777" w:rsidR="00717BA5" w:rsidRPr="00717BA5" w:rsidRDefault="00717BA5" w:rsidP="00717BA5">
            <w:pPr>
              <w:tabs>
                <w:tab w:val="left" w:pos="3306"/>
              </w:tabs>
              <w:spacing w:after="0" w:line="240" w:lineRule="auto"/>
              <w:rPr>
                <w:rFonts w:ascii="Arial" w:eastAsia="Times New Roman" w:hAnsi="Arial" w:cs="Arial"/>
                <w:color w:val="auto"/>
                <w:sz w:val="16"/>
                <w:szCs w:val="16"/>
                <w:lang w:val="en-AU" w:eastAsia="en-US"/>
              </w:rPr>
            </w:pPr>
          </w:p>
        </w:tc>
        <w:tc>
          <w:tcPr>
            <w:tcW w:w="2247" w:type="pct"/>
            <w:tcBorders>
              <w:top w:val="single" w:sz="2" w:space="0" w:color="auto"/>
              <w:left w:val="nil"/>
              <w:bottom w:val="double" w:sz="4" w:space="0" w:color="auto"/>
              <w:right w:val="nil"/>
            </w:tcBorders>
            <w:vAlign w:val="bottom"/>
          </w:tcPr>
          <w:p w14:paraId="108C2D10" w14:textId="77777777" w:rsidR="00717BA5" w:rsidRPr="00717BA5" w:rsidRDefault="00717BA5" w:rsidP="00717BA5">
            <w:pPr>
              <w:tabs>
                <w:tab w:val="left" w:pos="3306"/>
              </w:tabs>
              <w:spacing w:after="0" w:line="240" w:lineRule="auto"/>
              <w:jc w:val="right"/>
              <w:rPr>
                <w:rFonts w:ascii="Arial" w:eastAsia="Times New Roman" w:hAnsi="Arial" w:cs="Arial"/>
                <w:b/>
                <w:bCs/>
                <w:color w:val="auto"/>
                <w:sz w:val="18"/>
                <w:szCs w:val="18"/>
                <w:lang w:val="en-AU" w:eastAsia="en-US"/>
              </w:rPr>
            </w:pPr>
            <w:r w:rsidRPr="00717BA5">
              <w:rPr>
                <w:rFonts w:ascii="Arial" w:eastAsia="Times New Roman" w:hAnsi="Arial" w:cs="Arial"/>
                <w:b/>
                <w:bCs/>
                <w:color w:val="auto"/>
                <w:sz w:val="18"/>
                <w:szCs w:val="18"/>
                <w:lang w:val="en-AU" w:eastAsia="en-US"/>
              </w:rPr>
              <w:t>397</w:t>
            </w:r>
          </w:p>
        </w:tc>
      </w:tr>
    </w:tbl>
    <w:p w14:paraId="3C13ACBC"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Transfers Between Categories</w:t>
      </w:r>
    </w:p>
    <w:p w14:paraId="59D68821"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There were no transfers between categories during the current or previous reporting period.</w:t>
      </w:r>
    </w:p>
    <w:p w14:paraId="1631400B"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Valuation Techniques, Inputs and Processes</w:t>
      </w:r>
    </w:p>
    <w:p w14:paraId="7A72A89B" w14:textId="77777777" w:rsidR="00717BA5" w:rsidRPr="00717BA5" w:rsidRDefault="00717BA5" w:rsidP="00717BA5">
      <w:pPr>
        <w:spacing w:after="120" w:line="240" w:lineRule="auto"/>
        <w:jc w:val="both"/>
        <w:rPr>
          <w:rFonts w:ascii="Arial" w:eastAsia="Times New Roman" w:hAnsi="Arial" w:cs="Arial"/>
          <w:b/>
          <w:bCs/>
          <w:color w:val="auto"/>
          <w:lang w:val="en-AU"/>
        </w:rPr>
      </w:pPr>
      <w:r w:rsidRPr="00717BA5">
        <w:rPr>
          <w:rFonts w:ascii="Arial" w:eastAsia="Times New Roman" w:hAnsi="Arial" w:cs="Arial"/>
          <w:b/>
          <w:bCs/>
          <w:color w:val="auto"/>
          <w:lang w:val="en-AU"/>
        </w:rPr>
        <w:t>Level 3 Valuation Techniques and Significant Unobservable Inputs</w:t>
      </w:r>
    </w:p>
    <w:p w14:paraId="1BBB2E82" w14:textId="77777777" w:rsidR="00717BA5" w:rsidRPr="00717BA5" w:rsidRDefault="00717BA5" w:rsidP="00717BA5">
      <w:pPr>
        <w:adjustRightInd w:val="0"/>
        <w:snapToGrid w:val="0"/>
        <w:rPr>
          <w:rFonts w:ascii="Arial" w:eastAsia="Times New Roman" w:hAnsi="Arial" w:cs="Arial"/>
          <w:color w:val="auto"/>
          <w:sz w:val="18"/>
          <w:szCs w:val="18"/>
          <w:u w:val="single"/>
          <w:lang w:val="en-AU"/>
        </w:rPr>
      </w:pPr>
      <w:r w:rsidRPr="00717BA5">
        <w:rPr>
          <w:rFonts w:ascii="Arial" w:eastAsia="Times New Roman" w:hAnsi="Arial" w:cs="Arial"/>
          <w:color w:val="auto"/>
          <w:u w:val="single"/>
          <w:lang w:val="en-AU"/>
        </w:rPr>
        <w:t>Leasehold Improvement</w:t>
      </w:r>
      <w:r w:rsidRPr="00717BA5">
        <w:rPr>
          <w:rFonts w:ascii="Arial" w:eastAsia="Times New Roman" w:hAnsi="Arial" w:cs="Arial"/>
          <w:color w:val="auto"/>
          <w:sz w:val="18"/>
          <w:szCs w:val="18"/>
          <w:u w:val="single"/>
          <w:lang w:val="en-AU"/>
        </w:rPr>
        <w:t>s</w:t>
      </w:r>
    </w:p>
    <w:p w14:paraId="76F3EFCA" w14:textId="77777777" w:rsidR="00717BA5" w:rsidRPr="00717BA5" w:rsidRDefault="00717BA5" w:rsidP="00717BA5">
      <w:pPr>
        <w:adjustRightInd w:val="0"/>
        <w:snapToGrid w:val="0"/>
        <w:rPr>
          <w:rFonts w:ascii="Arial" w:eastAsia="SimSun" w:hAnsi="Arial" w:cs="Arial"/>
          <w:b/>
          <w:color w:val="auto"/>
          <w:lang w:val="en-AU"/>
        </w:rPr>
      </w:pPr>
      <w:r w:rsidRPr="00717BA5">
        <w:rPr>
          <w:rFonts w:ascii="Arial" w:eastAsia="SimSun" w:hAnsi="Arial" w:cs="Arial"/>
          <w:color w:val="auto"/>
          <w:lang w:val="en-AU"/>
        </w:rPr>
        <w:t xml:space="preserve">Valuation Technique: Leasehold Improvements were considered specialised assets by the </w:t>
      </w:r>
      <w:r w:rsidRPr="00717BA5">
        <w:rPr>
          <w:rFonts w:ascii="Arial" w:eastAsia="SimSun" w:hAnsi="Arial" w:cs="Arial"/>
          <w:b/>
          <w:color w:val="auto"/>
          <w:lang w:val="en-AU"/>
        </w:rPr>
        <w:t>valuer – Australian Valuations, and were measured using the cost approach to fair value.</w:t>
      </w:r>
    </w:p>
    <w:p w14:paraId="07430BED"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Significant Unobservable Inputs: Estimating the cost to a market participant to construct assets of comparable utility adjusted for obsolescence. In determining the value of leasehold improvements, regard was given to the age and condition of the assets, their estimated replacement cost and current use. This required the use of data internal to ACT Leave.</w:t>
      </w:r>
    </w:p>
    <w:p w14:paraId="322D3A2C" w14:textId="77777777" w:rsidR="00717BA5" w:rsidRPr="00717BA5" w:rsidRDefault="00717BA5" w:rsidP="00717BA5">
      <w:pPr>
        <w:adjustRightInd w:val="0"/>
        <w:snapToGrid w:val="0"/>
        <w:rPr>
          <w:rFonts w:ascii="Arial" w:eastAsia="SimSun" w:hAnsi="Arial" w:cs="Arial"/>
          <w:color w:val="auto"/>
          <w:lang w:val="en-AU"/>
        </w:rPr>
      </w:pPr>
      <w:r w:rsidRPr="00717BA5">
        <w:rPr>
          <w:rFonts w:ascii="Arial" w:eastAsia="SimSun" w:hAnsi="Arial" w:cs="Arial"/>
          <w:color w:val="auto"/>
          <w:lang w:val="en-AU"/>
        </w:rPr>
        <w:t>There was no change to the above valuation techniques during the year.</w:t>
      </w:r>
    </w:p>
    <w:p w14:paraId="0C1D70DF" w14:textId="77777777" w:rsidR="00717BA5" w:rsidRPr="00717BA5" w:rsidRDefault="00717BA5" w:rsidP="00717BA5">
      <w:pPr>
        <w:spacing w:after="0" w:line="240" w:lineRule="auto"/>
        <w:rPr>
          <w:rFonts w:ascii="Arial" w:eastAsia="Times New Roman" w:hAnsi="Arial" w:cs="Arial"/>
          <w:b/>
          <w:bCs/>
          <w:color w:val="auto"/>
          <w:kern w:val="32"/>
          <w:sz w:val="18"/>
          <w:szCs w:val="18"/>
          <w:lang w:val="en-AU" w:eastAsia="en-US"/>
        </w:rPr>
      </w:pPr>
      <w:r w:rsidRPr="00717BA5">
        <w:rPr>
          <w:rFonts w:ascii="Arial" w:eastAsia="SimSun" w:hAnsi="Arial" w:cs="Arial"/>
          <w:color w:val="auto"/>
          <w:sz w:val="18"/>
          <w:szCs w:val="18"/>
          <w:lang w:val="en-AU" w:eastAsia="en-US"/>
        </w:rPr>
        <w:br w:type="page"/>
      </w:r>
    </w:p>
    <w:p w14:paraId="607FC80B" w14:textId="77777777" w:rsidR="00717BA5" w:rsidRPr="00717BA5" w:rsidRDefault="00717BA5" w:rsidP="00717BA5">
      <w:pPr>
        <w:spacing w:after="240" w:line="240" w:lineRule="auto"/>
        <w:jc w:val="both"/>
        <w:outlineLvl w:val="0"/>
        <w:rPr>
          <w:rFonts w:ascii="Arial" w:eastAsia="Times New Roman" w:hAnsi="Arial" w:cs="Arial"/>
          <w:b/>
          <w:bCs/>
          <w:color w:val="auto"/>
          <w:kern w:val="32"/>
          <w:sz w:val="24"/>
          <w:szCs w:val="24"/>
          <w:lang w:val="en-AU"/>
        </w:rPr>
      </w:pPr>
    </w:p>
    <w:p w14:paraId="212A2E35" w14:textId="77777777" w:rsidR="00717BA5" w:rsidRPr="002B311D" w:rsidRDefault="00717BA5" w:rsidP="002B311D">
      <w:pPr>
        <w:pStyle w:val="Heading5"/>
      </w:pPr>
      <w:r w:rsidRPr="002B311D">
        <w:t>NOTE 13.   PROPERTY, PLANT AND EQUIPMENT - CONTINUED</w:t>
      </w:r>
    </w:p>
    <w:p w14:paraId="6A3B636B" w14:textId="77777777" w:rsidR="00717BA5" w:rsidRPr="00717BA5" w:rsidRDefault="00717BA5" w:rsidP="00717BA5">
      <w:pPr>
        <w:spacing w:after="120" w:line="240" w:lineRule="auto"/>
        <w:jc w:val="both"/>
        <w:outlineLvl w:val="0"/>
        <w:rPr>
          <w:rFonts w:ascii="Arial" w:eastAsia="Times New Roman" w:hAnsi="Arial" w:cs="Arial"/>
          <w:b/>
          <w:bCs/>
          <w:color w:val="auto"/>
          <w:kern w:val="32"/>
          <w:sz w:val="28"/>
          <w:szCs w:val="28"/>
          <w:lang w:val="en-AU"/>
        </w:rPr>
      </w:pPr>
      <w:bookmarkStart w:id="103" w:name="_Toc240533518"/>
      <w:r w:rsidRPr="00717BA5">
        <w:rPr>
          <w:rFonts w:ascii="Arial" w:eastAsia="Times New Roman" w:hAnsi="Arial" w:cs="Arial"/>
          <w:b/>
          <w:bCs/>
          <w:color w:val="auto"/>
          <w:kern w:val="32"/>
          <w:lang w:val="en-AU" w:eastAsia="en-US"/>
        </w:rPr>
        <w:t>Fair Value Measurements using Significant Unobservable Inputs (Level 3)</w:t>
      </w:r>
      <w:bookmarkEnd w:id="103"/>
    </w:p>
    <w:tbl>
      <w:tblPr>
        <w:tblW w:w="9923"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1"/>
        <w:gridCol w:w="4492"/>
      </w:tblGrid>
      <w:tr w:rsidR="00717BA5" w:rsidRPr="00717BA5" w14:paraId="7A0C352B" w14:textId="77777777">
        <w:trPr>
          <w:cantSplit/>
          <w:trHeight w:val="272"/>
        </w:trPr>
        <w:tc>
          <w:tcPr>
            <w:tcW w:w="5431" w:type="dxa"/>
            <w:tcBorders>
              <w:top w:val="nil"/>
              <w:left w:val="nil"/>
              <w:bottom w:val="nil"/>
              <w:right w:val="nil"/>
            </w:tcBorders>
            <w:vAlign w:val="bottom"/>
          </w:tcPr>
          <w:p w14:paraId="0361FA9C" w14:textId="77777777" w:rsidR="00717BA5" w:rsidRPr="00717BA5" w:rsidRDefault="00717BA5" w:rsidP="00717BA5">
            <w:pPr>
              <w:spacing w:after="0" w:line="240" w:lineRule="auto"/>
              <w:rPr>
                <w:rFonts w:ascii="Arial" w:eastAsia="Times New Roman" w:hAnsi="Arial" w:cs="Arial"/>
                <w:b/>
                <w:color w:val="auto"/>
                <w:sz w:val="18"/>
                <w:szCs w:val="18"/>
                <w:lang w:val="en-AU" w:eastAsia="en-US"/>
              </w:rPr>
            </w:pPr>
          </w:p>
        </w:tc>
        <w:tc>
          <w:tcPr>
            <w:tcW w:w="4492" w:type="dxa"/>
            <w:tcBorders>
              <w:top w:val="nil"/>
              <w:left w:val="nil"/>
              <w:bottom w:val="nil"/>
              <w:right w:val="nil"/>
            </w:tcBorders>
            <w:vAlign w:val="bottom"/>
          </w:tcPr>
          <w:p w14:paraId="60D7D403" w14:textId="77777777" w:rsidR="00717BA5" w:rsidRPr="00717BA5" w:rsidRDefault="00717BA5" w:rsidP="00717BA5">
            <w:pPr>
              <w:spacing w:after="0" w:line="240" w:lineRule="auto"/>
              <w:jc w:val="right"/>
              <w:rPr>
                <w:rFonts w:ascii="Arial" w:eastAsia="Times New Roman" w:hAnsi="Arial" w:cs="Arial"/>
                <w:b/>
                <w:color w:val="auto"/>
                <w:sz w:val="18"/>
                <w:szCs w:val="18"/>
                <w:lang w:val="en-AU" w:eastAsia="en-US"/>
              </w:rPr>
            </w:pPr>
            <w:r w:rsidRPr="00717BA5">
              <w:rPr>
                <w:rFonts w:ascii="Arial" w:eastAsia="Times New Roman" w:hAnsi="Arial" w:cs="Arial"/>
                <w:b/>
                <w:color w:val="auto"/>
                <w:sz w:val="18"/>
                <w:szCs w:val="18"/>
                <w:lang w:val="en-AU" w:eastAsia="en-US"/>
              </w:rPr>
              <w:t>Leasehold</w:t>
            </w:r>
          </w:p>
          <w:p w14:paraId="52ED70C6" w14:textId="77777777" w:rsidR="00717BA5" w:rsidRPr="00717BA5" w:rsidRDefault="00717BA5" w:rsidP="00717BA5">
            <w:pPr>
              <w:spacing w:after="0" w:line="240" w:lineRule="auto"/>
              <w:jc w:val="right"/>
              <w:rPr>
                <w:rFonts w:ascii="Arial" w:eastAsia="Times New Roman" w:hAnsi="Arial" w:cs="Arial"/>
                <w:b/>
                <w:color w:val="auto"/>
                <w:sz w:val="18"/>
                <w:szCs w:val="18"/>
                <w:lang w:val="en-AU" w:eastAsia="en-US"/>
              </w:rPr>
            </w:pPr>
            <w:r w:rsidRPr="00717BA5">
              <w:rPr>
                <w:rFonts w:ascii="Arial" w:eastAsia="Times New Roman" w:hAnsi="Arial" w:cs="Arial"/>
                <w:b/>
                <w:color w:val="auto"/>
                <w:sz w:val="18"/>
                <w:szCs w:val="18"/>
                <w:lang w:val="en-AU" w:eastAsia="en-US"/>
              </w:rPr>
              <w:t>Improvements</w:t>
            </w:r>
          </w:p>
        </w:tc>
      </w:tr>
      <w:tr w:rsidR="00717BA5" w:rsidRPr="00717BA5" w14:paraId="356E6E91" w14:textId="77777777">
        <w:trPr>
          <w:cantSplit/>
          <w:trHeight w:val="272"/>
        </w:trPr>
        <w:tc>
          <w:tcPr>
            <w:tcW w:w="5431" w:type="dxa"/>
            <w:tcBorders>
              <w:top w:val="nil"/>
              <w:left w:val="nil"/>
              <w:bottom w:val="nil"/>
              <w:right w:val="nil"/>
            </w:tcBorders>
            <w:vAlign w:val="bottom"/>
          </w:tcPr>
          <w:p w14:paraId="41609946" w14:textId="77777777" w:rsidR="00717BA5" w:rsidRPr="00717BA5" w:rsidRDefault="00717BA5" w:rsidP="00717BA5">
            <w:pPr>
              <w:spacing w:after="0" w:line="240" w:lineRule="auto"/>
              <w:rPr>
                <w:rFonts w:ascii="Arial" w:eastAsia="Times New Roman" w:hAnsi="Arial" w:cs="Arial"/>
                <w:b/>
                <w:color w:val="auto"/>
                <w:sz w:val="18"/>
                <w:szCs w:val="18"/>
                <w:lang w:val="en-AU" w:eastAsia="en-US"/>
              </w:rPr>
            </w:pPr>
          </w:p>
        </w:tc>
        <w:tc>
          <w:tcPr>
            <w:tcW w:w="4492" w:type="dxa"/>
            <w:tcBorders>
              <w:top w:val="nil"/>
              <w:left w:val="nil"/>
              <w:bottom w:val="nil"/>
              <w:right w:val="nil"/>
            </w:tcBorders>
            <w:vAlign w:val="bottom"/>
          </w:tcPr>
          <w:p w14:paraId="31E4E693" w14:textId="77777777" w:rsidR="00717BA5" w:rsidRPr="00717BA5" w:rsidRDefault="00717BA5" w:rsidP="00717BA5">
            <w:pPr>
              <w:spacing w:after="0" w:line="240" w:lineRule="auto"/>
              <w:jc w:val="right"/>
              <w:rPr>
                <w:rFonts w:ascii="Arial" w:eastAsia="Times New Roman" w:hAnsi="Arial" w:cs="Arial"/>
                <w:b/>
                <w:color w:val="auto"/>
                <w:sz w:val="18"/>
                <w:szCs w:val="18"/>
                <w:lang w:val="en-AU" w:eastAsia="en-US"/>
              </w:rPr>
            </w:pPr>
            <w:r w:rsidRPr="00717BA5">
              <w:rPr>
                <w:rFonts w:ascii="Arial" w:eastAsia="Times New Roman" w:hAnsi="Arial" w:cs="Arial"/>
                <w:b/>
                <w:color w:val="auto"/>
                <w:sz w:val="18"/>
                <w:szCs w:val="18"/>
                <w:lang w:val="en-AU" w:eastAsia="en-US"/>
              </w:rPr>
              <w:t>$’000</w:t>
            </w:r>
          </w:p>
        </w:tc>
      </w:tr>
      <w:tr w:rsidR="00717BA5" w:rsidRPr="00717BA5" w14:paraId="22A905FD" w14:textId="77777777">
        <w:trPr>
          <w:cantSplit/>
          <w:trHeight w:val="272"/>
        </w:trPr>
        <w:tc>
          <w:tcPr>
            <w:tcW w:w="5431" w:type="dxa"/>
            <w:tcBorders>
              <w:top w:val="nil"/>
              <w:left w:val="nil"/>
              <w:bottom w:val="nil"/>
              <w:right w:val="nil"/>
            </w:tcBorders>
            <w:vAlign w:val="bottom"/>
          </w:tcPr>
          <w:p w14:paraId="6894905B" w14:textId="77777777" w:rsidR="00717BA5" w:rsidRPr="00717BA5" w:rsidRDefault="00717BA5" w:rsidP="00717BA5">
            <w:pPr>
              <w:spacing w:after="40" w:line="240" w:lineRule="auto"/>
              <w:rPr>
                <w:rFonts w:ascii="Arial" w:eastAsia="Times New Roman" w:hAnsi="Arial" w:cs="Arial"/>
                <w:b/>
                <w:color w:val="auto"/>
                <w:sz w:val="18"/>
                <w:szCs w:val="18"/>
                <w:lang w:val="en-AU" w:eastAsia="en-US"/>
              </w:rPr>
            </w:pPr>
            <w:r w:rsidRPr="00717BA5">
              <w:rPr>
                <w:rFonts w:ascii="Arial" w:eastAsia="Times New Roman" w:hAnsi="Arial" w:cs="Arial"/>
                <w:b/>
                <w:bCs/>
                <w:color w:val="auto"/>
                <w:sz w:val="18"/>
                <w:szCs w:val="18"/>
                <w:lang w:val="en-AU" w:eastAsia="en-US"/>
              </w:rPr>
              <w:t>2026</w:t>
            </w:r>
          </w:p>
        </w:tc>
        <w:tc>
          <w:tcPr>
            <w:tcW w:w="4492" w:type="dxa"/>
            <w:tcBorders>
              <w:top w:val="nil"/>
              <w:left w:val="nil"/>
              <w:bottom w:val="nil"/>
              <w:right w:val="nil"/>
            </w:tcBorders>
            <w:vAlign w:val="bottom"/>
          </w:tcPr>
          <w:p w14:paraId="2672F18A" w14:textId="77777777" w:rsidR="00717BA5" w:rsidRPr="00717BA5" w:rsidRDefault="00717BA5" w:rsidP="00717BA5">
            <w:pPr>
              <w:spacing w:after="0" w:line="240" w:lineRule="auto"/>
              <w:jc w:val="right"/>
              <w:rPr>
                <w:rFonts w:ascii="Arial" w:eastAsia="Times New Roman" w:hAnsi="Arial" w:cs="Arial"/>
                <w:b/>
                <w:color w:val="auto"/>
                <w:sz w:val="18"/>
                <w:szCs w:val="18"/>
                <w:lang w:val="en-AU" w:eastAsia="en-US"/>
              </w:rPr>
            </w:pPr>
          </w:p>
        </w:tc>
      </w:tr>
      <w:tr w:rsidR="00717BA5" w:rsidRPr="00717BA5" w14:paraId="7D7983E8" w14:textId="77777777">
        <w:trPr>
          <w:cantSplit/>
          <w:trHeight w:val="272"/>
        </w:trPr>
        <w:tc>
          <w:tcPr>
            <w:tcW w:w="5431" w:type="dxa"/>
            <w:tcBorders>
              <w:top w:val="nil"/>
              <w:left w:val="nil"/>
              <w:bottom w:val="nil"/>
              <w:right w:val="nil"/>
            </w:tcBorders>
            <w:vAlign w:val="bottom"/>
          </w:tcPr>
          <w:p w14:paraId="49577FFE" w14:textId="77777777" w:rsidR="00717BA5" w:rsidRPr="00717BA5" w:rsidRDefault="00717BA5" w:rsidP="00717BA5">
            <w:pPr>
              <w:spacing w:after="0" w:line="240" w:lineRule="auto"/>
              <w:rPr>
                <w:rFonts w:ascii="Arial" w:eastAsia="Times New Roman" w:hAnsi="Arial" w:cs="Arial"/>
                <w:b/>
                <w:color w:val="auto"/>
                <w:sz w:val="18"/>
                <w:szCs w:val="18"/>
                <w:lang w:val="en-AU" w:eastAsia="en-US"/>
              </w:rPr>
            </w:pPr>
            <w:r w:rsidRPr="00717BA5">
              <w:rPr>
                <w:rFonts w:ascii="Arial" w:eastAsia="Times New Roman" w:hAnsi="Arial" w:cs="Arial"/>
                <w:color w:val="auto"/>
                <w:sz w:val="18"/>
                <w:szCs w:val="18"/>
                <w:lang w:val="en-AU" w:eastAsia="en-US"/>
              </w:rPr>
              <w:t>Fair Value at the Beginning of the Reporting Period</w:t>
            </w:r>
          </w:p>
        </w:tc>
        <w:tc>
          <w:tcPr>
            <w:tcW w:w="4492" w:type="dxa"/>
            <w:tcBorders>
              <w:top w:val="nil"/>
              <w:left w:val="nil"/>
              <w:bottom w:val="nil"/>
              <w:right w:val="nil"/>
            </w:tcBorders>
            <w:vAlign w:val="bottom"/>
          </w:tcPr>
          <w:p w14:paraId="3CD61F3F" w14:textId="77777777" w:rsidR="00717BA5" w:rsidRPr="00717BA5" w:rsidRDefault="00717BA5" w:rsidP="00717BA5">
            <w:pPr>
              <w:spacing w:after="0" w:line="240" w:lineRule="auto"/>
              <w:jc w:val="right"/>
              <w:rPr>
                <w:rFonts w:ascii="Arial" w:eastAsia="Times New Roman" w:hAnsi="Arial" w:cs="Arial"/>
                <w:bCs/>
                <w:color w:val="auto"/>
                <w:sz w:val="18"/>
                <w:szCs w:val="18"/>
                <w:lang w:val="en-AU" w:eastAsia="en-US"/>
              </w:rPr>
            </w:pPr>
            <w:r w:rsidRPr="00717BA5">
              <w:rPr>
                <w:rFonts w:ascii="Arial" w:eastAsia="Times New Roman" w:hAnsi="Arial" w:cs="Arial"/>
                <w:bCs/>
                <w:color w:val="auto"/>
                <w:sz w:val="18"/>
                <w:szCs w:val="18"/>
                <w:lang w:val="en-AU" w:eastAsia="en-US"/>
              </w:rPr>
              <w:t>397</w:t>
            </w:r>
          </w:p>
        </w:tc>
      </w:tr>
      <w:tr w:rsidR="00717BA5" w:rsidRPr="00717BA5" w14:paraId="188A258B" w14:textId="77777777">
        <w:trPr>
          <w:cantSplit/>
          <w:trHeight w:val="272"/>
        </w:trPr>
        <w:tc>
          <w:tcPr>
            <w:tcW w:w="5431" w:type="dxa"/>
            <w:tcBorders>
              <w:top w:val="nil"/>
              <w:left w:val="nil"/>
              <w:bottom w:val="nil"/>
              <w:right w:val="nil"/>
            </w:tcBorders>
            <w:vAlign w:val="bottom"/>
          </w:tcPr>
          <w:p w14:paraId="39C65B2F" w14:textId="77777777" w:rsidR="00717BA5" w:rsidRPr="00717BA5" w:rsidRDefault="00717BA5" w:rsidP="00717BA5">
            <w:pPr>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Additions</w:t>
            </w:r>
          </w:p>
        </w:tc>
        <w:tc>
          <w:tcPr>
            <w:tcW w:w="4492" w:type="dxa"/>
            <w:tcBorders>
              <w:top w:val="nil"/>
              <w:left w:val="nil"/>
              <w:bottom w:val="nil"/>
              <w:right w:val="nil"/>
            </w:tcBorders>
            <w:vAlign w:val="bottom"/>
          </w:tcPr>
          <w:p w14:paraId="09A4F651" w14:textId="77777777" w:rsidR="00717BA5" w:rsidRPr="00717BA5" w:rsidRDefault="00717BA5" w:rsidP="00717BA5">
            <w:pPr>
              <w:spacing w:after="0" w:line="240" w:lineRule="auto"/>
              <w:jc w:val="right"/>
              <w:rPr>
                <w:rFonts w:ascii="Arial" w:eastAsia="Times New Roman" w:hAnsi="Arial" w:cs="Arial"/>
                <w:bCs/>
                <w:color w:val="auto"/>
                <w:sz w:val="18"/>
                <w:szCs w:val="18"/>
                <w:lang w:val="en-AU" w:eastAsia="en-US"/>
              </w:rPr>
            </w:pPr>
            <w:r w:rsidRPr="00717BA5">
              <w:rPr>
                <w:rFonts w:ascii="Arial" w:eastAsia="SimSun" w:hAnsi="Arial" w:cs="Arial"/>
                <w:color w:val="auto"/>
                <w:sz w:val="18"/>
                <w:szCs w:val="18"/>
                <w:lang w:val="en-AU" w:eastAsia="en-US"/>
              </w:rPr>
              <w:t>17</w:t>
            </w:r>
          </w:p>
        </w:tc>
      </w:tr>
      <w:tr w:rsidR="00717BA5" w:rsidRPr="00717BA5" w14:paraId="147D828C" w14:textId="77777777">
        <w:trPr>
          <w:cantSplit/>
          <w:trHeight w:val="272"/>
        </w:trPr>
        <w:tc>
          <w:tcPr>
            <w:tcW w:w="5431" w:type="dxa"/>
            <w:tcBorders>
              <w:top w:val="nil"/>
              <w:left w:val="nil"/>
              <w:bottom w:val="nil"/>
              <w:right w:val="nil"/>
            </w:tcBorders>
            <w:vAlign w:val="bottom"/>
          </w:tcPr>
          <w:p w14:paraId="06CF0E1B" w14:textId="77777777" w:rsidR="00717BA5" w:rsidRPr="00717BA5" w:rsidRDefault="00717BA5" w:rsidP="00717BA5">
            <w:pPr>
              <w:spacing w:after="0" w:line="240" w:lineRule="auto"/>
              <w:rPr>
                <w:rFonts w:ascii="Arial" w:eastAsia="Times New Roman" w:hAnsi="Arial" w:cs="Arial"/>
                <w:b/>
                <w:color w:val="auto"/>
                <w:sz w:val="18"/>
                <w:szCs w:val="18"/>
                <w:lang w:val="en-AU" w:eastAsia="en-US"/>
              </w:rPr>
            </w:pPr>
            <w:r w:rsidRPr="00717BA5">
              <w:rPr>
                <w:rFonts w:ascii="Arial" w:eastAsia="Times New Roman" w:hAnsi="Arial" w:cs="Arial"/>
                <w:color w:val="auto"/>
                <w:sz w:val="18"/>
                <w:szCs w:val="18"/>
                <w:lang w:val="en-AU" w:eastAsia="en-US"/>
              </w:rPr>
              <w:t>Depreciation</w:t>
            </w:r>
          </w:p>
        </w:tc>
        <w:tc>
          <w:tcPr>
            <w:tcW w:w="4492" w:type="dxa"/>
            <w:tcBorders>
              <w:top w:val="nil"/>
              <w:left w:val="nil"/>
              <w:bottom w:val="nil"/>
              <w:right w:val="nil"/>
            </w:tcBorders>
            <w:vAlign w:val="bottom"/>
          </w:tcPr>
          <w:p w14:paraId="505CD5A9" w14:textId="77777777" w:rsidR="00717BA5" w:rsidRPr="00717BA5" w:rsidRDefault="00717BA5" w:rsidP="00717BA5">
            <w:pPr>
              <w:spacing w:after="0" w:line="240" w:lineRule="auto"/>
              <w:jc w:val="right"/>
              <w:rPr>
                <w:rFonts w:ascii="Arial" w:eastAsia="Times New Roman" w:hAnsi="Arial" w:cs="Arial"/>
                <w:bCs/>
                <w:color w:val="auto"/>
                <w:sz w:val="18"/>
                <w:szCs w:val="18"/>
                <w:lang w:val="en-AU" w:eastAsia="en-US"/>
              </w:rPr>
            </w:pPr>
            <w:r w:rsidRPr="00717BA5">
              <w:rPr>
                <w:rFonts w:ascii="Arial" w:eastAsia="SimSun" w:hAnsi="Arial" w:cs="Arial"/>
                <w:color w:val="auto"/>
                <w:sz w:val="18"/>
                <w:szCs w:val="18"/>
                <w:lang w:val="en-AU" w:eastAsia="en-US"/>
              </w:rPr>
              <w:t>(41)</w:t>
            </w:r>
          </w:p>
        </w:tc>
      </w:tr>
      <w:tr w:rsidR="00717BA5" w:rsidRPr="00717BA5" w14:paraId="5CB30324" w14:textId="77777777">
        <w:trPr>
          <w:cantSplit/>
          <w:trHeight w:val="272"/>
        </w:trPr>
        <w:tc>
          <w:tcPr>
            <w:tcW w:w="5431" w:type="dxa"/>
            <w:tcBorders>
              <w:top w:val="nil"/>
              <w:left w:val="nil"/>
              <w:bottom w:val="nil"/>
              <w:right w:val="nil"/>
            </w:tcBorders>
            <w:vAlign w:val="bottom"/>
          </w:tcPr>
          <w:p w14:paraId="2E05F9A5" w14:textId="77777777" w:rsidR="00717BA5" w:rsidRPr="00717BA5" w:rsidRDefault="00717BA5" w:rsidP="00717BA5">
            <w:pPr>
              <w:spacing w:after="0" w:line="240" w:lineRule="auto"/>
              <w:rPr>
                <w:rFonts w:ascii="Arial" w:eastAsia="SimSun" w:hAnsi="Arial" w:cs="Arial"/>
                <w:color w:val="auto"/>
                <w:sz w:val="18"/>
                <w:szCs w:val="18"/>
                <w:lang w:val="en-AU"/>
              </w:rPr>
            </w:pPr>
            <w:r w:rsidRPr="00717BA5">
              <w:rPr>
                <w:rFonts w:ascii="Arial" w:eastAsia="SimSun" w:hAnsi="Arial" w:cs="Arial"/>
                <w:color w:val="auto"/>
                <w:sz w:val="18"/>
                <w:szCs w:val="18"/>
                <w:lang w:val="en-AU" w:eastAsia="en-US"/>
              </w:rPr>
              <w:t>Revaluation increments recognised in Other Comprehensive Income</w:t>
            </w:r>
          </w:p>
        </w:tc>
        <w:tc>
          <w:tcPr>
            <w:tcW w:w="4492" w:type="dxa"/>
            <w:tcBorders>
              <w:top w:val="nil"/>
              <w:left w:val="nil"/>
              <w:bottom w:val="single" w:sz="2" w:space="0" w:color="auto"/>
              <w:right w:val="nil"/>
            </w:tcBorders>
            <w:vAlign w:val="bottom"/>
          </w:tcPr>
          <w:p w14:paraId="3646FF0A" w14:textId="77777777" w:rsidR="00717BA5" w:rsidRPr="00717BA5" w:rsidRDefault="00717BA5" w:rsidP="00717BA5">
            <w:pPr>
              <w:spacing w:after="0" w:line="240" w:lineRule="auto"/>
              <w:jc w:val="right"/>
              <w:rPr>
                <w:rFonts w:ascii="Arial" w:eastAsia="Times New Roman" w:hAnsi="Arial" w:cs="Arial"/>
                <w:bCs/>
                <w:color w:val="auto"/>
                <w:sz w:val="18"/>
                <w:szCs w:val="18"/>
                <w:lang w:val="en-AU" w:eastAsia="en-US"/>
              </w:rPr>
            </w:pPr>
            <w:r w:rsidRPr="00717BA5">
              <w:rPr>
                <w:rFonts w:ascii="Arial" w:eastAsia="SimSun" w:hAnsi="Arial" w:cs="Arial"/>
                <w:color w:val="auto"/>
                <w:sz w:val="18"/>
                <w:szCs w:val="18"/>
                <w:lang w:val="en-AU" w:eastAsia="en-US"/>
              </w:rPr>
              <w:t>-</w:t>
            </w:r>
          </w:p>
        </w:tc>
      </w:tr>
      <w:tr w:rsidR="00717BA5" w:rsidRPr="00717BA5" w14:paraId="642D9402" w14:textId="77777777">
        <w:trPr>
          <w:cantSplit/>
          <w:trHeight w:val="272"/>
        </w:trPr>
        <w:tc>
          <w:tcPr>
            <w:tcW w:w="5431" w:type="dxa"/>
            <w:tcBorders>
              <w:top w:val="nil"/>
              <w:left w:val="nil"/>
              <w:bottom w:val="nil"/>
              <w:right w:val="nil"/>
            </w:tcBorders>
            <w:vAlign w:val="bottom"/>
          </w:tcPr>
          <w:p w14:paraId="5A8C541E" w14:textId="77777777" w:rsidR="00717BA5" w:rsidRPr="00717BA5" w:rsidRDefault="00717BA5" w:rsidP="00717BA5">
            <w:pPr>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b/>
                <w:color w:val="auto"/>
                <w:sz w:val="18"/>
                <w:szCs w:val="18"/>
                <w:lang w:val="en-AU" w:eastAsia="en-US"/>
              </w:rPr>
              <w:t>Fair Value at the End of the Reporting Period</w:t>
            </w:r>
          </w:p>
        </w:tc>
        <w:tc>
          <w:tcPr>
            <w:tcW w:w="4492" w:type="dxa"/>
            <w:tcBorders>
              <w:top w:val="single" w:sz="2" w:space="0" w:color="auto"/>
              <w:left w:val="nil"/>
              <w:bottom w:val="double" w:sz="4" w:space="0" w:color="auto"/>
              <w:right w:val="nil"/>
            </w:tcBorders>
            <w:vAlign w:val="bottom"/>
          </w:tcPr>
          <w:p w14:paraId="5483ED25" w14:textId="77777777" w:rsidR="00717BA5" w:rsidRPr="00717BA5" w:rsidRDefault="00717BA5" w:rsidP="00717BA5">
            <w:pPr>
              <w:spacing w:after="0" w:line="240" w:lineRule="auto"/>
              <w:jc w:val="right"/>
              <w:rPr>
                <w:rFonts w:ascii="Arial" w:eastAsia="Times New Roman" w:hAnsi="Arial" w:cs="Arial"/>
                <w:b/>
                <w:color w:val="auto"/>
                <w:sz w:val="18"/>
                <w:szCs w:val="18"/>
                <w:highlight w:val="yellow"/>
                <w:lang w:val="en-AU" w:eastAsia="en-US"/>
              </w:rPr>
            </w:pPr>
            <w:r w:rsidRPr="00717BA5">
              <w:rPr>
                <w:rFonts w:ascii="Arial" w:eastAsia="SimSun" w:hAnsi="Arial" w:cs="Arial"/>
                <w:b/>
                <w:bCs/>
                <w:color w:val="auto"/>
                <w:sz w:val="18"/>
                <w:szCs w:val="18"/>
                <w:lang w:val="en-AU" w:eastAsia="en-US"/>
              </w:rPr>
              <w:t>373</w:t>
            </w:r>
          </w:p>
        </w:tc>
      </w:tr>
      <w:tr w:rsidR="00717BA5" w:rsidRPr="00717BA5" w14:paraId="0783CDD0" w14:textId="77777777">
        <w:trPr>
          <w:cantSplit/>
          <w:trHeight w:val="272"/>
        </w:trPr>
        <w:tc>
          <w:tcPr>
            <w:tcW w:w="5431" w:type="dxa"/>
            <w:tcBorders>
              <w:top w:val="nil"/>
              <w:left w:val="nil"/>
              <w:bottom w:val="nil"/>
              <w:right w:val="nil"/>
            </w:tcBorders>
            <w:vAlign w:val="bottom"/>
          </w:tcPr>
          <w:p w14:paraId="4393FC53" w14:textId="77777777" w:rsidR="00717BA5" w:rsidRPr="00717BA5" w:rsidRDefault="00717BA5" w:rsidP="00717BA5">
            <w:pPr>
              <w:spacing w:after="40" w:line="240" w:lineRule="auto"/>
              <w:rPr>
                <w:rFonts w:ascii="Arial" w:eastAsia="Times New Roman" w:hAnsi="Arial" w:cs="Arial"/>
                <w:b/>
                <w:color w:val="auto"/>
                <w:sz w:val="18"/>
                <w:szCs w:val="18"/>
                <w:lang w:val="en-AU" w:eastAsia="en-US"/>
              </w:rPr>
            </w:pPr>
          </w:p>
        </w:tc>
        <w:tc>
          <w:tcPr>
            <w:tcW w:w="4492" w:type="dxa"/>
            <w:tcBorders>
              <w:top w:val="double" w:sz="4" w:space="0" w:color="auto"/>
              <w:left w:val="nil"/>
              <w:bottom w:val="nil"/>
              <w:right w:val="nil"/>
            </w:tcBorders>
            <w:vAlign w:val="bottom"/>
          </w:tcPr>
          <w:p w14:paraId="1F43CFB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r>
      <w:tr w:rsidR="00717BA5" w:rsidRPr="00717BA5" w14:paraId="53C88A12" w14:textId="77777777">
        <w:trPr>
          <w:cantSplit/>
          <w:trHeight w:val="272"/>
        </w:trPr>
        <w:tc>
          <w:tcPr>
            <w:tcW w:w="5431" w:type="dxa"/>
            <w:tcBorders>
              <w:top w:val="nil"/>
              <w:left w:val="nil"/>
              <w:bottom w:val="nil"/>
              <w:right w:val="nil"/>
            </w:tcBorders>
            <w:vAlign w:val="bottom"/>
          </w:tcPr>
          <w:p w14:paraId="667B587C" w14:textId="77777777" w:rsidR="00717BA5" w:rsidRPr="00717BA5" w:rsidRDefault="00717BA5" w:rsidP="00717BA5">
            <w:pPr>
              <w:spacing w:after="40" w:line="240" w:lineRule="auto"/>
              <w:rPr>
                <w:rFonts w:ascii="Arial" w:eastAsia="Times New Roman" w:hAnsi="Arial" w:cs="Arial"/>
                <w:b/>
                <w:color w:val="auto"/>
                <w:sz w:val="18"/>
                <w:szCs w:val="18"/>
                <w:lang w:val="en-AU" w:eastAsia="en-US"/>
              </w:rPr>
            </w:pPr>
            <w:r w:rsidRPr="00717BA5">
              <w:rPr>
                <w:rFonts w:ascii="Arial" w:eastAsia="Times New Roman" w:hAnsi="Arial" w:cs="Arial"/>
                <w:b/>
                <w:bCs/>
                <w:color w:val="auto"/>
                <w:sz w:val="18"/>
                <w:szCs w:val="18"/>
                <w:lang w:val="en-AU" w:eastAsia="en-US"/>
              </w:rPr>
              <w:t>2025</w:t>
            </w:r>
          </w:p>
        </w:tc>
        <w:tc>
          <w:tcPr>
            <w:tcW w:w="4492" w:type="dxa"/>
            <w:tcBorders>
              <w:top w:val="nil"/>
              <w:left w:val="nil"/>
              <w:bottom w:val="nil"/>
              <w:right w:val="nil"/>
            </w:tcBorders>
            <w:vAlign w:val="bottom"/>
          </w:tcPr>
          <w:p w14:paraId="24FE888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r>
      <w:tr w:rsidR="00717BA5" w:rsidRPr="00717BA5" w14:paraId="65655FB3" w14:textId="77777777">
        <w:trPr>
          <w:cantSplit/>
          <w:trHeight w:val="272"/>
        </w:trPr>
        <w:tc>
          <w:tcPr>
            <w:tcW w:w="5431" w:type="dxa"/>
            <w:tcBorders>
              <w:top w:val="nil"/>
              <w:left w:val="nil"/>
              <w:bottom w:val="nil"/>
              <w:right w:val="nil"/>
            </w:tcBorders>
            <w:vAlign w:val="bottom"/>
          </w:tcPr>
          <w:p w14:paraId="4F65A503" w14:textId="77777777" w:rsidR="00717BA5" w:rsidRPr="00717BA5" w:rsidRDefault="00717BA5" w:rsidP="00717BA5">
            <w:pPr>
              <w:spacing w:after="0" w:line="240" w:lineRule="auto"/>
              <w:rPr>
                <w:rFonts w:ascii="Arial" w:eastAsia="Times New Roman" w:hAnsi="Arial" w:cs="Arial"/>
                <w:b/>
                <w:color w:val="auto"/>
                <w:sz w:val="18"/>
                <w:szCs w:val="18"/>
                <w:lang w:val="en-AU" w:eastAsia="en-US"/>
              </w:rPr>
            </w:pPr>
            <w:r w:rsidRPr="00717BA5">
              <w:rPr>
                <w:rFonts w:ascii="Arial" w:eastAsia="Times New Roman" w:hAnsi="Arial" w:cs="Arial"/>
                <w:color w:val="auto"/>
                <w:sz w:val="18"/>
                <w:szCs w:val="18"/>
                <w:lang w:val="en-AU" w:eastAsia="en-US"/>
              </w:rPr>
              <w:t>Fair Value at the Beginning of the Reporting Period</w:t>
            </w:r>
          </w:p>
        </w:tc>
        <w:tc>
          <w:tcPr>
            <w:tcW w:w="4492" w:type="dxa"/>
            <w:tcBorders>
              <w:top w:val="nil"/>
              <w:left w:val="nil"/>
              <w:bottom w:val="nil"/>
              <w:right w:val="nil"/>
            </w:tcBorders>
            <w:vAlign w:val="bottom"/>
          </w:tcPr>
          <w:p w14:paraId="0978411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Cs/>
                <w:color w:val="auto"/>
                <w:sz w:val="18"/>
                <w:szCs w:val="18"/>
                <w:lang w:val="en-AU" w:eastAsia="en-US"/>
              </w:rPr>
              <w:t>472</w:t>
            </w:r>
          </w:p>
        </w:tc>
      </w:tr>
      <w:tr w:rsidR="00717BA5" w:rsidRPr="00717BA5" w14:paraId="578CF5A6" w14:textId="77777777">
        <w:trPr>
          <w:cantSplit/>
          <w:trHeight w:val="272"/>
        </w:trPr>
        <w:tc>
          <w:tcPr>
            <w:tcW w:w="5431" w:type="dxa"/>
            <w:tcBorders>
              <w:top w:val="nil"/>
              <w:left w:val="nil"/>
              <w:bottom w:val="nil"/>
              <w:right w:val="nil"/>
            </w:tcBorders>
            <w:vAlign w:val="bottom"/>
          </w:tcPr>
          <w:p w14:paraId="7D154225" w14:textId="77777777" w:rsidR="00717BA5" w:rsidRPr="00717BA5" w:rsidRDefault="00717BA5" w:rsidP="00717BA5">
            <w:pPr>
              <w:spacing w:after="0" w:line="240" w:lineRule="auto"/>
              <w:rPr>
                <w:rFonts w:ascii="Arial" w:eastAsia="Times New Roman" w:hAnsi="Arial" w:cs="Arial"/>
                <w:b/>
                <w:color w:val="auto"/>
                <w:sz w:val="18"/>
                <w:szCs w:val="18"/>
                <w:lang w:val="en-AU" w:eastAsia="en-US"/>
              </w:rPr>
            </w:pPr>
            <w:r w:rsidRPr="00717BA5">
              <w:rPr>
                <w:rFonts w:ascii="Arial" w:eastAsia="Times New Roman" w:hAnsi="Arial" w:cs="Arial"/>
                <w:color w:val="auto"/>
                <w:sz w:val="18"/>
                <w:szCs w:val="18"/>
                <w:lang w:val="en-AU" w:eastAsia="en-US"/>
              </w:rPr>
              <w:t>Additions</w:t>
            </w:r>
          </w:p>
        </w:tc>
        <w:tc>
          <w:tcPr>
            <w:tcW w:w="4492" w:type="dxa"/>
            <w:tcBorders>
              <w:top w:val="nil"/>
              <w:left w:val="nil"/>
              <w:bottom w:val="single" w:sz="2" w:space="0" w:color="auto"/>
              <w:right w:val="nil"/>
            </w:tcBorders>
            <w:vAlign w:val="bottom"/>
          </w:tcPr>
          <w:p w14:paraId="339789C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Cs/>
                <w:color w:val="auto"/>
                <w:sz w:val="18"/>
                <w:szCs w:val="18"/>
                <w:lang w:val="en-AU" w:eastAsia="en-US"/>
              </w:rPr>
              <w:t>27</w:t>
            </w:r>
          </w:p>
        </w:tc>
      </w:tr>
      <w:tr w:rsidR="00717BA5" w:rsidRPr="00717BA5" w14:paraId="2814B31B" w14:textId="77777777">
        <w:trPr>
          <w:cantSplit/>
          <w:trHeight w:val="283"/>
        </w:trPr>
        <w:tc>
          <w:tcPr>
            <w:tcW w:w="5431" w:type="dxa"/>
            <w:tcBorders>
              <w:top w:val="nil"/>
              <w:left w:val="nil"/>
              <w:bottom w:val="nil"/>
              <w:right w:val="nil"/>
            </w:tcBorders>
            <w:vAlign w:val="bottom"/>
          </w:tcPr>
          <w:p w14:paraId="55B8CC27" w14:textId="77777777" w:rsidR="00717BA5" w:rsidRPr="00717BA5" w:rsidRDefault="00717BA5" w:rsidP="00717BA5">
            <w:pPr>
              <w:spacing w:after="0" w:line="240" w:lineRule="auto"/>
              <w:rPr>
                <w:rFonts w:ascii="Arial" w:eastAsia="Times New Roman" w:hAnsi="Arial" w:cs="Arial"/>
                <w:color w:val="auto"/>
                <w:sz w:val="18"/>
                <w:szCs w:val="18"/>
                <w:lang w:val="en-AU" w:eastAsia="en-US"/>
              </w:rPr>
            </w:pPr>
            <w:r w:rsidRPr="00717BA5">
              <w:rPr>
                <w:rFonts w:ascii="Arial" w:eastAsia="Times New Roman" w:hAnsi="Arial" w:cs="Arial"/>
                <w:color w:val="auto"/>
                <w:sz w:val="18"/>
                <w:szCs w:val="18"/>
                <w:lang w:val="en-AU" w:eastAsia="en-US"/>
              </w:rPr>
              <w:t>Depreciation</w:t>
            </w:r>
          </w:p>
        </w:tc>
        <w:tc>
          <w:tcPr>
            <w:tcW w:w="4492" w:type="dxa"/>
            <w:tcBorders>
              <w:top w:val="single" w:sz="2" w:space="0" w:color="auto"/>
              <w:left w:val="nil"/>
              <w:bottom w:val="double" w:sz="4" w:space="0" w:color="auto"/>
              <w:right w:val="nil"/>
            </w:tcBorders>
            <w:vAlign w:val="bottom"/>
          </w:tcPr>
          <w:p w14:paraId="2D7CCEC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Cs/>
                <w:color w:val="auto"/>
                <w:sz w:val="18"/>
                <w:szCs w:val="18"/>
                <w:lang w:val="en-AU" w:eastAsia="en-US"/>
              </w:rPr>
              <w:t>(102)</w:t>
            </w:r>
          </w:p>
        </w:tc>
      </w:tr>
      <w:tr w:rsidR="00717BA5" w:rsidRPr="00717BA5" w14:paraId="2DA3B606" w14:textId="77777777">
        <w:trPr>
          <w:cantSplit/>
          <w:trHeight w:val="283"/>
        </w:trPr>
        <w:tc>
          <w:tcPr>
            <w:tcW w:w="5431" w:type="dxa"/>
            <w:tcBorders>
              <w:top w:val="nil"/>
              <w:left w:val="nil"/>
              <w:bottom w:val="nil"/>
              <w:right w:val="nil"/>
            </w:tcBorders>
            <w:vAlign w:val="bottom"/>
          </w:tcPr>
          <w:p w14:paraId="3D27E95A" w14:textId="77777777" w:rsidR="00717BA5" w:rsidRPr="00717BA5" w:rsidRDefault="00717BA5" w:rsidP="00717BA5">
            <w:pPr>
              <w:spacing w:after="0" w:line="240" w:lineRule="auto"/>
              <w:rPr>
                <w:rFonts w:ascii="Arial" w:eastAsia="Times New Roman" w:hAnsi="Arial" w:cs="Arial"/>
                <w:color w:val="auto"/>
                <w:sz w:val="18"/>
                <w:szCs w:val="18"/>
                <w:lang w:val="en-AU" w:eastAsia="en-US"/>
              </w:rPr>
            </w:pPr>
            <w:r w:rsidRPr="00717BA5">
              <w:rPr>
                <w:rFonts w:ascii="Arial" w:eastAsia="SimSun" w:hAnsi="Arial" w:cs="Arial"/>
                <w:color w:val="auto"/>
                <w:sz w:val="18"/>
                <w:szCs w:val="18"/>
                <w:lang w:val="en-AU" w:eastAsia="en-US"/>
              </w:rPr>
              <w:t>Revaluation increments recognised in Other Comprehensive Income</w:t>
            </w:r>
          </w:p>
        </w:tc>
        <w:tc>
          <w:tcPr>
            <w:tcW w:w="4492" w:type="dxa"/>
            <w:tcBorders>
              <w:top w:val="single" w:sz="2" w:space="0" w:color="auto"/>
              <w:left w:val="nil"/>
              <w:bottom w:val="double" w:sz="4" w:space="0" w:color="auto"/>
              <w:right w:val="nil"/>
            </w:tcBorders>
            <w:vAlign w:val="bottom"/>
          </w:tcPr>
          <w:p w14:paraId="3F2FF3AB" w14:textId="77777777" w:rsidR="00717BA5" w:rsidRPr="00717BA5" w:rsidRDefault="00717BA5" w:rsidP="00717BA5">
            <w:pPr>
              <w:spacing w:after="0" w:line="240" w:lineRule="auto"/>
              <w:jc w:val="right"/>
              <w:rPr>
                <w:rFonts w:ascii="Arial" w:eastAsia="Times New Roman" w:hAnsi="Arial" w:cs="Arial"/>
                <w:bCs/>
                <w:color w:val="auto"/>
                <w:sz w:val="18"/>
                <w:szCs w:val="18"/>
                <w:lang w:val="en-AU" w:eastAsia="en-US"/>
              </w:rPr>
            </w:pPr>
            <w:r w:rsidRPr="00717BA5">
              <w:rPr>
                <w:rFonts w:ascii="Arial" w:eastAsia="Times New Roman" w:hAnsi="Arial" w:cs="Arial"/>
                <w:bCs/>
                <w:color w:val="auto"/>
                <w:sz w:val="18"/>
                <w:szCs w:val="18"/>
                <w:lang w:val="en-AU" w:eastAsia="en-US"/>
              </w:rPr>
              <w:t>-</w:t>
            </w:r>
          </w:p>
        </w:tc>
      </w:tr>
      <w:tr w:rsidR="00717BA5" w:rsidRPr="00717BA5" w14:paraId="5A5C72E0" w14:textId="77777777">
        <w:trPr>
          <w:cantSplit/>
          <w:trHeight w:val="283"/>
        </w:trPr>
        <w:tc>
          <w:tcPr>
            <w:tcW w:w="5431" w:type="dxa"/>
            <w:tcBorders>
              <w:top w:val="nil"/>
              <w:left w:val="nil"/>
              <w:bottom w:val="nil"/>
              <w:right w:val="nil"/>
            </w:tcBorders>
            <w:vAlign w:val="bottom"/>
          </w:tcPr>
          <w:p w14:paraId="7C8AC1EB"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Times New Roman" w:hAnsi="Arial" w:cs="Arial"/>
                <w:b/>
                <w:color w:val="auto"/>
                <w:sz w:val="18"/>
                <w:szCs w:val="18"/>
                <w:lang w:val="en-AU" w:eastAsia="en-US"/>
              </w:rPr>
              <w:t>Fair Value at the End of the Reporting Period</w:t>
            </w:r>
          </w:p>
        </w:tc>
        <w:tc>
          <w:tcPr>
            <w:tcW w:w="4492" w:type="dxa"/>
            <w:tcBorders>
              <w:top w:val="single" w:sz="2" w:space="0" w:color="auto"/>
              <w:left w:val="nil"/>
              <w:bottom w:val="double" w:sz="4" w:space="0" w:color="auto"/>
              <w:right w:val="nil"/>
            </w:tcBorders>
            <w:vAlign w:val="bottom"/>
          </w:tcPr>
          <w:p w14:paraId="723E47F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eastAsia="en-US"/>
              </w:rPr>
            </w:pPr>
            <w:r w:rsidRPr="00717BA5">
              <w:rPr>
                <w:rFonts w:ascii="Arial" w:eastAsia="Times New Roman" w:hAnsi="Arial" w:cs="Arial"/>
                <w:b/>
                <w:color w:val="auto"/>
                <w:sz w:val="18"/>
                <w:szCs w:val="18"/>
                <w:lang w:val="en-AU" w:eastAsia="en-US"/>
              </w:rPr>
              <w:t>397</w:t>
            </w:r>
          </w:p>
        </w:tc>
      </w:tr>
    </w:tbl>
    <w:p w14:paraId="27AFDD9C" w14:textId="77777777" w:rsidR="00717BA5" w:rsidRPr="00717BA5" w:rsidRDefault="00717BA5" w:rsidP="00717BA5">
      <w:pPr>
        <w:adjustRightInd w:val="0"/>
        <w:snapToGrid w:val="0"/>
        <w:spacing w:before="120"/>
        <w:rPr>
          <w:rFonts w:ascii="Arial" w:eastAsia="SimSun" w:hAnsi="Arial" w:cs="Arial"/>
          <w:b/>
          <w:color w:val="auto"/>
          <w:sz w:val="18"/>
          <w:szCs w:val="18"/>
          <w:lang w:val="en-AU"/>
        </w:rPr>
      </w:pPr>
      <w:r w:rsidRPr="00717BA5">
        <w:rPr>
          <w:rFonts w:ascii="Arial" w:eastAsia="SimSun" w:hAnsi="Arial" w:cs="Arial"/>
          <w:color w:val="auto"/>
          <w:lang w:val="en-AU"/>
        </w:rPr>
        <w:t>Change in unrealised gains or losses for the period are included in profit or loss for assets held at the end of the reporting period.</w:t>
      </w:r>
    </w:p>
    <w:p w14:paraId="20D5622C" w14:textId="77777777" w:rsidR="00717BA5" w:rsidRPr="00717BA5" w:rsidRDefault="00717BA5" w:rsidP="00717BA5">
      <w:pPr>
        <w:spacing w:before="120" w:after="240" w:line="240" w:lineRule="auto"/>
        <w:jc w:val="both"/>
        <w:outlineLvl w:val="0"/>
        <w:rPr>
          <w:rFonts w:ascii="Arial" w:eastAsia="Times New Roman" w:hAnsi="Arial" w:cs="Arial"/>
          <w:b/>
          <w:bCs/>
          <w:color w:val="auto"/>
          <w:kern w:val="32"/>
          <w:sz w:val="24"/>
          <w:szCs w:val="24"/>
          <w:lang w:val="en-AU"/>
        </w:rPr>
      </w:pPr>
      <w:r w:rsidRPr="00717BA5">
        <w:rPr>
          <w:rFonts w:ascii="Arial" w:eastAsia="Times New Roman" w:hAnsi="Arial" w:cs="Arial"/>
          <w:b/>
          <w:bCs/>
          <w:color w:val="auto"/>
          <w:kern w:val="32"/>
          <w:sz w:val="24"/>
          <w:szCs w:val="24"/>
          <w:lang w:val="en-AU"/>
        </w:rPr>
        <w:br w:type="page"/>
      </w:r>
    </w:p>
    <w:p w14:paraId="3523E3D0" w14:textId="77777777" w:rsidR="00717BA5" w:rsidRPr="00717BA5" w:rsidRDefault="00717BA5" w:rsidP="00717BA5">
      <w:pPr>
        <w:spacing w:after="0" w:line="240" w:lineRule="auto"/>
        <w:rPr>
          <w:rFonts w:ascii="Arial" w:eastAsia="SimSun" w:hAnsi="Arial" w:cs="Arial"/>
          <w:color w:val="auto"/>
          <w:lang w:val="en-AU"/>
        </w:rPr>
      </w:pPr>
    </w:p>
    <w:p w14:paraId="3CE77462" w14:textId="77777777" w:rsidR="00717BA5" w:rsidRPr="00717BA5" w:rsidRDefault="00717BA5" w:rsidP="00717BA5">
      <w:pPr>
        <w:spacing w:after="240" w:line="240" w:lineRule="auto"/>
        <w:jc w:val="both"/>
        <w:outlineLvl w:val="0"/>
        <w:rPr>
          <w:rFonts w:ascii="Arial" w:eastAsia="Times New Roman" w:hAnsi="Arial" w:cs="Arial"/>
          <w:b/>
          <w:bCs/>
          <w:color w:val="auto"/>
          <w:kern w:val="32"/>
          <w:sz w:val="24"/>
          <w:szCs w:val="24"/>
          <w:lang w:val="en-AU"/>
        </w:rPr>
      </w:pPr>
      <w:bookmarkStart w:id="104" w:name="_Toc240533519"/>
      <w:r w:rsidRPr="00717BA5">
        <w:rPr>
          <w:rFonts w:ascii="Arial" w:eastAsia="Times New Roman" w:hAnsi="Arial" w:cs="Arial"/>
          <w:b/>
          <w:bCs/>
          <w:color w:val="auto"/>
          <w:kern w:val="32"/>
          <w:sz w:val="24"/>
          <w:szCs w:val="24"/>
          <w:lang w:val="en-AU"/>
        </w:rPr>
        <w:t>LIABILITY NOTES</w:t>
      </w:r>
      <w:bookmarkEnd w:id="104"/>
    </w:p>
    <w:p w14:paraId="1668BAEE" w14:textId="77777777" w:rsidR="00717BA5" w:rsidRPr="00717BA5" w:rsidRDefault="00717BA5" w:rsidP="002B311D">
      <w:pPr>
        <w:pStyle w:val="Heading5"/>
      </w:pPr>
      <w:r w:rsidRPr="00717BA5">
        <w:t>NOTE 14.   PAYABLES</w:t>
      </w:r>
    </w:p>
    <w:p w14:paraId="4AD80272" w14:textId="77777777" w:rsidR="00717BA5" w:rsidRPr="00717BA5" w:rsidRDefault="00717BA5" w:rsidP="00717BA5">
      <w:pPr>
        <w:adjustRightInd w:val="0"/>
        <w:snapToGrid w:val="0"/>
        <w:rPr>
          <w:rFonts w:ascii="Arial" w:eastAsia="Times New Roman" w:hAnsi="Arial" w:cs="Arial"/>
          <w:b/>
          <w:caps/>
          <w:color w:val="auto"/>
          <w:sz w:val="18"/>
          <w:szCs w:val="18"/>
          <w:lang w:val="en-AU"/>
        </w:rPr>
      </w:pPr>
      <w:r w:rsidRPr="00717BA5">
        <w:rPr>
          <w:rFonts w:ascii="Arial" w:eastAsia="Times New Roman" w:hAnsi="Arial" w:cs="Arial"/>
          <w:b/>
          <w:bCs/>
          <w:color w:val="auto"/>
          <w:lang w:val="en-AU"/>
        </w:rPr>
        <w:t>Description and Material Accounting Policies Relating to Payables</w:t>
      </w:r>
    </w:p>
    <w:p w14:paraId="5BE29BEA"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Payables include Long Service Leave Claims Owing to Registered Scheme Participants, Other Creditors and Accruals, and Goods and Services Tax Payable.</w:t>
      </w:r>
    </w:p>
    <w:p w14:paraId="1F844B4F"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color w:val="auto"/>
          <w:lang w:val="en-AU"/>
        </w:rPr>
        <w:t xml:space="preserve">Payables are initially recorded at fair value based on the transaction cost and subsequent to initial recognition at amortised cost, with any adjustments to the carrying amount being recorded in the Operating Statement. All amounts are normally settled within </w:t>
      </w:r>
      <w:r w:rsidRPr="00717BA5">
        <w:rPr>
          <w:rFonts w:ascii="Arial" w:eastAsia="Times New Roman" w:hAnsi="Arial" w:cs="Arial"/>
          <w:color w:val="auto"/>
          <w:sz w:val="18"/>
          <w:szCs w:val="18"/>
          <w:lang w:val="en-AU"/>
        </w:rPr>
        <w:t>28 days from the date of receipt of the correctly rendered invoice.</w:t>
      </w:r>
    </w:p>
    <w:p w14:paraId="3149CD5F"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tbl>
      <w:tblPr>
        <w:tblW w:w="5000" w:type="pct"/>
        <w:tblLook w:val="04A0" w:firstRow="1" w:lastRow="0" w:firstColumn="1" w:lastColumn="0" w:noHBand="0" w:noVBand="1"/>
      </w:tblPr>
      <w:tblGrid>
        <w:gridCol w:w="6814"/>
        <w:gridCol w:w="1260"/>
        <w:gridCol w:w="607"/>
        <w:gridCol w:w="1268"/>
      </w:tblGrid>
      <w:tr w:rsidR="00717BA5" w:rsidRPr="00717BA5" w14:paraId="1CA34C52" w14:textId="77777777" w:rsidTr="00F0752D">
        <w:trPr>
          <w:trHeight w:val="255"/>
        </w:trPr>
        <w:tc>
          <w:tcPr>
            <w:tcW w:w="3424" w:type="pct"/>
            <w:tcBorders>
              <w:top w:val="nil"/>
              <w:left w:val="nil"/>
              <w:bottom w:val="nil"/>
              <w:right w:val="nil"/>
            </w:tcBorders>
            <w:shd w:val="clear" w:color="000000" w:fill="FFFFFF"/>
          </w:tcPr>
          <w:p w14:paraId="77588DC6"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33" w:type="pct"/>
            <w:tcBorders>
              <w:top w:val="nil"/>
              <w:left w:val="nil"/>
              <w:bottom w:val="nil"/>
              <w:right w:val="nil"/>
            </w:tcBorders>
            <w:shd w:val="clear" w:color="000000" w:fill="FFFFFF"/>
            <w:vAlign w:val="bottom"/>
          </w:tcPr>
          <w:p w14:paraId="1B43E41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top w:val="nil"/>
              <w:left w:val="nil"/>
              <w:bottom w:val="nil"/>
              <w:right w:val="nil"/>
            </w:tcBorders>
            <w:shd w:val="clear" w:color="000000" w:fill="FFFFFF"/>
            <w:vAlign w:val="bottom"/>
          </w:tcPr>
          <w:p w14:paraId="1691DCE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37" w:type="pct"/>
            <w:tcBorders>
              <w:top w:val="nil"/>
              <w:left w:val="nil"/>
              <w:bottom w:val="nil"/>
              <w:right w:val="nil"/>
            </w:tcBorders>
            <w:shd w:val="clear" w:color="000000" w:fill="FFFFFF"/>
            <w:noWrap/>
            <w:vAlign w:val="bottom"/>
          </w:tcPr>
          <w:p w14:paraId="74D4A3F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208081EF" w14:textId="77777777" w:rsidTr="00F0752D">
        <w:trPr>
          <w:trHeight w:val="315"/>
        </w:trPr>
        <w:tc>
          <w:tcPr>
            <w:tcW w:w="3424" w:type="pct"/>
            <w:tcBorders>
              <w:top w:val="nil"/>
              <w:left w:val="nil"/>
              <w:right w:val="nil"/>
            </w:tcBorders>
            <w:shd w:val="clear" w:color="000000" w:fill="FFFFFF"/>
          </w:tcPr>
          <w:p w14:paraId="3FB39691"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33" w:type="pct"/>
            <w:tcBorders>
              <w:top w:val="nil"/>
              <w:left w:val="nil"/>
              <w:bottom w:val="single" w:sz="4" w:space="0" w:color="auto"/>
              <w:right w:val="nil"/>
            </w:tcBorders>
            <w:shd w:val="clear" w:color="000000" w:fill="FFFFFF"/>
            <w:vAlign w:val="bottom"/>
          </w:tcPr>
          <w:p w14:paraId="67A41C0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305" w:type="pct"/>
            <w:tcBorders>
              <w:top w:val="nil"/>
              <w:left w:val="nil"/>
              <w:right w:val="nil"/>
            </w:tcBorders>
            <w:shd w:val="clear" w:color="000000" w:fill="FFFFFF"/>
            <w:vAlign w:val="bottom"/>
          </w:tcPr>
          <w:p w14:paraId="1DD4333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37" w:type="pct"/>
            <w:tcBorders>
              <w:top w:val="nil"/>
              <w:left w:val="nil"/>
              <w:bottom w:val="single" w:sz="4" w:space="0" w:color="auto"/>
              <w:right w:val="nil"/>
            </w:tcBorders>
            <w:shd w:val="clear" w:color="000000" w:fill="FFFFFF"/>
            <w:noWrap/>
            <w:vAlign w:val="bottom"/>
          </w:tcPr>
          <w:p w14:paraId="70BD12A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$’000 </w:t>
            </w:r>
          </w:p>
        </w:tc>
      </w:tr>
      <w:tr w:rsidR="00717BA5" w:rsidRPr="00717BA5" w14:paraId="710174E9" w14:textId="77777777" w:rsidTr="00F0752D">
        <w:trPr>
          <w:trHeight w:val="315"/>
        </w:trPr>
        <w:tc>
          <w:tcPr>
            <w:tcW w:w="3424" w:type="pct"/>
            <w:tcBorders>
              <w:top w:val="nil"/>
              <w:left w:val="nil"/>
              <w:bottom w:val="nil"/>
              <w:right w:val="nil"/>
            </w:tcBorders>
            <w:shd w:val="clear" w:color="000000" w:fill="FFFFFF"/>
            <w:vAlign w:val="bottom"/>
          </w:tcPr>
          <w:p w14:paraId="7D056066"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Current Payables</w:t>
            </w:r>
          </w:p>
        </w:tc>
        <w:tc>
          <w:tcPr>
            <w:tcW w:w="633" w:type="pct"/>
            <w:tcBorders>
              <w:top w:val="nil"/>
              <w:left w:val="nil"/>
              <w:bottom w:val="nil"/>
              <w:right w:val="nil"/>
            </w:tcBorders>
            <w:shd w:val="clear" w:color="000000" w:fill="FFFFFF"/>
            <w:vAlign w:val="bottom"/>
          </w:tcPr>
          <w:p w14:paraId="52501A3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top w:val="nil"/>
              <w:left w:val="nil"/>
              <w:bottom w:val="nil"/>
              <w:right w:val="nil"/>
            </w:tcBorders>
            <w:shd w:val="clear" w:color="000000" w:fill="FFFFFF"/>
            <w:vAlign w:val="bottom"/>
          </w:tcPr>
          <w:p w14:paraId="6609D4C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vAlign w:val="bottom"/>
          </w:tcPr>
          <w:p w14:paraId="2235476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206B1329" w14:textId="77777777" w:rsidTr="00F0752D">
        <w:trPr>
          <w:trHeight w:val="315"/>
        </w:trPr>
        <w:tc>
          <w:tcPr>
            <w:tcW w:w="3424" w:type="pct"/>
            <w:tcBorders>
              <w:top w:val="nil"/>
              <w:left w:val="nil"/>
              <w:bottom w:val="nil"/>
              <w:right w:val="nil"/>
            </w:tcBorders>
            <w:shd w:val="clear" w:color="000000" w:fill="FFFFFF"/>
            <w:vAlign w:val="bottom"/>
          </w:tcPr>
          <w:p w14:paraId="5FEF12D1" w14:textId="2F349A58"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Long Service Leave Claims Owing to Registered Scheme Participants</w:t>
            </w:r>
            <w:r w:rsidR="00FC0A57">
              <w:rPr>
                <w:rFonts w:ascii="ZWAdobeF" w:eastAsia="Times New Roman" w:hAnsi="ZWAdobeF" w:cs="ZWAdobeF"/>
                <w:color w:val="auto"/>
                <w:sz w:val="2"/>
                <w:szCs w:val="2"/>
                <w:lang w:val="en-AU"/>
              </w:rPr>
              <w:t>15F</w:t>
            </w:r>
            <w:r w:rsidRPr="00717BA5">
              <w:rPr>
                <w:rFonts w:ascii="Arial" w:eastAsia="Times New Roman" w:hAnsi="Arial" w:cs="Arial"/>
                <w:b/>
                <w:color w:val="auto"/>
                <w:sz w:val="18"/>
                <w:szCs w:val="18"/>
                <w:vertAlign w:val="superscript"/>
                <w:lang w:val="en-AU"/>
              </w:rPr>
              <w:footnoteReference w:id="17"/>
            </w:r>
          </w:p>
        </w:tc>
        <w:tc>
          <w:tcPr>
            <w:tcW w:w="633" w:type="pct"/>
            <w:tcBorders>
              <w:top w:val="nil"/>
              <w:left w:val="nil"/>
              <w:bottom w:val="nil"/>
              <w:right w:val="nil"/>
            </w:tcBorders>
            <w:shd w:val="clear" w:color="000000" w:fill="FFFFFF"/>
            <w:vAlign w:val="bottom"/>
          </w:tcPr>
          <w:p w14:paraId="71B1C5A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top w:val="nil"/>
              <w:left w:val="nil"/>
              <w:bottom w:val="nil"/>
              <w:right w:val="nil"/>
            </w:tcBorders>
            <w:shd w:val="clear" w:color="000000" w:fill="FFFFFF"/>
            <w:vAlign w:val="bottom"/>
          </w:tcPr>
          <w:p w14:paraId="4BF8567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1119A8B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706A2202" w14:textId="77777777" w:rsidTr="00F0752D">
        <w:trPr>
          <w:trHeight w:val="20"/>
        </w:trPr>
        <w:tc>
          <w:tcPr>
            <w:tcW w:w="3424" w:type="pct"/>
            <w:tcBorders>
              <w:top w:val="nil"/>
              <w:left w:val="nil"/>
              <w:bottom w:val="nil"/>
              <w:right w:val="nil"/>
            </w:tcBorders>
            <w:shd w:val="clear" w:color="000000" w:fill="FFFFFF"/>
            <w:vAlign w:val="bottom"/>
          </w:tcPr>
          <w:p w14:paraId="46CABDB9"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Building and Construction Industry</w:t>
            </w:r>
          </w:p>
        </w:tc>
        <w:tc>
          <w:tcPr>
            <w:tcW w:w="633" w:type="pct"/>
            <w:tcBorders>
              <w:top w:val="nil"/>
              <w:left w:val="nil"/>
              <w:bottom w:val="nil"/>
              <w:right w:val="nil"/>
            </w:tcBorders>
            <w:shd w:val="clear" w:color="000000" w:fill="FFFFFF"/>
            <w:vAlign w:val="bottom"/>
          </w:tcPr>
          <w:p w14:paraId="6ADD340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1,680</w:t>
            </w:r>
          </w:p>
        </w:tc>
        <w:tc>
          <w:tcPr>
            <w:tcW w:w="305" w:type="pct"/>
            <w:tcBorders>
              <w:top w:val="nil"/>
              <w:left w:val="nil"/>
              <w:bottom w:val="nil"/>
              <w:right w:val="nil"/>
            </w:tcBorders>
            <w:shd w:val="clear" w:color="000000" w:fill="FFFFFF"/>
            <w:vAlign w:val="bottom"/>
          </w:tcPr>
          <w:p w14:paraId="4321D7D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04634C1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993</w:t>
            </w:r>
          </w:p>
        </w:tc>
      </w:tr>
      <w:tr w:rsidR="00717BA5" w:rsidRPr="00717BA5" w14:paraId="7190ABF5" w14:textId="77777777" w:rsidTr="00F0752D">
        <w:trPr>
          <w:trHeight w:val="20"/>
        </w:trPr>
        <w:tc>
          <w:tcPr>
            <w:tcW w:w="3424" w:type="pct"/>
            <w:tcBorders>
              <w:top w:val="nil"/>
              <w:left w:val="nil"/>
              <w:bottom w:val="nil"/>
              <w:right w:val="nil"/>
            </w:tcBorders>
            <w:shd w:val="clear" w:color="000000" w:fill="FFFFFF"/>
            <w:vAlign w:val="bottom"/>
          </w:tcPr>
          <w:p w14:paraId="32A78DE7"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Services Industry</w:t>
            </w:r>
          </w:p>
        </w:tc>
        <w:tc>
          <w:tcPr>
            <w:tcW w:w="633" w:type="pct"/>
            <w:tcBorders>
              <w:top w:val="nil"/>
              <w:left w:val="nil"/>
              <w:bottom w:val="nil"/>
              <w:right w:val="nil"/>
            </w:tcBorders>
            <w:shd w:val="clear" w:color="000000" w:fill="FFFFFF"/>
            <w:vAlign w:val="bottom"/>
          </w:tcPr>
          <w:p w14:paraId="60FBB56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172</w:t>
            </w:r>
          </w:p>
        </w:tc>
        <w:tc>
          <w:tcPr>
            <w:tcW w:w="305" w:type="pct"/>
            <w:tcBorders>
              <w:top w:val="nil"/>
              <w:left w:val="nil"/>
              <w:bottom w:val="nil"/>
              <w:right w:val="nil"/>
            </w:tcBorders>
            <w:shd w:val="clear" w:color="000000" w:fill="FFFFFF"/>
            <w:vAlign w:val="bottom"/>
          </w:tcPr>
          <w:p w14:paraId="336B0C2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2CBD346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163</w:t>
            </w:r>
          </w:p>
        </w:tc>
      </w:tr>
      <w:tr w:rsidR="00717BA5" w:rsidRPr="00717BA5" w14:paraId="24B6961A" w14:textId="77777777" w:rsidTr="00F0752D">
        <w:trPr>
          <w:trHeight w:val="20"/>
        </w:trPr>
        <w:tc>
          <w:tcPr>
            <w:tcW w:w="3424" w:type="pct"/>
            <w:tcBorders>
              <w:top w:val="nil"/>
              <w:left w:val="nil"/>
              <w:bottom w:val="nil"/>
              <w:right w:val="nil"/>
            </w:tcBorders>
            <w:shd w:val="clear" w:color="000000" w:fill="FFFFFF"/>
            <w:vAlign w:val="bottom"/>
          </w:tcPr>
          <w:p w14:paraId="5621D3F5"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Community Sector</w:t>
            </w:r>
          </w:p>
        </w:tc>
        <w:tc>
          <w:tcPr>
            <w:tcW w:w="633" w:type="pct"/>
            <w:tcBorders>
              <w:top w:val="nil"/>
              <w:left w:val="nil"/>
              <w:right w:val="nil"/>
            </w:tcBorders>
            <w:shd w:val="clear" w:color="000000" w:fill="FFFFFF"/>
            <w:vAlign w:val="bottom"/>
          </w:tcPr>
          <w:p w14:paraId="6ACD44E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1,247</w:t>
            </w:r>
          </w:p>
        </w:tc>
        <w:tc>
          <w:tcPr>
            <w:tcW w:w="305" w:type="pct"/>
            <w:tcBorders>
              <w:top w:val="nil"/>
              <w:left w:val="nil"/>
              <w:right w:val="nil"/>
            </w:tcBorders>
            <w:shd w:val="clear" w:color="000000" w:fill="FFFFFF"/>
            <w:vAlign w:val="bottom"/>
          </w:tcPr>
          <w:p w14:paraId="5FD854A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right w:val="nil"/>
            </w:tcBorders>
            <w:shd w:val="clear" w:color="000000" w:fill="FFFFFF"/>
            <w:noWrap/>
            <w:vAlign w:val="bottom"/>
          </w:tcPr>
          <w:p w14:paraId="0933D67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918</w:t>
            </w:r>
          </w:p>
        </w:tc>
      </w:tr>
      <w:tr w:rsidR="00717BA5" w:rsidRPr="00717BA5" w14:paraId="617833F6" w14:textId="77777777" w:rsidTr="00F0752D">
        <w:trPr>
          <w:trHeight w:val="20"/>
        </w:trPr>
        <w:tc>
          <w:tcPr>
            <w:tcW w:w="3424" w:type="pct"/>
            <w:tcBorders>
              <w:left w:val="nil"/>
              <w:right w:val="nil"/>
            </w:tcBorders>
            <w:shd w:val="clear" w:color="000000" w:fill="FFFFFF"/>
            <w:vAlign w:val="bottom"/>
          </w:tcPr>
          <w:p w14:paraId="0BA93040"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Security Industry</w:t>
            </w:r>
          </w:p>
        </w:tc>
        <w:tc>
          <w:tcPr>
            <w:tcW w:w="633" w:type="pct"/>
            <w:tcBorders>
              <w:left w:val="nil"/>
              <w:bottom w:val="single" w:sz="4" w:space="0" w:color="auto"/>
              <w:right w:val="nil"/>
            </w:tcBorders>
            <w:shd w:val="clear" w:color="000000" w:fill="FFFFFF"/>
            <w:vAlign w:val="bottom"/>
          </w:tcPr>
          <w:p w14:paraId="74ACC1B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51</w:t>
            </w:r>
          </w:p>
        </w:tc>
        <w:tc>
          <w:tcPr>
            <w:tcW w:w="305" w:type="pct"/>
            <w:tcBorders>
              <w:left w:val="nil"/>
              <w:right w:val="nil"/>
            </w:tcBorders>
            <w:shd w:val="clear" w:color="000000" w:fill="FFFFFF"/>
            <w:vAlign w:val="bottom"/>
          </w:tcPr>
          <w:p w14:paraId="228F973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left w:val="nil"/>
              <w:bottom w:val="single" w:sz="4" w:space="0" w:color="auto"/>
              <w:right w:val="nil"/>
            </w:tcBorders>
            <w:shd w:val="clear" w:color="000000" w:fill="FFFFFF"/>
            <w:noWrap/>
            <w:vAlign w:val="bottom"/>
          </w:tcPr>
          <w:p w14:paraId="79A8F2D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52</w:t>
            </w:r>
          </w:p>
        </w:tc>
      </w:tr>
      <w:tr w:rsidR="00717BA5" w:rsidRPr="00717BA5" w14:paraId="5EF90D7D" w14:textId="77777777" w:rsidTr="00F0752D">
        <w:trPr>
          <w:trHeight w:val="20"/>
        </w:trPr>
        <w:tc>
          <w:tcPr>
            <w:tcW w:w="3424" w:type="pct"/>
            <w:tcBorders>
              <w:left w:val="nil"/>
              <w:right w:val="nil"/>
            </w:tcBorders>
            <w:shd w:val="clear" w:color="000000" w:fill="FFFFFF"/>
            <w:vAlign w:val="bottom"/>
          </w:tcPr>
          <w:p w14:paraId="5B6E3DE8"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33" w:type="pct"/>
            <w:tcBorders>
              <w:top w:val="single" w:sz="4" w:space="0" w:color="auto"/>
              <w:left w:val="nil"/>
              <w:bottom w:val="single" w:sz="4" w:space="0" w:color="auto"/>
              <w:right w:val="nil"/>
            </w:tcBorders>
            <w:shd w:val="clear" w:color="000000" w:fill="FFFFFF"/>
            <w:vAlign w:val="bottom"/>
          </w:tcPr>
          <w:p w14:paraId="2F49C97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3,150</w:t>
            </w:r>
          </w:p>
        </w:tc>
        <w:tc>
          <w:tcPr>
            <w:tcW w:w="305" w:type="pct"/>
            <w:tcBorders>
              <w:left w:val="nil"/>
              <w:right w:val="nil"/>
            </w:tcBorders>
            <w:shd w:val="clear" w:color="000000" w:fill="FFFFFF"/>
            <w:vAlign w:val="bottom"/>
          </w:tcPr>
          <w:p w14:paraId="3CC1DDE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37" w:type="pct"/>
            <w:tcBorders>
              <w:top w:val="single" w:sz="4" w:space="0" w:color="auto"/>
              <w:left w:val="nil"/>
              <w:bottom w:val="single" w:sz="4" w:space="0" w:color="auto"/>
              <w:right w:val="nil"/>
            </w:tcBorders>
            <w:shd w:val="clear" w:color="000000" w:fill="FFFFFF"/>
            <w:noWrap/>
            <w:vAlign w:val="bottom"/>
          </w:tcPr>
          <w:p w14:paraId="746B99D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2,126</w:t>
            </w:r>
          </w:p>
        </w:tc>
      </w:tr>
      <w:tr w:rsidR="00717BA5" w:rsidRPr="00717BA5" w14:paraId="601AD205" w14:textId="77777777" w:rsidTr="00F0752D">
        <w:trPr>
          <w:trHeight w:val="20"/>
        </w:trPr>
        <w:tc>
          <w:tcPr>
            <w:tcW w:w="3424" w:type="pct"/>
            <w:tcBorders>
              <w:top w:val="nil"/>
              <w:left w:val="nil"/>
              <w:bottom w:val="nil"/>
              <w:right w:val="nil"/>
            </w:tcBorders>
            <w:shd w:val="clear" w:color="000000" w:fill="FFFFFF"/>
            <w:vAlign w:val="bottom"/>
          </w:tcPr>
          <w:p w14:paraId="13876C86"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Other Creditors and Accruals</w:t>
            </w:r>
          </w:p>
        </w:tc>
        <w:tc>
          <w:tcPr>
            <w:tcW w:w="633" w:type="pct"/>
            <w:tcBorders>
              <w:top w:val="nil"/>
              <w:left w:val="nil"/>
              <w:bottom w:val="nil"/>
              <w:right w:val="nil"/>
            </w:tcBorders>
            <w:shd w:val="clear" w:color="000000" w:fill="FFFFFF"/>
            <w:vAlign w:val="bottom"/>
          </w:tcPr>
          <w:p w14:paraId="4D5B0AA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top w:val="nil"/>
              <w:left w:val="nil"/>
              <w:bottom w:val="nil"/>
              <w:right w:val="nil"/>
            </w:tcBorders>
            <w:shd w:val="clear" w:color="000000" w:fill="FFFFFF"/>
            <w:vAlign w:val="bottom"/>
          </w:tcPr>
          <w:p w14:paraId="38B558F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202254C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F8AA3E1" w14:textId="77777777" w:rsidTr="00F0752D">
        <w:trPr>
          <w:trHeight w:val="20"/>
        </w:trPr>
        <w:tc>
          <w:tcPr>
            <w:tcW w:w="3424" w:type="pct"/>
            <w:tcBorders>
              <w:top w:val="nil"/>
              <w:left w:val="nil"/>
              <w:bottom w:val="nil"/>
              <w:right w:val="nil"/>
            </w:tcBorders>
            <w:shd w:val="clear" w:color="000000" w:fill="FFFFFF"/>
            <w:vAlign w:val="bottom"/>
          </w:tcPr>
          <w:p w14:paraId="7FF7FC74"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Building and Construction Industry</w:t>
            </w:r>
          </w:p>
        </w:tc>
        <w:tc>
          <w:tcPr>
            <w:tcW w:w="633" w:type="pct"/>
            <w:tcBorders>
              <w:top w:val="nil"/>
              <w:left w:val="nil"/>
              <w:bottom w:val="nil"/>
              <w:right w:val="nil"/>
            </w:tcBorders>
            <w:shd w:val="clear" w:color="000000" w:fill="FFFFFF"/>
            <w:vAlign w:val="bottom"/>
          </w:tcPr>
          <w:p w14:paraId="679CEAE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109</w:t>
            </w:r>
          </w:p>
        </w:tc>
        <w:tc>
          <w:tcPr>
            <w:tcW w:w="305" w:type="pct"/>
            <w:tcBorders>
              <w:top w:val="nil"/>
              <w:left w:val="nil"/>
              <w:bottom w:val="nil"/>
              <w:right w:val="nil"/>
            </w:tcBorders>
            <w:shd w:val="clear" w:color="000000" w:fill="FFFFFF"/>
            <w:vAlign w:val="bottom"/>
          </w:tcPr>
          <w:p w14:paraId="09EC3DA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470680D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197</w:t>
            </w:r>
          </w:p>
        </w:tc>
      </w:tr>
      <w:tr w:rsidR="00717BA5" w:rsidRPr="00717BA5" w14:paraId="6FCD4BFD" w14:textId="77777777" w:rsidTr="00F0752D">
        <w:trPr>
          <w:trHeight w:val="20"/>
        </w:trPr>
        <w:tc>
          <w:tcPr>
            <w:tcW w:w="3424" w:type="pct"/>
            <w:tcBorders>
              <w:top w:val="nil"/>
              <w:left w:val="nil"/>
              <w:bottom w:val="nil"/>
              <w:right w:val="nil"/>
            </w:tcBorders>
            <w:shd w:val="clear" w:color="000000" w:fill="FFFFFF"/>
            <w:vAlign w:val="bottom"/>
          </w:tcPr>
          <w:p w14:paraId="64BDE9C5"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Services Industry</w:t>
            </w:r>
          </w:p>
        </w:tc>
        <w:tc>
          <w:tcPr>
            <w:tcW w:w="633" w:type="pct"/>
            <w:tcBorders>
              <w:top w:val="nil"/>
              <w:left w:val="nil"/>
              <w:bottom w:val="nil"/>
              <w:right w:val="nil"/>
            </w:tcBorders>
            <w:shd w:val="clear" w:color="000000" w:fill="FFFFFF"/>
            <w:vAlign w:val="bottom"/>
          </w:tcPr>
          <w:p w14:paraId="64BE0E2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74</w:t>
            </w:r>
          </w:p>
        </w:tc>
        <w:tc>
          <w:tcPr>
            <w:tcW w:w="305" w:type="pct"/>
            <w:tcBorders>
              <w:top w:val="nil"/>
              <w:left w:val="nil"/>
              <w:bottom w:val="nil"/>
              <w:right w:val="nil"/>
            </w:tcBorders>
            <w:shd w:val="clear" w:color="000000" w:fill="FFFFFF"/>
            <w:vAlign w:val="bottom"/>
          </w:tcPr>
          <w:p w14:paraId="6A318AA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09A0905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58</w:t>
            </w:r>
          </w:p>
        </w:tc>
      </w:tr>
      <w:tr w:rsidR="00717BA5" w:rsidRPr="00717BA5" w14:paraId="1FE44BC1" w14:textId="77777777" w:rsidTr="00F0752D">
        <w:trPr>
          <w:trHeight w:val="20"/>
        </w:trPr>
        <w:tc>
          <w:tcPr>
            <w:tcW w:w="3424" w:type="pct"/>
            <w:tcBorders>
              <w:top w:val="nil"/>
              <w:left w:val="nil"/>
              <w:bottom w:val="nil"/>
              <w:right w:val="nil"/>
            </w:tcBorders>
            <w:shd w:val="clear" w:color="000000" w:fill="FFFFFF"/>
            <w:vAlign w:val="bottom"/>
          </w:tcPr>
          <w:p w14:paraId="31E91D93"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Community Sector</w:t>
            </w:r>
          </w:p>
        </w:tc>
        <w:tc>
          <w:tcPr>
            <w:tcW w:w="633" w:type="pct"/>
            <w:tcBorders>
              <w:top w:val="nil"/>
              <w:left w:val="nil"/>
              <w:bottom w:val="nil"/>
              <w:right w:val="nil"/>
            </w:tcBorders>
            <w:shd w:val="clear" w:color="000000" w:fill="FFFFFF"/>
            <w:vAlign w:val="bottom"/>
          </w:tcPr>
          <w:p w14:paraId="5720633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108</w:t>
            </w:r>
          </w:p>
        </w:tc>
        <w:tc>
          <w:tcPr>
            <w:tcW w:w="305" w:type="pct"/>
            <w:tcBorders>
              <w:top w:val="nil"/>
              <w:left w:val="nil"/>
              <w:bottom w:val="nil"/>
              <w:right w:val="nil"/>
            </w:tcBorders>
            <w:shd w:val="clear" w:color="000000" w:fill="FFFFFF"/>
            <w:vAlign w:val="bottom"/>
          </w:tcPr>
          <w:p w14:paraId="108A6A5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291EDBD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120</w:t>
            </w:r>
          </w:p>
        </w:tc>
      </w:tr>
      <w:tr w:rsidR="00717BA5" w:rsidRPr="00717BA5" w14:paraId="12838493" w14:textId="77777777" w:rsidTr="00F0752D">
        <w:trPr>
          <w:trHeight w:val="20"/>
        </w:trPr>
        <w:tc>
          <w:tcPr>
            <w:tcW w:w="3424" w:type="pct"/>
            <w:tcBorders>
              <w:top w:val="nil"/>
              <w:left w:val="nil"/>
              <w:bottom w:val="nil"/>
              <w:right w:val="nil"/>
            </w:tcBorders>
            <w:shd w:val="clear" w:color="000000" w:fill="FFFFFF"/>
            <w:vAlign w:val="bottom"/>
          </w:tcPr>
          <w:p w14:paraId="143AE8A2"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Security Industry</w:t>
            </w:r>
          </w:p>
        </w:tc>
        <w:tc>
          <w:tcPr>
            <w:tcW w:w="633" w:type="pct"/>
            <w:tcBorders>
              <w:top w:val="nil"/>
              <w:left w:val="nil"/>
              <w:bottom w:val="nil"/>
              <w:right w:val="nil"/>
            </w:tcBorders>
            <w:shd w:val="clear" w:color="000000" w:fill="FFFFFF"/>
            <w:vAlign w:val="bottom"/>
          </w:tcPr>
          <w:p w14:paraId="32FB473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20</w:t>
            </w:r>
          </w:p>
        </w:tc>
        <w:tc>
          <w:tcPr>
            <w:tcW w:w="305" w:type="pct"/>
            <w:tcBorders>
              <w:top w:val="nil"/>
              <w:left w:val="nil"/>
              <w:bottom w:val="nil"/>
              <w:right w:val="nil"/>
            </w:tcBorders>
            <w:shd w:val="clear" w:color="000000" w:fill="FFFFFF"/>
            <w:vAlign w:val="bottom"/>
          </w:tcPr>
          <w:p w14:paraId="6CE739C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7DA087B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28</w:t>
            </w:r>
          </w:p>
        </w:tc>
      </w:tr>
      <w:tr w:rsidR="00717BA5" w:rsidRPr="00717BA5" w14:paraId="003E114C" w14:textId="77777777" w:rsidTr="00F0752D">
        <w:trPr>
          <w:trHeight w:val="20"/>
        </w:trPr>
        <w:tc>
          <w:tcPr>
            <w:tcW w:w="3424" w:type="pct"/>
            <w:tcBorders>
              <w:left w:val="nil"/>
              <w:right w:val="nil"/>
            </w:tcBorders>
            <w:shd w:val="clear" w:color="000000" w:fill="FFFFFF"/>
            <w:vAlign w:val="bottom"/>
          </w:tcPr>
          <w:p w14:paraId="5A81B013"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33" w:type="pct"/>
            <w:tcBorders>
              <w:top w:val="single" w:sz="4" w:space="0" w:color="auto"/>
              <w:left w:val="nil"/>
              <w:bottom w:val="single" w:sz="4" w:space="0" w:color="auto"/>
              <w:right w:val="nil"/>
            </w:tcBorders>
            <w:shd w:val="clear" w:color="000000" w:fill="FFFFFF"/>
            <w:vAlign w:val="bottom"/>
          </w:tcPr>
          <w:p w14:paraId="3C4CBD5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311</w:t>
            </w:r>
          </w:p>
        </w:tc>
        <w:tc>
          <w:tcPr>
            <w:tcW w:w="305" w:type="pct"/>
            <w:tcBorders>
              <w:left w:val="nil"/>
              <w:right w:val="nil"/>
            </w:tcBorders>
            <w:shd w:val="clear" w:color="000000" w:fill="FFFFFF"/>
            <w:vAlign w:val="bottom"/>
          </w:tcPr>
          <w:p w14:paraId="670896C8" w14:textId="77777777" w:rsidR="00717BA5" w:rsidRPr="00717BA5" w:rsidRDefault="00717BA5" w:rsidP="00717BA5">
            <w:pPr>
              <w:spacing w:after="0" w:line="240" w:lineRule="auto"/>
              <w:jc w:val="right"/>
              <w:rPr>
                <w:rFonts w:ascii="Arial" w:eastAsia="Times New Roman" w:hAnsi="Arial" w:cs="Arial"/>
                <w:b/>
                <w:color w:val="auto"/>
                <w:sz w:val="18"/>
                <w:szCs w:val="18"/>
                <w:highlight w:val="yellow"/>
                <w:lang w:val="en-AU"/>
              </w:rPr>
            </w:pPr>
          </w:p>
        </w:tc>
        <w:tc>
          <w:tcPr>
            <w:tcW w:w="637" w:type="pct"/>
            <w:tcBorders>
              <w:top w:val="single" w:sz="4" w:space="0" w:color="auto"/>
              <w:left w:val="nil"/>
              <w:bottom w:val="single" w:sz="4" w:space="0" w:color="auto"/>
              <w:right w:val="nil"/>
            </w:tcBorders>
            <w:shd w:val="clear" w:color="000000" w:fill="FFFFFF"/>
            <w:noWrap/>
            <w:vAlign w:val="bottom"/>
          </w:tcPr>
          <w:p w14:paraId="4F8D713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403</w:t>
            </w:r>
          </w:p>
        </w:tc>
      </w:tr>
      <w:tr w:rsidR="00717BA5" w:rsidRPr="00717BA5" w14:paraId="173D833B" w14:textId="77777777" w:rsidTr="00F0752D">
        <w:trPr>
          <w:trHeight w:val="20"/>
        </w:trPr>
        <w:tc>
          <w:tcPr>
            <w:tcW w:w="3424" w:type="pct"/>
            <w:tcBorders>
              <w:top w:val="nil"/>
              <w:left w:val="nil"/>
              <w:right w:val="nil"/>
            </w:tcBorders>
            <w:shd w:val="clear" w:color="000000" w:fill="FFFFFF"/>
            <w:vAlign w:val="bottom"/>
          </w:tcPr>
          <w:p w14:paraId="682A45CE"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Payables</w:t>
            </w:r>
          </w:p>
        </w:tc>
        <w:tc>
          <w:tcPr>
            <w:tcW w:w="633" w:type="pct"/>
            <w:tcBorders>
              <w:top w:val="single" w:sz="4" w:space="0" w:color="auto"/>
              <w:left w:val="nil"/>
              <w:bottom w:val="double" w:sz="4" w:space="0" w:color="auto"/>
              <w:right w:val="nil"/>
            </w:tcBorders>
            <w:shd w:val="clear" w:color="000000" w:fill="FFFFFF"/>
            <w:vAlign w:val="bottom"/>
          </w:tcPr>
          <w:p w14:paraId="38C4EEB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3,460</w:t>
            </w:r>
          </w:p>
        </w:tc>
        <w:tc>
          <w:tcPr>
            <w:tcW w:w="305" w:type="pct"/>
            <w:tcBorders>
              <w:top w:val="nil"/>
              <w:left w:val="nil"/>
              <w:right w:val="nil"/>
            </w:tcBorders>
            <w:shd w:val="clear" w:color="000000" w:fill="FFFFFF"/>
            <w:vAlign w:val="bottom"/>
          </w:tcPr>
          <w:p w14:paraId="7605D20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37" w:type="pct"/>
            <w:tcBorders>
              <w:top w:val="single" w:sz="4" w:space="0" w:color="auto"/>
              <w:left w:val="nil"/>
              <w:bottom w:val="double" w:sz="4" w:space="0" w:color="auto"/>
              <w:right w:val="nil"/>
            </w:tcBorders>
            <w:shd w:val="clear" w:color="000000" w:fill="FFFFFF"/>
            <w:noWrap/>
            <w:vAlign w:val="bottom"/>
          </w:tcPr>
          <w:p w14:paraId="5856DBD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2,529</w:t>
            </w:r>
          </w:p>
        </w:tc>
      </w:tr>
    </w:tbl>
    <w:p w14:paraId="2DE02F06" w14:textId="77777777" w:rsidR="00717BA5" w:rsidRPr="00717BA5" w:rsidRDefault="00717BA5" w:rsidP="00717BA5">
      <w:pPr>
        <w:spacing w:after="120" w:line="240" w:lineRule="auto"/>
        <w:jc w:val="both"/>
        <w:rPr>
          <w:rFonts w:ascii="Arial" w:eastAsia="Times New Roman" w:hAnsi="Arial" w:cs="Arial"/>
          <w:bCs/>
          <w:color w:val="auto"/>
          <w:sz w:val="18"/>
          <w:szCs w:val="18"/>
          <w:lang w:val="en-AU"/>
        </w:rPr>
      </w:pPr>
    </w:p>
    <w:p w14:paraId="0C78C2B0"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No Payables are overdue.</w:t>
      </w:r>
    </w:p>
    <w:p w14:paraId="0FD194AF" w14:textId="77777777" w:rsidR="00717BA5" w:rsidRPr="00717BA5" w:rsidRDefault="00717BA5" w:rsidP="00717BA5">
      <w:pPr>
        <w:spacing w:after="0" w:line="240" w:lineRule="auto"/>
        <w:rPr>
          <w:rFonts w:ascii="Arial" w:eastAsia="SimSun" w:hAnsi="Arial" w:cs="Arial"/>
          <w:color w:val="auto"/>
          <w:lang w:val="en-AU" w:eastAsia="en-US"/>
        </w:rPr>
      </w:pPr>
      <w:r w:rsidRPr="00717BA5">
        <w:rPr>
          <w:rFonts w:ascii="Arial" w:eastAsia="SimSun" w:hAnsi="Arial" w:cs="Arial"/>
          <w:color w:val="auto"/>
          <w:lang w:val="en-AU" w:eastAsia="en-US"/>
        </w:rPr>
        <w:br w:type="page"/>
      </w:r>
    </w:p>
    <w:p w14:paraId="7641C0A2" w14:textId="77777777" w:rsidR="00717BA5" w:rsidRPr="00717BA5" w:rsidRDefault="00717BA5" w:rsidP="00717BA5">
      <w:pPr>
        <w:keepNext/>
        <w:spacing w:after="120" w:line="240" w:lineRule="auto"/>
        <w:jc w:val="both"/>
        <w:outlineLvl w:val="1"/>
        <w:rPr>
          <w:rFonts w:ascii="Arial" w:eastAsia="Times New Roman" w:hAnsi="Arial" w:cs="Arial"/>
          <w:b/>
          <w:bCs/>
          <w:color w:val="auto"/>
          <w:sz w:val="24"/>
          <w:szCs w:val="24"/>
          <w:lang w:val="en-AU"/>
        </w:rPr>
      </w:pPr>
    </w:p>
    <w:p w14:paraId="5387F67E" w14:textId="77777777" w:rsidR="00717BA5" w:rsidRPr="00717BA5" w:rsidRDefault="00717BA5" w:rsidP="00B8389F">
      <w:pPr>
        <w:pStyle w:val="Heading5"/>
      </w:pPr>
      <w:r w:rsidRPr="00717BA5">
        <w:t xml:space="preserve">NOTE 15. </w:t>
      </w:r>
      <w:r w:rsidRPr="00B8389F" w:rsidDel="008B0B4B">
        <w:t xml:space="preserve"> </w:t>
      </w:r>
      <w:r w:rsidRPr="00717BA5">
        <w:t>PROVISION FOR LONG SERVICE LEAVE BENEFITS</w:t>
      </w:r>
    </w:p>
    <w:p w14:paraId="2208327E" w14:textId="77777777" w:rsidR="00717BA5" w:rsidRPr="00717BA5" w:rsidRDefault="00717BA5" w:rsidP="00717BA5">
      <w:pPr>
        <w:adjustRightInd w:val="0"/>
        <w:snapToGrid w:val="0"/>
        <w:rPr>
          <w:rFonts w:ascii="Arial" w:eastAsia="Times New Roman" w:hAnsi="Arial" w:cs="Arial"/>
          <w:b/>
          <w:caps/>
          <w:color w:val="auto"/>
          <w:sz w:val="18"/>
          <w:szCs w:val="18"/>
          <w:lang w:val="en-AU"/>
        </w:rPr>
      </w:pPr>
      <w:r w:rsidRPr="00717BA5">
        <w:rPr>
          <w:rFonts w:ascii="Arial" w:eastAsia="Times New Roman" w:hAnsi="Arial" w:cs="Arial"/>
          <w:b/>
          <w:bCs/>
          <w:color w:val="auto"/>
          <w:lang w:val="en-AU"/>
        </w:rPr>
        <w:t>Description and Material Accounting Policies Relating to Provision for Long Service Leave Benefits</w:t>
      </w:r>
    </w:p>
    <w:p w14:paraId="2F85C2C6" w14:textId="77777777" w:rsidR="00717BA5" w:rsidRPr="00876582" w:rsidRDefault="00717BA5" w:rsidP="00876582">
      <w:pPr>
        <w:widowControl w:val="0"/>
        <w:numPr>
          <w:ilvl w:val="0"/>
          <w:numId w:val="103"/>
        </w:numPr>
        <w:tabs>
          <w:tab w:val="left" w:pos="323"/>
        </w:tabs>
        <w:spacing w:before="120" w:after="0" w:line="240" w:lineRule="auto"/>
        <w:ind w:hanging="322"/>
        <w:rPr>
          <w:rFonts w:ascii="Arial" w:eastAsia="Calibri" w:hAnsi="Arial" w:cs="Arial"/>
          <w:color w:val="auto"/>
          <w:lang w:eastAsia="en-US"/>
        </w:rPr>
      </w:pPr>
      <w:r w:rsidRPr="00876582">
        <w:rPr>
          <w:rFonts w:ascii="Arial" w:eastAsia="Calibri" w:hAnsi="Arial" w:cs="Arial"/>
          <w:i/>
          <w:color w:val="auto"/>
          <w:szCs w:val="22"/>
          <w:lang w:eastAsia="en-US"/>
        </w:rPr>
        <w:t>Building and Construction Industry</w:t>
      </w:r>
    </w:p>
    <w:p w14:paraId="398DE5D8" w14:textId="77777777" w:rsidR="00717BA5" w:rsidRPr="00876582" w:rsidRDefault="00717BA5" w:rsidP="006B1669">
      <w:r w:rsidRPr="00876582">
        <w:rPr>
          <w:lang w:val="en-AU"/>
        </w:rPr>
        <w:t>Employees</w:t>
      </w:r>
      <w:r w:rsidRPr="00876582">
        <w:rPr>
          <w:sz w:val="18"/>
          <w:szCs w:val="18"/>
        </w:rPr>
        <w:t xml:space="preserve"> </w:t>
      </w:r>
      <w:r w:rsidRPr="00876582">
        <w:t>and contractors in the construction industry who are registered with ACT Leave accrue 13 weeks</w:t>
      </w:r>
      <w:r w:rsidRPr="00876582">
        <w:rPr>
          <w:w w:val="99"/>
        </w:rPr>
        <w:t xml:space="preserve"> </w:t>
      </w:r>
      <w:r w:rsidRPr="00876582">
        <w:t>(i.e. 3 months) long service leave after 10 years of service in the building and construction industry for service after</w:t>
      </w:r>
      <w:r w:rsidRPr="00876582">
        <w:rPr>
          <w:w w:val="99"/>
        </w:rPr>
        <w:t xml:space="preserve"> </w:t>
      </w:r>
      <w:r w:rsidRPr="00876582">
        <w:t>1 January 1997. Prior to 1 January 1997, employees accrued 13 weeks leave after 15 years of service but payable as a pro</w:t>
      </w:r>
      <w:r w:rsidRPr="00876582">
        <w:noBreakHyphen/>
        <w:t>rata benefit after 10 years. Workers receive a credit of one year’s service for each 220 days worked. Payment in</w:t>
      </w:r>
      <w:r w:rsidRPr="00876582">
        <w:rPr>
          <w:w w:val="99"/>
        </w:rPr>
        <w:t xml:space="preserve"> </w:t>
      </w:r>
      <w:r w:rsidRPr="00876582">
        <w:t>lieu of leave may be claimed after 10 years of service or after 7 years (or 5 years for workers registered prior to 1 July 2012 and one year in the case of a contributing contractor) if the worker ceases employment with the purpose of leaving the industry permanently. A benefit is also available upon accrual of 5 years (or 55 days for workers registered prior to 1 July 2012) of service in the scheme in certain cases of the employee leaving the industry due to illness, injury, reaching retirement age (55 years), or death.</w:t>
      </w:r>
    </w:p>
    <w:p w14:paraId="13B766FD" w14:textId="77777777" w:rsidR="00717BA5" w:rsidRPr="00876582" w:rsidRDefault="00717BA5" w:rsidP="00876582">
      <w:pPr>
        <w:widowControl w:val="0"/>
        <w:numPr>
          <w:ilvl w:val="0"/>
          <w:numId w:val="103"/>
        </w:numPr>
        <w:tabs>
          <w:tab w:val="left" w:pos="323"/>
        </w:tabs>
        <w:spacing w:before="120" w:after="0" w:line="240" w:lineRule="auto"/>
        <w:ind w:hanging="322"/>
        <w:rPr>
          <w:rFonts w:ascii="Arial" w:eastAsia="Calibri" w:hAnsi="Arial" w:cs="Arial"/>
          <w:i/>
          <w:color w:val="auto"/>
          <w:lang w:eastAsia="en-US"/>
        </w:rPr>
      </w:pPr>
      <w:r w:rsidRPr="00876582">
        <w:rPr>
          <w:rFonts w:ascii="Arial" w:eastAsia="Calibri" w:hAnsi="Arial" w:cs="Arial"/>
          <w:i/>
          <w:color w:val="auto"/>
          <w:lang w:eastAsia="en-US"/>
        </w:rPr>
        <w:t>Services Industry</w:t>
      </w:r>
    </w:p>
    <w:p w14:paraId="7DF6B160" w14:textId="77777777" w:rsidR="00717BA5" w:rsidRPr="00876582" w:rsidRDefault="00717BA5" w:rsidP="00876582">
      <w:pPr>
        <w:adjustRightInd w:val="0"/>
        <w:snapToGrid w:val="0"/>
        <w:rPr>
          <w:rFonts w:ascii="Arial" w:eastAsia="Calibri" w:hAnsi="Arial" w:cs="Arial"/>
          <w:color w:val="auto"/>
        </w:rPr>
      </w:pPr>
      <w:r w:rsidRPr="00876582">
        <w:rPr>
          <w:rFonts w:ascii="Arial" w:eastAsia="Calibri" w:hAnsi="Arial" w:cs="Arial"/>
          <w:color w:val="auto"/>
          <w:lang w:val="en-AU"/>
        </w:rPr>
        <w:t>Employees</w:t>
      </w:r>
      <w:r w:rsidRPr="00876582">
        <w:rPr>
          <w:rFonts w:ascii="Arial" w:eastAsia="Calibri" w:hAnsi="Arial" w:cs="Arial"/>
          <w:color w:val="auto"/>
        </w:rPr>
        <w:t xml:space="preserve"> and contractors in the services (previously contract cleaning) industry who are registered with ACT Leave accrue 8.67 weeks</w:t>
      </w:r>
      <w:r w:rsidRPr="00876582">
        <w:rPr>
          <w:rFonts w:ascii="Arial" w:eastAsia="Calibri" w:hAnsi="Arial" w:cs="Arial"/>
          <w:color w:val="auto"/>
          <w:w w:val="99"/>
        </w:rPr>
        <w:t xml:space="preserve"> </w:t>
      </w:r>
      <w:r w:rsidRPr="00876582">
        <w:rPr>
          <w:rFonts w:ascii="Arial" w:eastAsia="Calibri" w:hAnsi="Arial" w:cs="Arial"/>
          <w:color w:val="auto"/>
        </w:rPr>
        <w:t>(i.e. 2 months) long service leave after 10 years of service in the industry. Employees receive a credit of one</w:t>
      </w:r>
      <w:r w:rsidRPr="00876582">
        <w:rPr>
          <w:rFonts w:ascii="Arial" w:eastAsia="Calibri" w:hAnsi="Arial" w:cs="Arial"/>
          <w:color w:val="auto"/>
          <w:w w:val="99"/>
        </w:rPr>
        <w:t xml:space="preserve"> </w:t>
      </w:r>
      <w:r w:rsidRPr="00876582">
        <w:rPr>
          <w:rFonts w:ascii="Arial" w:eastAsia="Calibri" w:hAnsi="Arial" w:cs="Arial"/>
          <w:color w:val="auto"/>
        </w:rPr>
        <w:t>year’s service for each 365 days of recognised service. Leave may be claimed on a pro-rata basis after accumulating</w:t>
      </w:r>
      <w:r w:rsidRPr="00876582">
        <w:rPr>
          <w:rFonts w:ascii="Arial" w:eastAsia="Calibri" w:hAnsi="Arial" w:cs="Arial"/>
          <w:color w:val="auto"/>
          <w:w w:val="99"/>
        </w:rPr>
        <w:t xml:space="preserve"> </w:t>
      </w:r>
      <w:r w:rsidRPr="00876582">
        <w:rPr>
          <w:rFonts w:ascii="Arial" w:eastAsia="Calibri" w:hAnsi="Arial" w:cs="Arial"/>
          <w:color w:val="auto"/>
        </w:rPr>
        <w:t>7 years of service in the scheme or 5 years of service if the worker ceases employment with the purpose of leaving the</w:t>
      </w:r>
      <w:r w:rsidRPr="00876582">
        <w:rPr>
          <w:rFonts w:ascii="Arial" w:eastAsia="Calibri" w:hAnsi="Arial" w:cs="Arial"/>
          <w:color w:val="auto"/>
          <w:w w:val="99"/>
        </w:rPr>
        <w:t xml:space="preserve"> </w:t>
      </w:r>
      <w:r w:rsidRPr="00876582">
        <w:rPr>
          <w:rFonts w:ascii="Arial" w:eastAsia="Calibri" w:hAnsi="Arial" w:cs="Arial"/>
          <w:color w:val="auto"/>
        </w:rPr>
        <w:t>industry permanently. A benefit is also available upon accrual of 5 years of service (or 55 days for workers</w:t>
      </w:r>
      <w:r w:rsidRPr="00876582">
        <w:rPr>
          <w:rFonts w:ascii="Arial" w:eastAsia="Calibri" w:hAnsi="Arial" w:cs="Arial"/>
          <w:color w:val="auto"/>
          <w:w w:val="99"/>
        </w:rPr>
        <w:t xml:space="preserve"> </w:t>
      </w:r>
      <w:r w:rsidRPr="00876582">
        <w:rPr>
          <w:rFonts w:ascii="Arial" w:eastAsia="Calibri" w:hAnsi="Arial" w:cs="Arial"/>
          <w:color w:val="auto"/>
        </w:rPr>
        <w:t>registered prior to 1 July 2012) in the scheme in certain cases of the employee permanently leaving the industry due</w:t>
      </w:r>
      <w:r w:rsidRPr="00876582">
        <w:rPr>
          <w:rFonts w:ascii="Arial" w:eastAsia="Calibri" w:hAnsi="Arial" w:cs="Arial"/>
          <w:color w:val="auto"/>
          <w:w w:val="99"/>
        </w:rPr>
        <w:t xml:space="preserve"> </w:t>
      </w:r>
      <w:r w:rsidRPr="00876582">
        <w:rPr>
          <w:rFonts w:ascii="Arial" w:eastAsia="Calibri" w:hAnsi="Arial" w:cs="Arial"/>
          <w:color w:val="auto"/>
        </w:rPr>
        <w:t>to illness, injury or at retirement age (55 years), or death.</w:t>
      </w:r>
    </w:p>
    <w:p w14:paraId="7BFFBC4A" w14:textId="77777777" w:rsidR="00717BA5" w:rsidRPr="00876582" w:rsidRDefault="00717BA5" w:rsidP="00876582">
      <w:pPr>
        <w:widowControl w:val="0"/>
        <w:numPr>
          <w:ilvl w:val="0"/>
          <w:numId w:val="103"/>
        </w:numPr>
        <w:tabs>
          <w:tab w:val="left" w:pos="323"/>
        </w:tabs>
        <w:spacing w:before="120" w:after="0" w:line="240" w:lineRule="auto"/>
        <w:ind w:hanging="322"/>
        <w:rPr>
          <w:rFonts w:ascii="Arial" w:eastAsia="Calibri" w:hAnsi="Arial" w:cs="Arial"/>
          <w:i/>
          <w:color w:val="auto"/>
          <w:lang w:eastAsia="en-US"/>
        </w:rPr>
      </w:pPr>
      <w:r w:rsidRPr="00876582">
        <w:rPr>
          <w:rFonts w:ascii="Arial" w:eastAsia="Calibri" w:hAnsi="Arial" w:cs="Arial"/>
          <w:i/>
          <w:color w:val="auto"/>
          <w:lang w:eastAsia="en-US"/>
        </w:rPr>
        <w:t>Community Sector</w:t>
      </w:r>
    </w:p>
    <w:p w14:paraId="1CE74C02" w14:textId="77777777" w:rsidR="00717BA5" w:rsidRPr="00876582" w:rsidRDefault="00717BA5" w:rsidP="00876582">
      <w:pPr>
        <w:adjustRightInd w:val="0"/>
        <w:snapToGrid w:val="0"/>
        <w:rPr>
          <w:rFonts w:ascii="Arial" w:eastAsia="Calibri" w:hAnsi="Arial" w:cs="Arial"/>
          <w:color w:val="auto"/>
        </w:rPr>
      </w:pPr>
      <w:r w:rsidRPr="00876582">
        <w:rPr>
          <w:rFonts w:ascii="Arial" w:eastAsia="Times New Roman" w:hAnsi="Arial" w:cs="Arial"/>
          <w:color w:val="auto"/>
        </w:rPr>
        <w:t>Employees</w:t>
      </w:r>
      <w:r w:rsidRPr="00876582">
        <w:rPr>
          <w:rFonts w:ascii="Arial" w:eastAsia="Calibri" w:hAnsi="Arial" w:cs="Arial"/>
          <w:color w:val="auto"/>
        </w:rPr>
        <w:t xml:space="preserve"> and contractors in the community sector who are registered with ACT Leave accrue 8.67 weeks</w:t>
      </w:r>
      <w:r w:rsidRPr="00876582">
        <w:rPr>
          <w:rFonts w:ascii="Arial" w:eastAsia="Calibri" w:hAnsi="Arial" w:cs="Arial"/>
          <w:color w:val="auto"/>
          <w:w w:val="99"/>
        </w:rPr>
        <w:t xml:space="preserve"> </w:t>
      </w:r>
      <w:r w:rsidRPr="00876582">
        <w:rPr>
          <w:rFonts w:ascii="Arial" w:eastAsia="Calibri" w:hAnsi="Arial" w:cs="Arial"/>
          <w:color w:val="auto"/>
        </w:rPr>
        <w:t>(i.e. 2 months) long service leave after 10 years of service in the community sector industry. Employees receive a credit</w:t>
      </w:r>
      <w:r w:rsidRPr="00876582">
        <w:rPr>
          <w:rFonts w:ascii="Arial" w:eastAsia="Calibri" w:hAnsi="Arial" w:cs="Arial"/>
          <w:color w:val="auto"/>
          <w:w w:val="99"/>
        </w:rPr>
        <w:t xml:space="preserve"> </w:t>
      </w:r>
      <w:r w:rsidRPr="00876582">
        <w:rPr>
          <w:rFonts w:ascii="Arial" w:eastAsia="Calibri" w:hAnsi="Arial" w:cs="Arial"/>
          <w:color w:val="auto"/>
        </w:rPr>
        <w:t>of one year’s service for each 365 days of recognised service. Leave may be claimed on a pro-rata basis after</w:t>
      </w:r>
      <w:r w:rsidRPr="00876582">
        <w:rPr>
          <w:rFonts w:ascii="Arial" w:eastAsia="Calibri" w:hAnsi="Arial" w:cs="Arial"/>
          <w:color w:val="auto"/>
          <w:w w:val="99"/>
        </w:rPr>
        <w:t xml:space="preserve"> </w:t>
      </w:r>
      <w:r w:rsidRPr="00876582">
        <w:rPr>
          <w:rFonts w:ascii="Arial" w:eastAsia="Calibri" w:hAnsi="Arial" w:cs="Arial"/>
          <w:color w:val="auto"/>
        </w:rPr>
        <w:t>accumulating 5 years of service. A benefit is also available upon accrual of 5 years of service (or 55 days for workers registered prior to 1 July 2012) in the scheme in certain cases of the employee permanently leaving the</w:t>
      </w:r>
      <w:r w:rsidRPr="00876582">
        <w:rPr>
          <w:rFonts w:ascii="Arial" w:eastAsia="Calibri" w:hAnsi="Arial" w:cs="Arial"/>
          <w:color w:val="auto"/>
          <w:w w:val="99"/>
        </w:rPr>
        <w:t xml:space="preserve"> </w:t>
      </w:r>
      <w:r w:rsidRPr="00876582">
        <w:rPr>
          <w:rFonts w:ascii="Arial" w:eastAsia="Calibri" w:hAnsi="Arial" w:cs="Arial"/>
          <w:color w:val="auto"/>
        </w:rPr>
        <w:t>industry due to illness, injury or at retirement age (55 years), or death.</w:t>
      </w:r>
    </w:p>
    <w:p w14:paraId="705BBC92" w14:textId="77777777" w:rsidR="00717BA5" w:rsidRPr="00876582" w:rsidRDefault="00717BA5" w:rsidP="00876582">
      <w:pPr>
        <w:widowControl w:val="0"/>
        <w:numPr>
          <w:ilvl w:val="0"/>
          <w:numId w:val="103"/>
        </w:numPr>
        <w:tabs>
          <w:tab w:val="left" w:pos="323"/>
        </w:tabs>
        <w:spacing w:before="120" w:after="0" w:line="240" w:lineRule="auto"/>
        <w:ind w:hanging="322"/>
        <w:rPr>
          <w:rFonts w:ascii="Arial" w:eastAsia="Calibri" w:hAnsi="Arial" w:cs="Arial"/>
          <w:i/>
          <w:color w:val="auto"/>
          <w:lang w:eastAsia="en-US"/>
        </w:rPr>
      </w:pPr>
      <w:r w:rsidRPr="00876582">
        <w:rPr>
          <w:rFonts w:ascii="Arial" w:eastAsia="Calibri" w:hAnsi="Arial" w:cs="Arial"/>
          <w:i/>
          <w:color w:val="auto"/>
          <w:lang w:eastAsia="en-US"/>
        </w:rPr>
        <w:t>Security Industry</w:t>
      </w:r>
    </w:p>
    <w:p w14:paraId="0A5E10B3" w14:textId="77777777" w:rsidR="00717BA5" w:rsidRPr="00876582" w:rsidRDefault="00717BA5" w:rsidP="00876582">
      <w:pPr>
        <w:adjustRightInd w:val="0"/>
        <w:snapToGrid w:val="0"/>
        <w:rPr>
          <w:rFonts w:ascii="Arial" w:eastAsia="SimSun" w:hAnsi="Arial" w:cs="Arial"/>
          <w:color w:val="auto"/>
        </w:rPr>
      </w:pPr>
      <w:r w:rsidRPr="00876582">
        <w:rPr>
          <w:rFonts w:ascii="Arial" w:eastAsia="Calibri" w:hAnsi="Arial" w:cs="Arial"/>
          <w:color w:val="auto"/>
          <w:lang w:val="en-AU"/>
        </w:rPr>
        <w:t>Employees</w:t>
      </w:r>
      <w:r w:rsidRPr="00876582">
        <w:rPr>
          <w:rFonts w:ascii="Arial" w:eastAsia="Calibri" w:hAnsi="Arial" w:cs="Arial"/>
          <w:color w:val="auto"/>
        </w:rPr>
        <w:t xml:space="preserve"> and contractors in the security industry who are registered with ACT Leave accrue 8.67 weeks</w:t>
      </w:r>
      <w:r w:rsidRPr="00876582">
        <w:rPr>
          <w:rFonts w:ascii="Arial" w:eastAsia="Calibri" w:hAnsi="Arial" w:cs="Arial"/>
          <w:color w:val="auto"/>
          <w:w w:val="99"/>
        </w:rPr>
        <w:t xml:space="preserve"> </w:t>
      </w:r>
      <w:r w:rsidRPr="00876582">
        <w:rPr>
          <w:rFonts w:ascii="Arial" w:eastAsia="Calibri" w:hAnsi="Arial" w:cs="Arial"/>
          <w:color w:val="auto"/>
        </w:rPr>
        <w:t>(i.e. 2 months) long service leave after 10 years of service in the security industry. Employees receive a credit of one</w:t>
      </w:r>
      <w:r w:rsidRPr="00876582">
        <w:rPr>
          <w:rFonts w:ascii="Arial" w:eastAsia="Calibri" w:hAnsi="Arial" w:cs="Arial"/>
          <w:color w:val="auto"/>
          <w:w w:val="99"/>
        </w:rPr>
        <w:t xml:space="preserve"> </w:t>
      </w:r>
      <w:r w:rsidRPr="00876582">
        <w:rPr>
          <w:rFonts w:ascii="Arial" w:eastAsia="Calibri" w:hAnsi="Arial" w:cs="Arial"/>
          <w:color w:val="auto"/>
        </w:rPr>
        <w:t>year’s service for each 365 days of recognised service. Leave may be claimed on a pro-rata basis after accumulating 7</w:t>
      </w:r>
      <w:r w:rsidRPr="00876582">
        <w:rPr>
          <w:rFonts w:ascii="Arial" w:eastAsia="Calibri" w:hAnsi="Arial" w:cs="Arial"/>
          <w:color w:val="auto"/>
          <w:w w:val="99"/>
        </w:rPr>
        <w:t xml:space="preserve"> </w:t>
      </w:r>
      <w:r w:rsidRPr="00876582">
        <w:rPr>
          <w:rFonts w:ascii="Arial" w:eastAsia="Calibri" w:hAnsi="Arial" w:cs="Arial"/>
          <w:color w:val="auto"/>
        </w:rPr>
        <w:t>years of service or 5 years of service if the worker ceases employment with the purpose of leaving the</w:t>
      </w:r>
      <w:r w:rsidRPr="00876582">
        <w:rPr>
          <w:rFonts w:ascii="Arial" w:eastAsia="Calibri" w:hAnsi="Arial" w:cs="Arial"/>
          <w:color w:val="auto"/>
          <w:w w:val="99"/>
        </w:rPr>
        <w:t xml:space="preserve"> </w:t>
      </w:r>
      <w:r w:rsidRPr="00876582">
        <w:rPr>
          <w:rFonts w:ascii="Arial" w:eastAsia="Calibri" w:hAnsi="Arial" w:cs="Arial"/>
          <w:color w:val="auto"/>
        </w:rPr>
        <w:t>industry permanently from 11 May 2023. A benefit is also available upon accrual of 5 years of service in the scheme in certain cases of the employee permanently leaving the industry due to illness, injury or at retirement age (55 years), or death</w:t>
      </w:r>
      <w:r w:rsidRPr="00876582">
        <w:rPr>
          <w:rFonts w:ascii="Arial" w:eastAsia="SimSun" w:hAnsi="Arial" w:cs="Arial"/>
          <w:color w:val="auto"/>
        </w:rPr>
        <w:t>.</w:t>
      </w:r>
    </w:p>
    <w:p w14:paraId="55B3469E" w14:textId="77777777" w:rsidR="00717BA5" w:rsidRPr="00717BA5" w:rsidRDefault="00717BA5" w:rsidP="00717BA5">
      <w:pPr>
        <w:adjustRightInd w:val="0"/>
        <w:snapToGrid w:val="0"/>
        <w:rPr>
          <w:rFonts w:ascii="Arial" w:eastAsia="SimSun" w:hAnsi="Arial" w:cs="Arial"/>
          <w:color w:val="auto"/>
          <w:spacing w:val="-1"/>
        </w:rPr>
      </w:pPr>
    </w:p>
    <w:p w14:paraId="59A8FFF3" w14:textId="77777777" w:rsidR="00717BA5" w:rsidRPr="00717BA5" w:rsidRDefault="00717BA5" w:rsidP="00717BA5">
      <w:pPr>
        <w:adjustRightInd w:val="0"/>
        <w:snapToGrid w:val="0"/>
        <w:rPr>
          <w:rFonts w:ascii="Arial" w:eastAsia="SimSun" w:hAnsi="Arial" w:cs="Arial"/>
          <w:color w:val="auto"/>
          <w:spacing w:val="-1"/>
        </w:rPr>
      </w:pPr>
    </w:p>
    <w:p w14:paraId="43700457" w14:textId="77777777" w:rsidR="00717BA5" w:rsidRPr="00717BA5" w:rsidRDefault="00717BA5" w:rsidP="00717BA5">
      <w:pPr>
        <w:adjustRightInd w:val="0"/>
        <w:snapToGrid w:val="0"/>
        <w:rPr>
          <w:rFonts w:ascii="Arial" w:eastAsia="SimSun" w:hAnsi="Arial" w:cs="Arial"/>
          <w:color w:val="auto"/>
          <w:spacing w:val="-1"/>
        </w:rPr>
      </w:pPr>
    </w:p>
    <w:p w14:paraId="3B634922" w14:textId="77777777" w:rsidR="00717BA5" w:rsidRPr="00717BA5" w:rsidRDefault="00717BA5" w:rsidP="00717BA5">
      <w:pPr>
        <w:adjustRightInd w:val="0"/>
        <w:snapToGrid w:val="0"/>
        <w:rPr>
          <w:rFonts w:ascii="Arial" w:eastAsia="SimSun" w:hAnsi="Arial" w:cs="Arial"/>
          <w:color w:val="auto"/>
          <w:spacing w:val="-1"/>
        </w:rPr>
      </w:pPr>
    </w:p>
    <w:p w14:paraId="6AF97AC9" w14:textId="77777777" w:rsidR="00717BA5" w:rsidRPr="00717BA5" w:rsidRDefault="00717BA5" w:rsidP="00717BA5">
      <w:pPr>
        <w:adjustRightInd w:val="0"/>
        <w:snapToGrid w:val="0"/>
        <w:rPr>
          <w:rFonts w:ascii="Arial" w:eastAsia="SimSun" w:hAnsi="Arial" w:cs="Arial"/>
          <w:color w:val="auto"/>
          <w:spacing w:val="-1"/>
        </w:rPr>
      </w:pPr>
    </w:p>
    <w:p w14:paraId="7FE85E43" w14:textId="77777777" w:rsidR="00717BA5" w:rsidRPr="00717BA5" w:rsidRDefault="00717BA5" w:rsidP="00717BA5">
      <w:pPr>
        <w:adjustRightInd w:val="0"/>
        <w:snapToGrid w:val="0"/>
        <w:rPr>
          <w:rFonts w:ascii="Arial" w:eastAsia="SimSun" w:hAnsi="Arial" w:cs="Arial"/>
          <w:color w:val="auto"/>
          <w:spacing w:val="-1"/>
        </w:rPr>
      </w:pPr>
    </w:p>
    <w:p w14:paraId="067D559C" w14:textId="77777777" w:rsidR="0084377A" w:rsidRDefault="0084377A" w:rsidP="000A630C">
      <w:pPr>
        <w:keepNext/>
        <w:spacing w:after="120" w:line="240" w:lineRule="auto"/>
        <w:jc w:val="both"/>
        <w:outlineLvl w:val="1"/>
        <w:rPr>
          <w:rFonts w:ascii="Arial" w:eastAsia="Times New Roman" w:hAnsi="Arial" w:cs="Arial"/>
          <w:b/>
          <w:bCs/>
          <w:color w:val="auto"/>
          <w:sz w:val="24"/>
          <w:szCs w:val="24"/>
          <w:lang w:val="en-AU"/>
        </w:rPr>
      </w:pPr>
      <w:bookmarkStart w:id="105" w:name="_Toc240533520"/>
    </w:p>
    <w:p w14:paraId="10752A40" w14:textId="7A115881" w:rsidR="00717BA5" w:rsidRPr="00717BA5" w:rsidRDefault="00717BA5" w:rsidP="000A630C">
      <w:pPr>
        <w:keepNext/>
        <w:spacing w:after="120" w:line="240" w:lineRule="auto"/>
        <w:jc w:val="both"/>
        <w:outlineLvl w:val="1"/>
        <w:rPr>
          <w:rFonts w:ascii="Arial" w:eastAsia="Times New Roman" w:hAnsi="Arial" w:cs="Arial"/>
          <w:b/>
          <w:bCs/>
          <w:color w:val="auto"/>
          <w:sz w:val="24"/>
          <w:szCs w:val="24"/>
          <w:lang w:val="en-AU"/>
        </w:rPr>
      </w:pPr>
      <w:r w:rsidRPr="00717BA5">
        <w:rPr>
          <w:rFonts w:ascii="Arial" w:eastAsia="Times New Roman" w:hAnsi="Arial" w:cs="Arial"/>
          <w:b/>
          <w:bCs/>
          <w:color w:val="auto"/>
          <w:sz w:val="24"/>
          <w:szCs w:val="24"/>
          <w:lang w:val="en-AU"/>
        </w:rPr>
        <w:t xml:space="preserve">NOTE 15. </w:t>
      </w:r>
      <w:r w:rsidRPr="000A630C" w:rsidDel="008B0B4B">
        <w:rPr>
          <w:rFonts w:ascii="Arial" w:eastAsia="Times New Roman" w:hAnsi="Arial" w:cs="Arial"/>
          <w:b/>
          <w:bCs/>
          <w:color w:val="auto"/>
          <w:sz w:val="24"/>
          <w:szCs w:val="24"/>
          <w:lang w:val="en-AU"/>
        </w:rPr>
        <w:t xml:space="preserve"> </w:t>
      </w:r>
      <w:r w:rsidRPr="00717BA5">
        <w:rPr>
          <w:rFonts w:ascii="Arial" w:eastAsia="Times New Roman" w:hAnsi="Arial" w:cs="Arial"/>
          <w:b/>
          <w:bCs/>
          <w:color w:val="auto"/>
          <w:sz w:val="24"/>
          <w:szCs w:val="24"/>
          <w:lang w:val="en-AU"/>
        </w:rPr>
        <w:t>PROVISION FOR LONG SERVICE LEAVE BENEFITS - CONTINUED</w:t>
      </w:r>
      <w:bookmarkEnd w:id="105"/>
    </w:p>
    <w:p w14:paraId="79E2A11A" w14:textId="77777777" w:rsidR="00717BA5" w:rsidRPr="00717BA5" w:rsidRDefault="00717BA5" w:rsidP="00717BA5">
      <w:pPr>
        <w:widowControl w:val="0"/>
        <w:numPr>
          <w:ilvl w:val="0"/>
          <w:numId w:val="103"/>
        </w:numPr>
        <w:tabs>
          <w:tab w:val="left" w:pos="323"/>
        </w:tabs>
        <w:spacing w:before="120" w:after="0" w:line="240" w:lineRule="auto"/>
        <w:ind w:hanging="322"/>
        <w:jc w:val="both"/>
        <w:rPr>
          <w:rFonts w:ascii="Arial" w:eastAsia="Calibri" w:hAnsi="Arial" w:cs="Arial"/>
          <w:i/>
          <w:color w:val="auto"/>
          <w:lang w:eastAsia="en-US"/>
        </w:rPr>
      </w:pPr>
      <w:r w:rsidRPr="00717BA5">
        <w:rPr>
          <w:rFonts w:ascii="Arial" w:eastAsia="Calibri" w:hAnsi="Arial" w:cs="Arial"/>
          <w:i/>
          <w:color w:val="auto"/>
          <w:lang w:eastAsia="en-US"/>
        </w:rPr>
        <w:t>Accrued Long Service Leave Benefit Liability</w:t>
      </w:r>
    </w:p>
    <w:p w14:paraId="064B6A12" w14:textId="77777777" w:rsidR="00717BA5" w:rsidRPr="00086DD8" w:rsidRDefault="00717BA5" w:rsidP="00086DD8">
      <w:r w:rsidRPr="00086DD8">
        <w:rPr>
          <w:lang w:val="en-AU"/>
        </w:rPr>
        <w:t xml:space="preserve">The total provision for accrued long service leave benefits is estimated as the present value of all expected future payments which arise from the service of eligible workers up to the reporting date. The liability is calculated by </w:t>
      </w:r>
      <w:r w:rsidRPr="00086DD8">
        <w:t xml:space="preserve">ACT Leave’s actuary PricewaterhouseCoopers Securities Ltd using an actuarial valuation method that </w:t>
      </w:r>
      <w:r w:rsidRPr="00086DD8">
        <w:rPr>
          <w:bCs/>
          <w:iCs/>
        </w:rPr>
        <w:t>considers</w:t>
      </w:r>
      <w:r w:rsidRPr="00086DD8">
        <w:t xml:space="preserve"> assumptions of rates of departure from the industry, rates at which benefits are taken, mortality rates, increases in wages and rates of return on investment. Accrued long service leave is classified as a current liability in the Balance Sheet where ACT Leave does not have an unconditional right to defer the settlement of the liability for at least 12 months (i.e. the vested benefit). The remaining balance of the liability is classified as non-current in the balance sheet. In the context of a statutory scheme, this means the current liability is calculated on a conservative basis assuming all workers who have sufficient service to receive long service leave benefits, will claim their entitlements within the next 12 months.</w:t>
      </w:r>
    </w:p>
    <w:p w14:paraId="1630DF53" w14:textId="77777777" w:rsidR="00717BA5" w:rsidRPr="00086DD8" w:rsidRDefault="00717BA5" w:rsidP="00086DD8">
      <w:r w:rsidRPr="00086DD8">
        <w:rPr>
          <w:lang w:val="en-AU"/>
        </w:rPr>
        <w:t>ACT Leave</w:t>
      </w:r>
      <w:r w:rsidRPr="00086DD8">
        <w:t xml:space="preserve"> </w:t>
      </w:r>
      <w:proofErr w:type="spellStart"/>
      <w:r w:rsidRPr="00086DD8">
        <w:t>recognises</w:t>
      </w:r>
      <w:proofErr w:type="spellEnd"/>
      <w:r w:rsidRPr="00086DD8">
        <w:t xml:space="preserve"> total liability for accrued long service leave benefits based on an assessment performed by an</w:t>
      </w:r>
      <w:r w:rsidRPr="00086DD8">
        <w:rPr>
          <w:w w:val="99"/>
        </w:rPr>
        <w:t xml:space="preserve"> </w:t>
      </w:r>
      <w:r w:rsidRPr="00086DD8">
        <w:t>independent actuary PricewaterhouseCoopers Securities Ltd. The actuary estimates the liability using a complex model and a large number of assumptions that are based on historical information and the current profile of the registered participants. Following the review of the Investment Plan in 2023-24, the discount rate had been set at 6.0% p.a. in line with ACT Leave’s investment objective of 2.5% above AWOTE. The discount rate was reduced from 6.0% to 5.6% in the 2025-26 financial year following the review of the expected long-term return on investments. The demographic assumptions for each scheme were updated as per the experience review conducted as part of the triennial review at 30 June 2023, report dated 22 November 2023 with the exception of participation rates, that were updated following peer review of the triennial assumptions.</w:t>
      </w:r>
    </w:p>
    <w:p w14:paraId="6BF44220"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Leaving the industry rates are determined separately for three membership groups based on service as follows:</w:t>
      </w:r>
    </w:p>
    <w:p w14:paraId="1499B0B3" w14:textId="77777777" w:rsidR="00717BA5" w:rsidRPr="000A630C" w:rsidRDefault="00717BA5" w:rsidP="000A630C">
      <w:pPr>
        <w:pStyle w:val="ListBullet"/>
      </w:pPr>
      <w:r w:rsidRPr="000A630C">
        <w:t>Service in the last year: those who have actively worked in the last year</w:t>
      </w:r>
    </w:p>
    <w:p w14:paraId="671C8C3B" w14:textId="77777777" w:rsidR="00717BA5" w:rsidRPr="000A630C" w:rsidRDefault="00717BA5" w:rsidP="000A630C">
      <w:pPr>
        <w:pStyle w:val="ListBullet"/>
      </w:pPr>
      <w:r w:rsidRPr="000A630C">
        <w:t>No service in the last year and vested: those who have not actively worked in the last year and are vested</w:t>
      </w:r>
    </w:p>
    <w:p w14:paraId="4D3C9F08" w14:textId="77777777" w:rsidR="00717BA5" w:rsidRPr="000A630C" w:rsidRDefault="00717BA5" w:rsidP="000A630C">
      <w:pPr>
        <w:pStyle w:val="ListBullet"/>
      </w:pPr>
      <w:r w:rsidRPr="000A630C">
        <w:t>No service in the last year and not vested: those who have not actively worked in the last year and are not vested.</w:t>
      </w:r>
    </w:p>
    <w:p w14:paraId="29ADC974" w14:textId="77777777" w:rsidR="00717BA5" w:rsidRPr="00717BA5" w:rsidRDefault="00717BA5" w:rsidP="00717BA5">
      <w:pPr>
        <w:widowControl w:val="0"/>
        <w:spacing w:after="0" w:line="240" w:lineRule="auto"/>
        <w:ind w:right="164"/>
        <w:jc w:val="both"/>
        <w:rPr>
          <w:rFonts w:ascii="Arial" w:eastAsia="Calibri" w:hAnsi="Arial" w:cs="Arial"/>
          <w:color w:val="auto"/>
          <w:spacing w:val="-5"/>
          <w:sz w:val="18"/>
          <w:szCs w:val="18"/>
          <w:lang w:eastAsia="en-US"/>
        </w:rPr>
      </w:pPr>
    </w:p>
    <w:p w14:paraId="0B162EED" w14:textId="77777777" w:rsidR="00717BA5" w:rsidRPr="00717BA5" w:rsidRDefault="00717BA5" w:rsidP="00717BA5">
      <w:pPr>
        <w:adjustRightInd w:val="0"/>
        <w:snapToGrid w:val="0"/>
        <w:rPr>
          <w:rFonts w:ascii="Arial" w:eastAsia="Calibri" w:hAnsi="Arial" w:cs="Arial"/>
          <w:color w:val="auto"/>
        </w:rPr>
      </w:pPr>
      <w:r w:rsidRPr="00717BA5">
        <w:rPr>
          <w:rFonts w:ascii="Arial" w:eastAsia="Calibri" w:hAnsi="Arial" w:cs="Arial"/>
          <w:color w:val="auto"/>
        </w:rPr>
        <w:t>It has been assumed that all members still remaining in the schemes at age 75 will leave the industry.</w:t>
      </w:r>
    </w:p>
    <w:p w14:paraId="6D12EE05" w14:textId="77777777" w:rsidR="00717BA5" w:rsidRPr="00717BA5" w:rsidRDefault="00717BA5" w:rsidP="00717BA5">
      <w:pPr>
        <w:adjustRightInd w:val="0"/>
        <w:snapToGrid w:val="0"/>
        <w:rPr>
          <w:rFonts w:ascii="Arial" w:eastAsia="Calibri" w:hAnsi="Arial" w:cs="Arial"/>
          <w:color w:val="auto"/>
        </w:rPr>
      </w:pPr>
    </w:p>
    <w:p w14:paraId="0A42314D" w14:textId="77777777" w:rsidR="00717BA5" w:rsidRPr="00717BA5" w:rsidRDefault="00717BA5" w:rsidP="00717BA5">
      <w:pPr>
        <w:adjustRightInd w:val="0"/>
        <w:snapToGrid w:val="0"/>
        <w:rPr>
          <w:rFonts w:ascii="Arial" w:eastAsia="Calibri" w:hAnsi="Arial" w:cs="Arial"/>
          <w:color w:val="auto"/>
        </w:rPr>
      </w:pPr>
    </w:p>
    <w:p w14:paraId="286A17A3" w14:textId="77777777" w:rsidR="00717BA5" w:rsidRPr="00717BA5" w:rsidRDefault="00717BA5" w:rsidP="00717BA5">
      <w:pPr>
        <w:adjustRightInd w:val="0"/>
        <w:snapToGrid w:val="0"/>
        <w:rPr>
          <w:rFonts w:ascii="Arial" w:eastAsia="Calibri" w:hAnsi="Arial" w:cs="Arial"/>
          <w:color w:val="auto"/>
        </w:rPr>
      </w:pPr>
    </w:p>
    <w:p w14:paraId="091998B1" w14:textId="77777777" w:rsidR="00717BA5" w:rsidRPr="00717BA5" w:rsidRDefault="00717BA5" w:rsidP="00717BA5">
      <w:pPr>
        <w:adjustRightInd w:val="0"/>
        <w:snapToGrid w:val="0"/>
        <w:rPr>
          <w:rFonts w:ascii="Arial" w:eastAsia="Calibri" w:hAnsi="Arial" w:cs="Arial"/>
          <w:color w:val="auto"/>
        </w:rPr>
      </w:pPr>
    </w:p>
    <w:p w14:paraId="360374ED" w14:textId="77777777" w:rsidR="00717BA5" w:rsidRPr="00717BA5" w:rsidRDefault="00717BA5" w:rsidP="00717BA5">
      <w:pPr>
        <w:adjustRightInd w:val="0"/>
        <w:snapToGrid w:val="0"/>
        <w:rPr>
          <w:rFonts w:ascii="Arial" w:eastAsia="Calibri" w:hAnsi="Arial" w:cs="Arial"/>
          <w:color w:val="auto"/>
        </w:rPr>
      </w:pPr>
    </w:p>
    <w:p w14:paraId="3DA96B89" w14:textId="77777777" w:rsidR="00717BA5" w:rsidRPr="00717BA5" w:rsidRDefault="00717BA5" w:rsidP="00717BA5">
      <w:pPr>
        <w:adjustRightInd w:val="0"/>
        <w:snapToGrid w:val="0"/>
        <w:rPr>
          <w:rFonts w:ascii="Arial" w:eastAsia="Calibri" w:hAnsi="Arial" w:cs="Arial"/>
          <w:color w:val="auto"/>
        </w:rPr>
      </w:pPr>
    </w:p>
    <w:p w14:paraId="278F2C88" w14:textId="77777777" w:rsidR="00717BA5" w:rsidRPr="00717BA5" w:rsidRDefault="00717BA5" w:rsidP="00717BA5">
      <w:pPr>
        <w:adjustRightInd w:val="0"/>
        <w:snapToGrid w:val="0"/>
        <w:rPr>
          <w:rFonts w:ascii="Arial" w:eastAsia="Calibri" w:hAnsi="Arial" w:cs="Arial"/>
          <w:color w:val="auto"/>
        </w:rPr>
      </w:pPr>
    </w:p>
    <w:p w14:paraId="3AAC1501" w14:textId="77777777" w:rsidR="00717BA5" w:rsidRPr="00717BA5" w:rsidRDefault="00717BA5" w:rsidP="00717BA5">
      <w:pPr>
        <w:adjustRightInd w:val="0"/>
        <w:snapToGrid w:val="0"/>
        <w:rPr>
          <w:rFonts w:ascii="Arial" w:eastAsia="Calibri" w:hAnsi="Arial" w:cs="Arial"/>
          <w:color w:val="auto"/>
        </w:rPr>
      </w:pPr>
    </w:p>
    <w:p w14:paraId="76AE98A8" w14:textId="77777777" w:rsidR="00717BA5" w:rsidRPr="00717BA5" w:rsidRDefault="00717BA5" w:rsidP="00717BA5">
      <w:pPr>
        <w:adjustRightInd w:val="0"/>
        <w:snapToGrid w:val="0"/>
        <w:rPr>
          <w:rFonts w:ascii="Arial" w:eastAsia="Calibri" w:hAnsi="Arial" w:cs="Arial"/>
          <w:color w:val="auto"/>
        </w:rPr>
      </w:pPr>
    </w:p>
    <w:p w14:paraId="2323684F" w14:textId="77777777" w:rsidR="00717BA5" w:rsidRPr="00717BA5" w:rsidRDefault="00717BA5" w:rsidP="00717BA5">
      <w:pPr>
        <w:adjustRightInd w:val="0"/>
        <w:snapToGrid w:val="0"/>
        <w:rPr>
          <w:rFonts w:ascii="Arial" w:eastAsia="Calibri" w:hAnsi="Arial" w:cs="Arial"/>
          <w:color w:val="auto"/>
        </w:rPr>
      </w:pPr>
    </w:p>
    <w:p w14:paraId="20655B2B" w14:textId="77777777" w:rsidR="00717BA5" w:rsidRPr="00717BA5" w:rsidRDefault="00717BA5" w:rsidP="00717BA5">
      <w:pPr>
        <w:adjustRightInd w:val="0"/>
        <w:snapToGrid w:val="0"/>
        <w:rPr>
          <w:rFonts w:ascii="Arial" w:eastAsia="Calibri" w:hAnsi="Arial" w:cs="Arial"/>
          <w:color w:val="auto"/>
        </w:rPr>
      </w:pPr>
    </w:p>
    <w:p w14:paraId="6B674A80" w14:textId="77777777" w:rsidR="00717BA5" w:rsidRPr="00717BA5" w:rsidRDefault="00717BA5" w:rsidP="00717BA5">
      <w:pPr>
        <w:keepNext/>
        <w:spacing w:after="120" w:line="240" w:lineRule="auto"/>
        <w:outlineLvl w:val="1"/>
        <w:rPr>
          <w:rFonts w:ascii="Arial" w:eastAsia="Times New Roman" w:hAnsi="Arial" w:cs="Arial"/>
          <w:b/>
          <w:bCs/>
          <w:color w:val="auto"/>
          <w:sz w:val="24"/>
          <w:szCs w:val="24"/>
          <w:lang w:val="en-AU"/>
        </w:rPr>
      </w:pPr>
    </w:p>
    <w:p w14:paraId="74A1EE15" w14:textId="77777777" w:rsidR="00717BA5" w:rsidRPr="00717BA5" w:rsidRDefault="00717BA5" w:rsidP="00341E60">
      <w:pPr>
        <w:keepNext/>
        <w:spacing w:after="120" w:line="240" w:lineRule="auto"/>
        <w:jc w:val="both"/>
        <w:outlineLvl w:val="1"/>
        <w:rPr>
          <w:rFonts w:ascii="Arial" w:eastAsia="Times New Roman" w:hAnsi="Arial" w:cs="Arial"/>
          <w:b/>
          <w:bCs/>
          <w:color w:val="auto"/>
          <w:sz w:val="24"/>
          <w:szCs w:val="24"/>
          <w:lang w:val="en-AU"/>
        </w:rPr>
      </w:pPr>
      <w:bookmarkStart w:id="106" w:name="_Toc240533521"/>
      <w:r w:rsidRPr="00717BA5">
        <w:rPr>
          <w:rFonts w:ascii="Arial" w:eastAsia="Times New Roman" w:hAnsi="Arial" w:cs="Arial"/>
          <w:b/>
          <w:bCs/>
          <w:color w:val="auto"/>
          <w:sz w:val="24"/>
          <w:szCs w:val="24"/>
          <w:lang w:val="en-AU"/>
        </w:rPr>
        <w:t xml:space="preserve">NOTE 15. </w:t>
      </w:r>
      <w:r w:rsidRPr="00717BA5" w:rsidDel="008B0B4B">
        <w:rPr>
          <w:rFonts w:ascii="Arial" w:eastAsia="Times New Roman" w:hAnsi="Arial" w:cs="Arial"/>
          <w:b/>
          <w:bCs/>
          <w:color w:val="auto"/>
          <w:sz w:val="24"/>
          <w:szCs w:val="24"/>
          <w:lang w:val="en-AU"/>
        </w:rPr>
        <w:t xml:space="preserve"> </w:t>
      </w:r>
      <w:r w:rsidRPr="00717BA5">
        <w:rPr>
          <w:rFonts w:ascii="Arial" w:eastAsia="Times New Roman" w:hAnsi="Arial" w:cs="Arial"/>
          <w:b/>
          <w:bCs/>
          <w:color w:val="auto"/>
          <w:sz w:val="24"/>
          <w:szCs w:val="24"/>
          <w:lang w:val="en-AU"/>
        </w:rPr>
        <w:t>PROVISION FOR LONG SERVICE LEAVE BENEFITS - CONTINUED</w:t>
      </w:r>
      <w:bookmarkEnd w:id="106"/>
    </w:p>
    <w:p w14:paraId="033796E4" w14:textId="77777777" w:rsidR="00717BA5" w:rsidRPr="00717BA5" w:rsidRDefault="00717BA5" w:rsidP="00717BA5">
      <w:pPr>
        <w:adjustRightInd w:val="0"/>
        <w:snapToGrid w:val="0"/>
        <w:rPr>
          <w:rFonts w:ascii="Arial" w:eastAsia="Calibri" w:hAnsi="Arial" w:cs="Arial"/>
          <w:color w:val="auto"/>
        </w:rPr>
      </w:pPr>
      <w:r w:rsidRPr="00717BA5">
        <w:rPr>
          <w:rFonts w:ascii="Arial" w:eastAsia="Calibri" w:hAnsi="Arial" w:cs="Arial"/>
          <w:color w:val="auto"/>
          <w:lang w:val="en-AU"/>
        </w:rPr>
        <w:t>The</w:t>
      </w:r>
      <w:r w:rsidRPr="00717BA5">
        <w:rPr>
          <w:rFonts w:ascii="Arial" w:eastAsia="Calibri" w:hAnsi="Arial" w:cs="Arial"/>
          <w:color w:val="auto"/>
          <w:spacing w:val="-7"/>
        </w:rPr>
        <w:t xml:space="preserve"> </w:t>
      </w:r>
      <w:r w:rsidRPr="00717BA5">
        <w:rPr>
          <w:rFonts w:ascii="Arial" w:eastAsia="Calibri" w:hAnsi="Arial" w:cs="Arial"/>
          <w:color w:val="auto"/>
        </w:rPr>
        <w:t>assumptions</w:t>
      </w:r>
      <w:r w:rsidRPr="00717BA5">
        <w:rPr>
          <w:rFonts w:ascii="Arial" w:eastAsia="Calibri" w:hAnsi="Arial" w:cs="Arial"/>
          <w:color w:val="auto"/>
          <w:spacing w:val="-7"/>
        </w:rPr>
        <w:t xml:space="preserve"> </w:t>
      </w:r>
      <w:r w:rsidRPr="00717BA5">
        <w:rPr>
          <w:rFonts w:ascii="Arial" w:eastAsia="Calibri" w:hAnsi="Arial" w:cs="Arial"/>
          <w:color w:val="auto"/>
        </w:rPr>
        <w:t>in summary are:</w:t>
      </w:r>
    </w:p>
    <w:p w14:paraId="06A454AA" w14:textId="77777777" w:rsidR="00717BA5" w:rsidRPr="00717BA5" w:rsidRDefault="00717BA5" w:rsidP="00717BA5">
      <w:pPr>
        <w:widowControl w:val="0"/>
        <w:numPr>
          <w:ilvl w:val="0"/>
          <w:numId w:val="105"/>
        </w:numPr>
        <w:tabs>
          <w:tab w:val="left" w:pos="323"/>
        </w:tabs>
        <w:spacing w:before="120" w:after="0" w:line="240" w:lineRule="auto"/>
        <w:ind w:hanging="322"/>
        <w:jc w:val="both"/>
        <w:rPr>
          <w:rFonts w:ascii="Arial" w:eastAsia="Calibri" w:hAnsi="Arial" w:cs="Arial"/>
          <w:b/>
          <w:bCs/>
          <w:i/>
          <w:color w:val="auto"/>
          <w:szCs w:val="22"/>
          <w:lang w:eastAsia="en-US"/>
        </w:rPr>
      </w:pPr>
      <w:r w:rsidRPr="00717BA5">
        <w:rPr>
          <w:rFonts w:ascii="Arial" w:eastAsia="Calibri" w:hAnsi="Arial" w:cs="Arial"/>
          <w:b/>
          <w:bCs/>
          <w:i/>
          <w:color w:val="auto"/>
          <w:szCs w:val="22"/>
          <w:lang w:eastAsia="en-US"/>
        </w:rPr>
        <w:t>Accrued Long Service Leave Benefits – Building and Construction Industry</w:t>
      </w:r>
    </w:p>
    <w:p w14:paraId="6950BB33" w14:textId="77777777" w:rsidR="00717BA5" w:rsidRPr="00717BA5" w:rsidRDefault="00717BA5" w:rsidP="00717BA5">
      <w:pPr>
        <w:widowControl w:val="0"/>
        <w:tabs>
          <w:tab w:val="left" w:pos="415"/>
        </w:tabs>
        <w:spacing w:after="0" w:line="240" w:lineRule="auto"/>
        <w:jc w:val="both"/>
        <w:rPr>
          <w:rFonts w:ascii="Arial" w:eastAsia="Calibri" w:hAnsi="Arial" w:cs="Arial"/>
          <w:i/>
          <w:color w:val="auto"/>
          <w:spacing w:val="-1"/>
          <w:sz w:val="18"/>
          <w:szCs w:val="18"/>
          <w:lang w:eastAsia="en-US"/>
        </w:rPr>
      </w:pPr>
    </w:p>
    <w:p w14:paraId="592A8243" w14:textId="77777777" w:rsidR="00717BA5" w:rsidRPr="00717BA5" w:rsidRDefault="00717BA5" w:rsidP="00717BA5">
      <w:pPr>
        <w:adjustRightInd w:val="0"/>
        <w:snapToGrid w:val="0"/>
        <w:rPr>
          <w:rFonts w:ascii="Arial" w:eastAsia="Calibri" w:hAnsi="Arial" w:cs="Arial"/>
          <w:b/>
          <w:color w:val="auto"/>
          <w:sz w:val="18"/>
          <w:szCs w:val="18"/>
        </w:rPr>
      </w:pPr>
      <w:r w:rsidRPr="00717BA5">
        <w:rPr>
          <w:rFonts w:ascii="Arial" w:eastAsia="Calibri" w:hAnsi="Arial" w:cs="Arial"/>
          <w:b/>
          <w:bCs/>
          <w:color w:val="auto"/>
        </w:rPr>
        <w:t>Exit rates</w:t>
      </w:r>
    </w:p>
    <w:p w14:paraId="4ED420BA" w14:textId="77777777" w:rsidR="00717BA5" w:rsidRPr="00717BA5" w:rsidRDefault="00717BA5" w:rsidP="00717BA5">
      <w:pPr>
        <w:adjustRightInd w:val="0"/>
        <w:snapToGrid w:val="0"/>
        <w:rPr>
          <w:rFonts w:ascii="Arial" w:eastAsia="Calibri" w:hAnsi="Arial" w:cs="Arial"/>
          <w:color w:val="auto"/>
        </w:rPr>
      </w:pPr>
      <w:r w:rsidRPr="00717BA5">
        <w:rPr>
          <w:rFonts w:ascii="Arial" w:eastAsia="Calibri" w:hAnsi="Arial" w:cs="Arial"/>
          <w:color w:val="auto"/>
          <w:lang w:val="en-AU"/>
        </w:rPr>
        <w:t>The</w:t>
      </w:r>
      <w:r w:rsidRPr="00717BA5">
        <w:rPr>
          <w:rFonts w:ascii="Arial" w:eastAsia="Calibri" w:hAnsi="Arial" w:cs="Arial"/>
          <w:color w:val="auto"/>
          <w:spacing w:val="-6"/>
        </w:rPr>
        <w:t xml:space="preserve"> </w:t>
      </w:r>
      <w:r w:rsidRPr="00717BA5">
        <w:rPr>
          <w:rFonts w:ascii="Arial" w:eastAsia="Calibri" w:hAnsi="Arial" w:cs="Arial"/>
          <w:color w:val="auto"/>
        </w:rPr>
        <w:t>rates</w:t>
      </w:r>
      <w:r w:rsidRPr="00717BA5">
        <w:rPr>
          <w:rFonts w:ascii="Arial" w:eastAsia="Calibri" w:hAnsi="Arial" w:cs="Arial"/>
          <w:color w:val="auto"/>
          <w:spacing w:val="-6"/>
        </w:rPr>
        <w:t xml:space="preserve"> </w:t>
      </w:r>
      <w:r w:rsidRPr="00717BA5">
        <w:rPr>
          <w:rFonts w:ascii="Arial" w:eastAsia="Calibri" w:hAnsi="Arial" w:cs="Arial"/>
          <w:color w:val="auto"/>
        </w:rPr>
        <w:t>at</w:t>
      </w:r>
      <w:r w:rsidRPr="00717BA5">
        <w:rPr>
          <w:rFonts w:ascii="Arial" w:eastAsia="Calibri" w:hAnsi="Arial" w:cs="Arial"/>
          <w:color w:val="auto"/>
          <w:spacing w:val="-4"/>
        </w:rPr>
        <w:t xml:space="preserve"> </w:t>
      </w:r>
      <w:r w:rsidRPr="00717BA5">
        <w:rPr>
          <w:rFonts w:ascii="Arial" w:eastAsia="Calibri" w:hAnsi="Arial" w:cs="Arial"/>
          <w:color w:val="auto"/>
          <w:spacing w:val="-1"/>
        </w:rPr>
        <w:t>which</w:t>
      </w:r>
      <w:r w:rsidRPr="00717BA5">
        <w:rPr>
          <w:rFonts w:ascii="Arial" w:eastAsia="Calibri" w:hAnsi="Arial" w:cs="Arial"/>
          <w:color w:val="auto"/>
          <w:spacing w:val="-5"/>
        </w:rPr>
        <w:t xml:space="preserve"> </w:t>
      </w:r>
      <w:r w:rsidRPr="00717BA5">
        <w:rPr>
          <w:rFonts w:ascii="Arial" w:eastAsia="Calibri" w:hAnsi="Arial" w:cs="Arial"/>
          <w:color w:val="auto"/>
        </w:rPr>
        <w:t>workers</w:t>
      </w:r>
      <w:r w:rsidRPr="00717BA5">
        <w:rPr>
          <w:rFonts w:ascii="Arial" w:eastAsia="Calibri" w:hAnsi="Arial" w:cs="Arial"/>
          <w:color w:val="auto"/>
          <w:spacing w:val="-6"/>
        </w:rPr>
        <w:t xml:space="preserve"> </w:t>
      </w:r>
      <w:r w:rsidRPr="00717BA5">
        <w:rPr>
          <w:rFonts w:ascii="Arial" w:eastAsia="Calibri" w:hAnsi="Arial" w:cs="Arial"/>
          <w:color w:val="auto"/>
        </w:rPr>
        <w:t>of</w:t>
      </w:r>
      <w:r w:rsidRPr="00717BA5">
        <w:rPr>
          <w:rFonts w:ascii="Arial" w:eastAsia="Calibri" w:hAnsi="Arial" w:cs="Arial"/>
          <w:color w:val="auto"/>
          <w:spacing w:val="-3"/>
        </w:rPr>
        <w:t xml:space="preserve"> </w:t>
      </w:r>
      <w:r w:rsidRPr="00717BA5">
        <w:rPr>
          <w:rFonts w:ascii="Arial" w:eastAsia="Calibri" w:hAnsi="Arial" w:cs="Arial"/>
          <w:color w:val="auto"/>
          <w:spacing w:val="-1"/>
        </w:rPr>
        <w:t>different</w:t>
      </w:r>
      <w:r w:rsidRPr="00717BA5">
        <w:rPr>
          <w:rFonts w:ascii="Arial" w:eastAsia="Calibri" w:hAnsi="Arial" w:cs="Arial"/>
          <w:color w:val="auto"/>
          <w:spacing w:val="-5"/>
        </w:rPr>
        <w:t xml:space="preserve"> </w:t>
      </w:r>
      <w:r w:rsidRPr="00717BA5">
        <w:rPr>
          <w:rFonts w:ascii="Arial" w:eastAsia="Calibri" w:hAnsi="Arial" w:cs="Arial"/>
          <w:color w:val="auto"/>
        </w:rPr>
        <w:t>membership groups</w:t>
      </w:r>
      <w:r w:rsidRPr="00717BA5">
        <w:rPr>
          <w:rFonts w:ascii="Arial" w:eastAsia="Calibri" w:hAnsi="Arial" w:cs="Arial"/>
          <w:color w:val="auto"/>
          <w:spacing w:val="-6"/>
        </w:rPr>
        <w:t xml:space="preserve"> </w:t>
      </w:r>
      <w:r w:rsidRPr="00717BA5">
        <w:rPr>
          <w:rFonts w:ascii="Arial" w:eastAsia="Calibri" w:hAnsi="Arial" w:cs="Arial"/>
          <w:color w:val="auto"/>
          <w:spacing w:val="-1"/>
        </w:rPr>
        <w:t>might</w:t>
      </w:r>
      <w:r w:rsidRPr="00717BA5">
        <w:rPr>
          <w:rFonts w:ascii="Arial" w:eastAsia="Calibri" w:hAnsi="Arial" w:cs="Arial"/>
          <w:color w:val="auto"/>
          <w:spacing w:val="-4"/>
        </w:rPr>
        <w:t xml:space="preserve"> </w:t>
      </w:r>
      <w:r w:rsidRPr="00717BA5">
        <w:rPr>
          <w:rFonts w:ascii="Arial" w:eastAsia="Calibri" w:hAnsi="Arial" w:cs="Arial"/>
          <w:color w:val="auto"/>
          <w:spacing w:val="-1"/>
        </w:rPr>
        <w:t>leave</w:t>
      </w:r>
      <w:r w:rsidRPr="00717BA5">
        <w:rPr>
          <w:rFonts w:ascii="Arial" w:eastAsia="Calibri" w:hAnsi="Arial" w:cs="Arial"/>
          <w:color w:val="auto"/>
          <w:spacing w:val="-5"/>
        </w:rPr>
        <w:t xml:space="preserve"> </w:t>
      </w:r>
      <w:r w:rsidRPr="00717BA5">
        <w:rPr>
          <w:rFonts w:ascii="Arial" w:eastAsia="Calibri" w:hAnsi="Arial" w:cs="Arial"/>
          <w:color w:val="auto"/>
        </w:rPr>
        <w:t>the</w:t>
      </w:r>
      <w:r w:rsidRPr="00717BA5">
        <w:rPr>
          <w:rFonts w:ascii="Arial" w:eastAsia="Calibri" w:hAnsi="Arial" w:cs="Arial"/>
          <w:color w:val="auto"/>
          <w:spacing w:val="-4"/>
        </w:rPr>
        <w:t xml:space="preserve"> </w:t>
      </w:r>
      <w:r w:rsidRPr="00717BA5">
        <w:rPr>
          <w:rFonts w:ascii="Arial" w:eastAsia="Calibri" w:hAnsi="Arial" w:cs="Arial"/>
          <w:color w:val="auto"/>
          <w:spacing w:val="-1"/>
        </w:rPr>
        <w:t>scheme are based on past experience and vary by years of service as follows</w:t>
      </w:r>
      <w:r w:rsidRPr="00717BA5">
        <w:rPr>
          <w:rFonts w:ascii="Arial" w:eastAsia="Calibri" w:hAnsi="Arial" w:cs="Arial"/>
          <w:color w:val="auto"/>
        </w:rPr>
        <w:t>:</w:t>
      </w:r>
    </w:p>
    <w:p w14:paraId="3AF857FD" w14:textId="77777777" w:rsidR="00717BA5" w:rsidRPr="00717BA5" w:rsidRDefault="00717BA5" w:rsidP="00717BA5">
      <w:pPr>
        <w:widowControl w:val="0"/>
        <w:tabs>
          <w:tab w:val="left" w:pos="833"/>
        </w:tabs>
        <w:spacing w:before="38" w:after="0" w:line="240" w:lineRule="auto"/>
        <w:ind w:left="832"/>
        <w:jc w:val="both"/>
        <w:rPr>
          <w:rFonts w:ascii="Arial" w:eastAsia="Calibri" w:hAnsi="Arial" w:cs="Arial"/>
          <w:color w:val="auto"/>
          <w:sz w:val="18"/>
          <w:szCs w:val="18"/>
          <w:lang w:eastAsia="en-US"/>
        </w:rPr>
      </w:pPr>
    </w:p>
    <w:tbl>
      <w:tblPr>
        <w:tblW w:w="5000" w:type="pct"/>
        <w:tblLook w:val="04A0" w:firstRow="1" w:lastRow="0" w:firstColumn="1" w:lastColumn="0" w:noHBand="0" w:noVBand="1"/>
      </w:tblPr>
      <w:tblGrid>
        <w:gridCol w:w="6813"/>
        <w:gridCol w:w="1260"/>
        <w:gridCol w:w="607"/>
        <w:gridCol w:w="1269"/>
      </w:tblGrid>
      <w:tr w:rsidR="00717BA5" w:rsidRPr="00717BA5" w14:paraId="65B6DFFD" w14:textId="77777777" w:rsidTr="00F0752D">
        <w:trPr>
          <w:trHeight w:val="315"/>
        </w:trPr>
        <w:tc>
          <w:tcPr>
            <w:tcW w:w="3424" w:type="pct"/>
            <w:tcBorders>
              <w:top w:val="nil"/>
              <w:left w:val="nil"/>
              <w:bottom w:val="nil"/>
              <w:right w:val="nil"/>
            </w:tcBorders>
            <w:shd w:val="clear" w:color="000000" w:fill="FFFFFF"/>
            <w:vAlign w:val="bottom"/>
          </w:tcPr>
          <w:p w14:paraId="64544546"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Exit Rate - Service in last year</w:t>
            </w:r>
          </w:p>
        </w:tc>
        <w:tc>
          <w:tcPr>
            <w:tcW w:w="633" w:type="pct"/>
            <w:tcBorders>
              <w:top w:val="nil"/>
              <w:left w:val="nil"/>
              <w:bottom w:val="nil"/>
              <w:right w:val="nil"/>
            </w:tcBorders>
            <w:shd w:val="clear" w:color="000000" w:fill="FFFFFF"/>
            <w:vAlign w:val="bottom"/>
          </w:tcPr>
          <w:p w14:paraId="0FF2696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top w:val="nil"/>
              <w:left w:val="nil"/>
              <w:bottom w:val="nil"/>
              <w:right w:val="nil"/>
            </w:tcBorders>
            <w:shd w:val="clear" w:color="000000" w:fill="FFFFFF"/>
            <w:vAlign w:val="bottom"/>
          </w:tcPr>
          <w:p w14:paraId="61C20EC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top w:val="nil"/>
              <w:left w:val="nil"/>
              <w:bottom w:val="nil"/>
              <w:right w:val="nil"/>
            </w:tcBorders>
            <w:shd w:val="clear" w:color="000000" w:fill="FFFFFF"/>
            <w:vAlign w:val="bottom"/>
          </w:tcPr>
          <w:p w14:paraId="6CBE906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0C87DE29" w14:textId="77777777" w:rsidTr="00F0752D">
        <w:trPr>
          <w:trHeight w:val="315"/>
        </w:trPr>
        <w:tc>
          <w:tcPr>
            <w:tcW w:w="3424" w:type="pct"/>
            <w:tcBorders>
              <w:top w:val="nil"/>
              <w:left w:val="nil"/>
              <w:bottom w:val="nil"/>
              <w:right w:val="nil"/>
            </w:tcBorders>
            <w:shd w:val="clear" w:color="000000" w:fill="FFFFFF"/>
            <w:vAlign w:val="bottom"/>
          </w:tcPr>
          <w:p w14:paraId="33BBD0A4"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less than 4 years of service</w:t>
            </w:r>
          </w:p>
        </w:tc>
        <w:tc>
          <w:tcPr>
            <w:tcW w:w="633" w:type="pct"/>
            <w:tcBorders>
              <w:top w:val="nil"/>
              <w:left w:val="nil"/>
              <w:bottom w:val="nil"/>
              <w:right w:val="nil"/>
            </w:tcBorders>
            <w:shd w:val="clear" w:color="000000" w:fill="FFFFFF"/>
            <w:vAlign w:val="bottom"/>
          </w:tcPr>
          <w:p w14:paraId="473FF45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0%</w:t>
            </w:r>
          </w:p>
        </w:tc>
        <w:tc>
          <w:tcPr>
            <w:tcW w:w="305" w:type="pct"/>
            <w:tcBorders>
              <w:top w:val="nil"/>
              <w:left w:val="nil"/>
              <w:bottom w:val="nil"/>
              <w:right w:val="nil"/>
            </w:tcBorders>
            <w:shd w:val="clear" w:color="000000" w:fill="FFFFFF"/>
            <w:vAlign w:val="bottom"/>
          </w:tcPr>
          <w:p w14:paraId="7B8DF33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top w:val="nil"/>
              <w:left w:val="nil"/>
              <w:bottom w:val="nil"/>
              <w:right w:val="nil"/>
            </w:tcBorders>
            <w:shd w:val="clear" w:color="000000" w:fill="FFFFFF"/>
            <w:noWrap/>
            <w:vAlign w:val="bottom"/>
          </w:tcPr>
          <w:p w14:paraId="0FB7781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0%</w:t>
            </w:r>
          </w:p>
        </w:tc>
      </w:tr>
      <w:tr w:rsidR="00717BA5" w:rsidRPr="00717BA5" w14:paraId="4665E62F" w14:textId="77777777" w:rsidTr="00F0752D">
        <w:trPr>
          <w:trHeight w:val="315"/>
        </w:trPr>
        <w:tc>
          <w:tcPr>
            <w:tcW w:w="3424" w:type="pct"/>
            <w:tcBorders>
              <w:top w:val="nil"/>
              <w:left w:val="nil"/>
              <w:bottom w:val="nil"/>
              <w:right w:val="nil"/>
            </w:tcBorders>
            <w:shd w:val="clear" w:color="000000" w:fill="FFFFFF"/>
            <w:vAlign w:val="bottom"/>
          </w:tcPr>
          <w:p w14:paraId="53627467"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4 years of service</w:t>
            </w:r>
          </w:p>
        </w:tc>
        <w:tc>
          <w:tcPr>
            <w:tcW w:w="633" w:type="pct"/>
            <w:tcBorders>
              <w:top w:val="nil"/>
              <w:left w:val="nil"/>
              <w:bottom w:val="nil"/>
              <w:right w:val="nil"/>
            </w:tcBorders>
            <w:shd w:val="clear" w:color="000000" w:fill="FFFFFF"/>
            <w:vAlign w:val="bottom"/>
          </w:tcPr>
          <w:p w14:paraId="0318856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w:t>
            </w:r>
          </w:p>
        </w:tc>
        <w:tc>
          <w:tcPr>
            <w:tcW w:w="305" w:type="pct"/>
            <w:tcBorders>
              <w:top w:val="nil"/>
              <w:left w:val="nil"/>
              <w:bottom w:val="nil"/>
              <w:right w:val="nil"/>
            </w:tcBorders>
            <w:shd w:val="clear" w:color="000000" w:fill="FFFFFF"/>
            <w:vAlign w:val="bottom"/>
          </w:tcPr>
          <w:p w14:paraId="5EC1E50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top w:val="nil"/>
              <w:left w:val="nil"/>
              <w:bottom w:val="nil"/>
              <w:right w:val="nil"/>
            </w:tcBorders>
            <w:shd w:val="clear" w:color="000000" w:fill="FFFFFF"/>
            <w:noWrap/>
            <w:vAlign w:val="bottom"/>
          </w:tcPr>
          <w:p w14:paraId="4F7B407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w:t>
            </w:r>
          </w:p>
        </w:tc>
      </w:tr>
      <w:tr w:rsidR="00717BA5" w:rsidRPr="00717BA5" w14:paraId="6E0A31ED" w14:textId="77777777" w:rsidTr="00F0752D">
        <w:trPr>
          <w:trHeight w:val="315"/>
        </w:trPr>
        <w:tc>
          <w:tcPr>
            <w:tcW w:w="3424" w:type="pct"/>
            <w:tcBorders>
              <w:top w:val="nil"/>
              <w:left w:val="nil"/>
              <w:bottom w:val="nil"/>
              <w:right w:val="nil"/>
            </w:tcBorders>
            <w:shd w:val="clear" w:color="000000" w:fill="FFFFFF"/>
            <w:vAlign w:val="bottom"/>
          </w:tcPr>
          <w:p w14:paraId="4E3C6CB2"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5-6 years of service</w:t>
            </w:r>
          </w:p>
        </w:tc>
        <w:tc>
          <w:tcPr>
            <w:tcW w:w="633" w:type="pct"/>
            <w:tcBorders>
              <w:top w:val="nil"/>
              <w:left w:val="nil"/>
              <w:right w:val="nil"/>
            </w:tcBorders>
            <w:shd w:val="clear" w:color="000000" w:fill="FFFFFF"/>
            <w:vAlign w:val="bottom"/>
          </w:tcPr>
          <w:p w14:paraId="7F22B76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w:t>
            </w:r>
          </w:p>
        </w:tc>
        <w:tc>
          <w:tcPr>
            <w:tcW w:w="305" w:type="pct"/>
            <w:tcBorders>
              <w:top w:val="nil"/>
              <w:left w:val="nil"/>
              <w:right w:val="nil"/>
            </w:tcBorders>
            <w:shd w:val="clear" w:color="000000" w:fill="FFFFFF"/>
            <w:vAlign w:val="bottom"/>
          </w:tcPr>
          <w:p w14:paraId="71E333A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top w:val="nil"/>
              <w:left w:val="nil"/>
              <w:right w:val="nil"/>
            </w:tcBorders>
            <w:shd w:val="clear" w:color="000000" w:fill="FFFFFF"/>
            <w:noWrap/>
            <w:vAlign w:val="bottom"/>
          </w:tcPr>
          <w:p w14:paraId="3442497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w:t>
            </w:r>
          </w:p>
        </w:tc>
      </w:tr>
      <w:tr w:rsidR="00717BA5" w:rsidRPr="00717BA5" w14:paraId="24507919" w14:textId="77777777" w:rsidTr="00F0752D">
        <w:trPr>
          <w:trHeight w:val="315"/>
        </w:trPr>
        <w:tc>
          <w:tcPr>
            <w:tcW w:w="3424" w:type="pct"/>
            <w:tcBorders>
              <w:top w:val="nil"/>
              <w:left w:val="nil"/>
              <w:bottom w:val="nil"/>
              <w:right w:val="nil"/>
            </w:tcBorders>
            <w:shd w:val="clear" w:color="000000" w:fill="FFFFFF"/>
            <w:vAlign w:val="bottom"/>
          </w:tcPr>
          <w:p w14:paraId="182A320F"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7-10 years of service</w:t>
            </w:r>
          </w:p>
        </w:tc>
        <w:tc>
          <w:tcPr>
            <w:tcW w:w="633" w:type="pct"/>
            <w:tcBorders>
              <w:top w:val="nil"/>
              <w:left w:val="nil"/>
              <w:right w:val="nil"/>
            </w:tcBorders>
            <w:shd w:val="clear" w:color="000000" w:fill="FFFFFF"/>
            <w:vAlign w:val="bottom"/>
          </w:tcPr>
          <w:p w14:paraId="25CF1EB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7%</w:t>
            </w:r>
          </w:p>
        </w:tc>
        <w:tc>
          <w:tcPr>
            <w:tcW w:w="305" w:type="pct"/>
            <w:tcBorders>
              <w:top w:val="nil"/>
              <w:left w:val="nil"/>
              <w:right w:val="nil"/>
            </w:tcBorders>
            <w:shd w:val="clear" w:color="000000" w:fill="FFFFFF"/>
            <w:vAlign w:val="bottom"/>
          </w:tcPr>
          <w:p w14:paraId="15DA7EA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top w:val="nil"/>
              <w:left w:val="nil"/>
              <w:right w:val="nil"/>
            </w:tcBorders>
            <w:shd w:val="clear" w:color="000000" w:fill="FFFFFF"/>
            <w:noWrap/>
            <w:vAlign w:val="bottom"/>
          </w:tcPr>
          <w:p w14:paraId="7A3A295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7%</w:t>
            </w:r>
          </w:p>
        </w:tc>
      </w:tr>
      <w:tr w:rsidR="00717BA5" w:rsidRPr="00717BA5" w14:paraId="7FCE789F" w14:textId="77777777" w:rsidTr="00F0752D">
        <w:trPr>
          <w:trHeight w:val="318"/>
        </w:trPr>
        <w:tc>
          <w:tcPr>
            <w:tcW w:w="3424" w:type="pct"/>
            <w:tcBorders>
              <w:left w:val="nil"/>
              <w:right w:val="nil"/>
            </w:tcBorders>
            <w:shd w:val="clear" w:color="000000" w:fill="FFFFFF"/>
            <w:vAlign w:val="bottom"/>
          </w:tcPr>
          <w:p w14:paraId="3E42780B"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11 or more years of service</w:t>
            </w:r>
          </w:p>
        </w:tc>
        <w:tc>
          <w:tcPr>
            <w:tcW w:w="633" w:type="pct"/>
            <w:tcBorders>
              <w:left w:val="nil"/>
              <w:right w:val="nil"/>
            </w:tcBorders>
            <w:shd w:val="clear" w:color="000000" w:fill="FFFFFF"/>
            <w:vAlign w:val="bottom"/>
          </w:tcPr>
          <w:p w14:paraId="17040E2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w:t>
            </w:r>
          </w:p>
        </w:tc>
        <w:tc>
          <w:tcPr>
            <w:tcW w:w="305" w:type="pct"/>
            <w:tcBorders>
              <w:left w:val="nil"/>
              <w:right w:val="nil"/>
            </w:tcBorders>
            <w:shd w:val="clear" w:color="000000" w:fill="FFFFFF"/>
            <w:vAlign w:val="bottom"/>
          </w:tcPr>
          <w:p w14:paraId="11A06F1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52D2E60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w:t>
            </w:r>
          </w:p>
        </w:tc>
      </w:tr>
      <w:tr w:rsidR="00717BA5" w:rsidRPr="00717BA5" w14:paraId="4EE9267F" w14:textId="77777777" w:rsidTr="00F0752D">
        <w:trPr>
          <w:trHeight w:val="176"/>
        </w:trPr>
        <w:tc>
          <w:tcPr>
            <w:tcW w:w="3424" w:type="pct"/>
            <w:tcBorders>
              <w:top w:val="nil"/>
              <w:left w:val="nil"/>
              <w:bottom w:val="nil"/>
              <w:right w:val="nil"/>
            </w:tcBorders>
            <w:shd w:val="clear" w:color="000000" w:fill="FFFFFF"/>
            <w:vAlign w:val="bottom"/>
          </w:tcPr>
          <w:p w14:paraId="2EF657CF"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633" w:type="pct"/>
            <w:tcBorders>
              <w:left w:val="nil"/>
              <w:bottom w:val="nil"/>
              <w:right w:val="nil"/>
            </w:tcBorders>
            <w:shd w:val="clear" w:color="000000" w:fill="FFFFFF"/>
            <w:vAlign w:val="bottom"/>
          </w:tcPr>
          <w:p w14:paraId="3B93775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top w:val="nil"/>
              <w:left w:val="nil"/>
              <w:bottom w:val="nil"/>
              <w:right w:val="nil"/>
            </w:tcBorders>
            <w:shd w:val="clear" w:color="000000" w:fill="FFFFFF"/>
            <w:vAlign w:val="bottom"/>
          </w:tcPr>
          <w:p w14:paraId="235627F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bottom w:val="nil"/>
              <w:right w:val="nil"/>
            </w:tcBorders>
            <w:shd w:val="clear" w:color="000000" w:fill="FFFFFF"/>
            <w:noWrap/>
            <w:vAlign w:val="bottom"/>
          </w:tcPr>
          <w:p w14:paraId="3B47DCA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0B2CA3FF" w14:textId="77777777" w:rsidTr="00F0752D">
        <w:trPr>
          <w:trHeight w:val="176"/>
        </w:trPr>
        <w:tc>
          <w:tcPr>
            <w:tcW w:w="3424" w:type="pct"/>
            <w:tcBorders>
              <w:top w:val="nil"/>
              <w:left w:val="nil"/>
              <w:bottom w:val="nil"/>
              <w:right w:val="nil"/>
            </w:tcBorders>
            <w:shd w:val="clear" w:color="000000" w:fill="FFFFFF"/>
            <w:vAlign w:val="bottom"/>
          </w:tcPr>
          <w:p w14:paraId="6176AD94"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Exit Rate - No service in last year and vested.</w:t>
            </w:r>
          </w:p>
        </w:tc>
        <w:tc>
          <w:tcPr>
            <w:tcW w:w="633" w:type="pct"/>
            <w:tcBorders>
              <w:left w:val="nil"/>
              <w:bottom w:val="nil"/>
              <w:right w:val="nil"/>
            </w:tcBorders>
            <w:shd w:val="clear" w:color="000000" w:fill="FFFFFF"/>
            <w:vAlign w:val="bottom"/>
          </w:tcPr>
          <w:p w14:paraId="20EDDFA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top w:val="nil"/>
              <w:left w:val="nil"/>
              <w:bottom w:val="nil"/>
              <w:right w:val="nil"/>
            </w:tcBorders>
            <w:shd w:val="clear" w:color="000000" w:fill="FFFFFF"/>
            <w:vAlign w:val="bottom"/>
          </w:tcPr>
          <w:p w14:paraId="60A90DA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bottom w:val="nil"/>
              <w:right w:val="nil"/>
            </w:tcBorders>
            <w:shd w:val="clear" w:color="000000" w:fill="FFFFFF"/>
            <w:noWrap/>
            <w:vAlign w:val="bottom"/>
          </w:tcPr>
          <w:p w14:paraId="507DF4F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77532288" w14:textId="77777777" w:rsidTr="00F0752D">
        <w:trPr>
          <w:trHeight w:val="315"/>
        </w:trPr>
        <w:tc>
          <w:tcPr>
            <w:tcW w:w="3424" w:type="pct"/>
            <w:tcBorders>
              <w:top w:val="nil"/>
              <w:left w:val="nil"/>
              <w:bottom w:val="nil"/>
              <w:right w:val="nil"/>
            </w:tcBorders>
            <w:shd w:val="clear" w:color="000000" w:fill="FFFFFF"/>
            <w:vAlign w:val="bottom"/>
          </w:tcPr>
          <w:p w14:paraId="4A9C1A72"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less than 1 year of service</w:t>
            </w:r>
          </w:p>
        </w:tc>
        <w:tc>
          <w:tcPr>
            <w:tcW w:w="633" w:type="pct"/>
            <w:tcBorders>
              <w:top w:val="nil"/>
              <w:left w:val="nil"/>
              <w:bottom w:val="nil"/>
              <w:right w:val="nil"/>
            </w:tcBorders>
            <w:shd w:val="clear" w:color="000000" w:fill="FFFFFF"/>
            <w:vAlign w:val="bottom"/>
          </w:tcPr>
          <w:p w14:paraId="61AF52B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w:t>
            </w:r>
          </w:p>
        </w:tc>
        <w:tc>
          <w:tcPr>
            <w:tcW w:w="305" w:type="pct"/>
            <w:tcBorders>
              <w:top w:val="nil"/>
              <w:left w:val="nil"/>
              <w:bottom w:val="nil"/>
              <w:right w:val="nil"/>
            </w:tcBorders>
            <w:shd w:val="clear" w:color="000000" w:fill="FFFFFF"/>
            <w:vAlign w:val="bottom"/>
          </w:tcPr>
          <w:p w14:paraId="1E05256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top w:val="nil"/>
              <w:left w:val="nil"/>
              <w:bottom w:val="nil"/>
              <w:right w:val="nil"/>
            </w:tcBorders>
            <w:shd w:val="clear" w:color="000000" w:fill="FFFFFF"/>
            <w:noWrap/>
            <w:vAlign w:val="bottom"/>
          </w:tcPr>
          <w:p w14:paraId="4677A71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w:t>
            </w:r>
          </w:p>
        </w:tc>
      </w:tr>
      <w:tr w:rsidR="00717BA5" w:rsidRPr="00717BA5" w14:paraId="12E4F1BB" w14:textId="77777777" w:rsidTr="00F0752D">
        <w:trPr>
          <w:trHeight w:val="315"/>
        </w:trPr>
        <w:tc>
          <w:tcPr>
            <w:tcW w:w="3424" w:type="pct"/>
            <w:tcBorders>
              <w:top w:val="nil"/>
              <w:left w:val="nil"/>
              <w:bottom w:val="nil"/>
              <w:right w:val="nil"/>
            </w:tcBorders>
            <w:shd w:val="clear" w:color="000000" w:fill="FFFFFF"/>
            <w:vAlign w:val="bottom"/>
          </w:tcPr>
          <w:p w14:paraId="4B60A62E"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1 year of service</w:t>
            </w:r>
          </w:p>
        </w:tc>
        <w:tc>
          <w:tcPr>
            <w:tcW w:w="633" w:type="pct"/>
            <w:tcBorders>
              <w:top w:val="nil"/>
              <w:left w:val="nil"/>
              <w:bottom w:val="nil"/>
              <w:right w:val="nil"/>
            </w:tcBorders>
            <w:shd w:val="clear" w:color="000000" w:fill="FFFFFF"/>
            <w:vAlign w:val="bottom"/>
          </w:tcPr>
          <w:p w14:paraId="55D4066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w:t>
            </w:r>
          </w:p>
        </w:tc>
        <w:tc>
          <w:tcPr>
            <w:tcW w:w="305" w:type="pct"/>
            <w:tcBorders>
              <w:top w:val="nil"/>
              <w:left w:val="nil"/>
              <w:bottom w:val="nil"/>
              <w:right w:val="nil"/>
            </w:tcBorders>
            <w:shd w:val="clear" w:color="000000" w:fill="FFFFFF"/>
            <w:vAlign w:val="bottom"/>
          </w:tcPr>
          <w:p w14:paraId="4206998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top w:val="nil"/>
              <w:left w:val="nil"/>
              <w:bottom w:val="nil"/>
              <w:right w:val="nil"/>
            </w:tcBorders>
            <w:shd w:val="clear" w:color="000000" w:fill="FFFFFF"/>
            <w:noWrap/>
            <w:vAlign w:val="bottom"/>
          </w:tcPr>
          <w:p w14:paraId="123B958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w:t>
            </w:r>
          </w:p>
        </w:tc>
      </w:tr>
      <w:tr w:rsidR="00717BA5" w:rsidRPr="00717BA5" w14:paraId="754105AD" w14:textId="77777777" w:rsidTr="00F0752D">
        <w:trPr>
          <w:trHeight w:val="315"/>
        </w:trPr>
        <w:tc>
          <w:tcPr>
            <w:tcW w:w="3424" w:type="pct"/>
            <w:tcBorders>
              <w:top w:val="nil"/>
              <w:left w:val="nil"/>
              <w:right w:val="nil"/>
            </w:tcBorders>
            <w:shd w:val="clear" w:color="000000" w:fill="FFFFFF"/>
            <w:vAlign w:val="bottom"/>
          </w:tcPr>
          <w:p w14:paraId="741A4C8D"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2-5 years of service</w:t>
            </w:r>
          </w:p>
        </w:tc>
        <w:tc>
          <w:tcPr>
            <w:tcW w:w="633" w:type="pct"/>
            <w:tcBorders>
              <w:top w:val="nil"/>
              <w:left w:val="nil"/>
              <w:right w:val="nil"/>
            </w:tcBorders>
            <w:shd w:val="clear" w:color="000000" w:fill="FFFFFF"/>
            <w:vAlign w:val="bottom"/>
          </w:tcPr>
          <w:p w14:paraId="2FF7B13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w:t>
            </w:r>
          </w:p>
        </w:tc>
        <w:tc>
          <w:tcPr>
            <w:tcW w:w="305" w:type="pct"/>
            <w:tcBorders>
              <w:top w:val="nil"/>
              <w:left w:val="nil"/>
              <w:right w:val="nil"/>
            </w:tcBorders>
            <w:shd w:val="clear" w:color="000000" w:fill="FFFFFF"/>
            <w:vAlign w:val="bottom"/>
          </w:tcPr>
          <w:p w14:paraId="4C56455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top w:val="nil"/>
              <w:left w:val="nil"/>
              <w:right w:val="nil"/>
            </w:tcBorders>
            <w:shd w:val="clear" w:color="000000" w:fill="FFFFFF"/>
            <w:noWrap/>
            <w:vAlign w:val="bottom"/>
          </w:tcPr>
          <w:p w14:paraId="24AF544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w:t>
            </w:r>
          </w:p>
        </w:tc>
      </w:tr>
      <w:tr w:rsidR="00717BA5" w:rsidRPr="00717BA5" w14:paraId="2B6B8CEE" w14:textId="77777777" w:rsidTr="00F0752D">
        <w:trPr>
          <w:trHeight w:val="315"/>
        </w:trPr>
        <w:tc>
          <w:tcPr>
            <w:tcW w:w="3424" w:type="pct"/>
            <w:tcBorders>
              <w:left w:val="nil"/>
              <w:right w:val="nil"/>
            </w:tcBorders>
            <w:shd w:val="clear" w:color="000000" w:fill="FFFFFF"/>
            <w:vAlign w:val="bottom"/>
          </w:tcPr>
          <w:p w14:paraId="5A83AE8A"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6 or more years of service</w:t>
            </w:r>
          </w:p>
        </w:tc>
        <w:tc>
          <w:tcPr>
            <w:tcW w:w="633" w:type="pct"/>
            <w:tcBorders>
              <w:left w:val="nil"/>
              <w:right w:val="nil"/>
            </w:tcBorders>
            <w:shd w:val="clear" w:color="000000" w:fill="FFFFFF"/>
            <w:vAlign w:val="bottom"/>
          </w:tcPr>
          <w:p w14:paraId="08CBC52B" w14:textId="77777777" w:rsidR="00717BA5" w:rsidRPr="00717BA5" w:rsidRDefault="00717BA5" w:rsidP="00717BA5">
            <w:pPr>
              <w:spacing w:after="0" w:line="240" w:lineRule="auto"/>
              <w:jc w:val="right"/>
              <w:rPr>
                <w:rFonts w:ascii="Arial" w:eastAsia="Times New Roman" w:hAnsi="Arial" w:cs="Arial"/>
                <w:b/>
                <w:color w:val="auto"/>
                <w:sz w:val="18"/>
                <w:szCs w:val="18"/>
                <w:highlight w:val="yellow"/>
                <w:lang w:val="en-AU"/>
              </w:rPr>
            </w:pPr>
            <w:r w:rsidRPr="00717BA5">
              <w:rPr>
                <w:rFonts w:ascii="Arial" w:eastAsia="Times New Roman" w:hAnsi="Arial" w:cs="Arial"/>
                <w:color w:val="auto"/>
                <w:sz w:val="18"/>
                <w:szCs w:val="18"/>
                <w:lang w:val="en-AU"/>
              </w:rPr>
              <w:t>5%</w:t>
            </w:r>
          </w:p>
        </w:tc>
        <w:tc>
          <w:tcPr>
            <w:tcW w:w="305" w:type="pct"/>
            <w:tcBorders>
              <w:left w:val="nil"/>
              <w:right w:val="nil"/>
            </w:tcBorders>
            <w:shd w:val="clear" w:color="000000" w:fill="FFFFFF"/>
            <w:vAlign w:val="bottom"/>
          </w:tcPr>
          <w:p w14:paraId="0C57BEB8" w14:textId="77777777" w:rsidR="00717BA5" w:rsidRPr="00717BA5" w:rsidRDefault="00717BA5" w:rsidP="00717BA5">
            <w:pPr>
              <w:spacing w:after="0" w:line="240" w:lineRule="auto"/>
              <w:jc w:val="right"/>
              <w:rPr>
                <w:rFonts w:ascii="Arial" w:eastAsia="Times New Roman" w:hAnsi="Arial" w:cs="Arial"/>
                <w:b/>
                <w:color w:val="auto"/>
                <w:sz w:val="18"/>
                <w:szCs w:val="18"/>
                <w:highlight w:val="yellow"/>
                <w:lang w:val="en-AU"/>
              </w:rPr>
            </w:pPr>
          </w:p>
        </w:tc>
        <w:tc>
          <w:tcPr>
            <w:tcW w:w="638" w:type="pct"/>
            <w:tcBorders>
              <w:left w:val="nil"/>
              <w:right w:val="nil"/>
            </w:tcBorders>
            <w:shd w:val="clear" w:color="000000" w:fill="FFFFFF"/>
            <w:noWrap/>
            <w:vAlign w:val="bottom"/>
          </w:tcPr>
          <w:p w14:paraId="1D3C3FE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color w:val="auto"/>
                <w:sz w:val="18"/>
                <w:szCs w:val="18"/>
                <w:lang w:val="en-AU"/>
              </w:rPr>
              <w:t>5%</w:t>
            </w:r>
          </w:p>
        </w:tc>
      </w:tr>
      <w:tr w:rsidR="00717BA5" w:rsidRPr="00717BA5" w14:paraId="33DE829D" w14:textId="77777777" w:rsidTr="00F0752D">
        <w:trPr>
          <w:trHeight w:val="263"/>
        </w:trPr>
        <w:tc>
          <w:tcPr>
            <w:tcW w:w="3424" w:type="pct"/>
            <w:tcBorders>
              <w:left w:val="nil"/>
              <w:bottom w:val="nil"/>
              <w:right w:val="nil"/>
            </w:tcBorders>
            <w:shd w:val="clear" w:color="000000" w:fill="FFFFFF"/>
            <w:vAlign w:val="bottom"/>
          </w:tcPr>
          <w:p w14:paraId="580A5968"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633" w:type="pct"/>
            <w:tcBorders>
              <w:left w:val="nil"/>
              <w:right w:val="nil"/>
            </w:tcBorders>
            <w:shd w:val="clear" w:color="000000" w:fill="FFFFFF"/>
            <w:vAlign w:val="bottom"/>
          </w:tcPr>
          <w:p w14:paraId="2014C78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left w:val="nil"/>
              <w:right w:val="nil"/>
            </w:tcBorders>
            <w:shd w:val="clear" w:color="000000" w:fill="FFFFFF"/>
            <w:vAlign w:val="bottom"/>
          </w:tcPr>
          <w:p w14:paraId="5837F46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75A7727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69C41AF" w14:textId="77777777" w:rsidTr="00F0752D">
        <w:trPr>
          <w:trHeight w:val="315"/>
        </w:trPr>
        <w:tc>
          <w:tcPr>
            <w:tcW w:w="3424" w:type="pct"/>
            <w:tcBorders>
              <w:left w:val="nil"/>
              <w:bottom w:val="nil"/>
              <w:right w:val="nil"/>
            </w:tcBorders>
            <w:shd w:val="clear" w:color="000000" w:fill="FFFFFF"/>
            <w:vAlign w:val="bottom"/>
          </w:tcPr>
          <w:p w14:paraId="7A459CF8"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Exit Rate - No service in last year and not vested.</w:t>
            </w:r>
          </w:p>
        </w:tc>
        <w:tc>
          <w:tcPr>
            <w:tcW w:w="633" w:type="pct"/>
            <w:tcBorders>
              <w:left w:val="nil"/>
              <w:right w:val="nil"/>
            </w:tcBorders>
            <w:shd w:val="clear" w:color="000000" w:fill="FFFFFF"/>
            <w:vAlign w:val="bottom"/>
          </w:tcPr>
          <w:p w14:paraId="5BA3D16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left w:val="nil"/>
              <w:right w:val="nil"/>
            </w:tcBorders>
            <w:shd w:val="clear" w:color="000000" w:fill="FFFFFF"/>
            <w:vAlign w:val="bottom"/>
          </w:tcPr>
          <w:p w14:paraId="36A61BD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1D86C76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67D9AB48" w14:textId="77777777" w:rsidTr="00F0752D">
        <w:trPr>
          <w:trHeight w:val="315"/>
        </w:trPr>
        <w:tc>
          <w:tcPr>
            <w:tcW w:w="3424" w:type="pct"/>
            <w:tcBorders>
              <w:left w:val="nil"/>
              <w:bottom w:val="nil"/>
              <w:right w:val="nil"/>
            </w:tcBorders>
            <w:shd w:val="clear" w:color="000000" w:fill="FFFFFF"/>
            <w:vAlign w:val="bottom"/>
          </w:tcPr>
          <w:p w14:paraId="4390C82A"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less than 5 years of service</w:t>
            </w:r>
          </w:p>
        </w:tc>
        <w:tc>
          <w:tcPr>
            <w:tcW w:w="633" w:type="pct"/>
            <w:tcBorders>
              <w:left w:val="nil"/>
              <w:right w:val="nil"/>
            </w:tcBorders>
            <w:shd w:val="clear" w:color="000000" w:fill="FFFFFF"/>
            <w:vAlign w:val="bottom"/>
          </w:tcPr>
          <w:p w14:paraId="245BDB2F"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27%</w:t>
            </w:r>
          </w:p>
        </w:tc>
        <w:tc>
          <w:tcPr>
            <w:tcW w:w="305" w:type="pct"/>
            <w:tcBorders>
              <w:left w:val="nil"/>
              <w:right w:val="nil"/>
            </w:tcBorders>
            <w:shd w:val="clear" w:color="000000" w:fill="FFFFFF"/>
            <w:vAlign w:val="bottom"/>
          </w:tcPr>
          <w:p w14:paraId="72F4717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26B0CDF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27%</w:t>
            </w:r>
          </w:p>
        </w:tc>
      </w:tr>
      <w:tr w:rsidR="00717BA5" w:rsidRPr="00717BA5" w14:paraId="4223DE0C" w14:textId="77777777" w:rsidTr="00F0752D">
        <w:trPr>
          <w:trHeight w:val="315"/>
        </w:trPr>
        <w:tc>
          <w:tcPr>
            <w:tcW w:w="3424" w:type="pct"/>
            <w:tcBorders>
              <w:left w:val="nil"/>
              <w:bottom w:val="nil"/>
              <w:right w:val="nil"/>
            </w:tcBorders>
            <w:shd w:val="clear" w:color="000000" w:fill="FFFFFF"/>
            <w:vAlign w:val="bottom"/>
          </w:tcPr>
          <w:p w14:paraId="248CD85A"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5 or more years of service</w:t>
            </w:r>
          </w:p>
        </w:tc>
        <w:tc>
          <w:tcPr>
            <w:tcW w:w="633" w:type="pct"/>
            <w:tcBorders>
              <w:left w:val="nil"/>
              <w:right w:val="nil"/>
            </w:tcBorders>
            <w:shd w:val="clear" w:color="000000" w:fill="FFFFFF"/>
            <w:vAlign w:val="bottom"/>
          </w:tcPr>
          <w:p w14:paraId="4A54BD7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21%</w:t>
            </w:r>
          </w:p>
        </w:tc>
        <w:tc>
          <w:tcPr>
            <w:tcW w:w="305" w:type="pct"/>
            <w:tcBorders>
              <w:left w:val="nil"/>
              <w:right w:val="nil"/>
            </w:tcBorders>
            <w:shd w:val="clear" w:color="000000" w:fill="FFFFFF"/>
            <w:vAlign w:val="bottom"/>
          </w:tcPr>
          <w:p w14:paraId="2FF4CCEE"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5D668C5E"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21%</w:t>
            </w:r>
          </w:p>
        </w:tc>
      </w:tr>
      <w:tr w:rsidR="00717BA5" w:rsidRPr="00717BA5" w14:paraId="4A156A76" w14:textId="77777777" w:rsidTr="00F0752D">
        <w:trPr>
          <w:trHeight w:val="315"/>
        </w:trPr>
        <w:tc>
          <w:tcPr>
            <w:tcW w:w="3424" w:type="pct"/>
            <w:tcBorders>
              <w:left w:val="nil"/>
              <w:bottom w:val="nil"/>
              <w:right w:val="nil"/>
            </w:tcBorders>
            <w:shd w:val="clear" w:color="000000" w:fill="FFFFFF"/>
            <w:vAlign w:val="bottom"/>
          </w:tcPr>
          <w:p w14:paraId="750A3B69"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tc>
        <w:tc>
          <w:tcPr>
            <w:tcW w:w="633" w:type="pct"/>
            <w:tcBorders>
              <w:left w:val="nil"/>
              <w:right w:val="nil"/>
            </w:tcBorders>
            <w:shd w:val="clear" w:color="000000" w:fill="FFFFFF"/>
            <w:vAlign w:val="bottom"/>
          </w:tcPr>
          <w:p w14:paraId="24962F2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left w:val="nil"/>
              <w:right w:val="nil"/>
            </w:tcBorders>
            <w:shd w:val="clear" w:color="000000" w:fill="FFFFFF"/>
            <w:vAlign w:val="bottom"/>
          </w:tcPr>
          <w:p w14:paraId="309C608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7A3122E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7542184C" w14:textId="77777777" w:rsidTr="00F0752D">
        <w:trPr>
          <w:trHeight w:val="80"/>
        </w:trPr>
        <w:tc>
          <w:tcPr>
            <w:tcW w:w="3424" w:type="pct"/>
            <w:tcBorders>
              <w:left w:val="nil"/>
              <w:bottom w:val="nil"/>
              <w:right w:val="nil"/>
            </w:tcBorders>
            <w:shd w:val="clear" w:color="000000" w:fill="FFFFFF"/>
            <w:vAlign w:val="bottom"/>
          </w:tcPr>
          <w:p w14:paraId="32A209A9"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tc>
        <w:tc>
          <w:tcPr>
            <w:tcW w:w="633" w:type="pct"/>
            <w:tcBorders>
              <w:left w:val="nil"/>
              <w:right w:val="nil"/>
            </w:tcBorders>
            <w:shd w:val="clear" w:color="000000" w:fill="FFFFFF"/>
            <w:vAlign w:val="bottom"/>
          </w:tcPr>
          <w:p w14:paraId="0D59553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left w:val="nil"/>
              <w:right w:val="nil"/>
            </w:tcBorders>
            <w:shd w:val="clear" w:color="000000" w:fill="FFFFFF"/>
            <w:vAlign w:val="bottom"/>
          </w:tcPr>
          <w:p w14:paraId="3727CB8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0CB7764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721AD865" w14:textId="77777777" w:rsidTr="00F0752D">
        <w:trPr>
          <w:trHeight w:val="315"/>
        </w:trPr>
        <w:tc>
          <w:tcPr>
            <w:tcW w:w="3424" w:type="pct"/>
            <w:tcBorders>
              <w:left w:val="nil"/>
              <w:bottom w:val="nil"/>
              <w:right w:val="nil"/>
            </w:tcBorders>
            <w:shd w:val="clear" w:color="000000" w:fill="FFFFFF"/>
            <w:vAlign w:val="bottom"/>
          </w:tcPr>
          <w:p w14:paraId="03AB21E3"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633" w:type="pct"/>
            <w:tcBorders>
              <w:left w:val="nil"/>
              <w:right w:val="nil"/>
            </w:tcBorders>
            <w:shd w:val="clear" w:color="000000" w:fill="FFFFFF"/>
            <w:vAlign w:val="bottom"/>
          </w:tcPr>
          <w:p w14:paraId="573FA1C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left w:val="nil"/>
              <w:right w:val="nil"/>
            </w:tcBorders>
            <w:shd w:val="clear" w:color="000000" w:fill="FFFFFF"/>
            <w:vAlign w:val="bottom"/>
          </w:tcPr>
          <w:p w14:paraId="3F2D745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4DD4A71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C873C1C" w14:textId="77777777" w:rsidTr="00F0752D">
        <w:trPr>
          <w:trHeight w:val="1405"/>
        </w:trPr>
        <w:tc>
          <w:tcPr>
            <w:tcW w:w="5000" w:type="pct"/>
            <w:gridSpan w:val="4"/>
            <w:tcBorders>
              <w:left w:val="nil"/>
              <w:bottom w:val="nil"/>
              <w:right w:val="nil"/>
            </w:tcBorders>
            <w:shd w:val="clear" w:color="000000" w:fill="FFFFFF"/>
            <w:vAlign w:val="bottom"/>
          </w:tcPr>
          <w:p w14:paraId="0AEC9FFE" w14:textId="77777777" w:rsidR="00717BA5" w:rsidRPr="00717BA5" w:rsidRDefault="00717BA5" w:rsidP="00717BA5">
            <w:pPr>
              <w:adjustRightInd w:val="0"/>
              <w:snapToGrid w:val="0"/>
              <w:rPr>
                <w:rFonts w:ascii="Arial" w:eastAsia="Times New Roman" w:hAnsi="Arial" w:cs="Arial"/>
                <w:b/>
                <w:color w:val="auto"/>
                <w:sz w:val="18"/>
                <w:szCs w:val="18"/>
                <w:lang w:val="en-AU"/>
              </w:rPr>
            </w:pPr>
            <w:r w:rsidRPr="00717BA5">
              <w:rPr>
                <w:rFonts w:ascii="Arial" w:eastAsia="Times New Roman" w:hAnsi="Arial" w:cs="Arial"/>
                <w:b/>
                <w:bCs/>
                <w:color w:val="auto"/>
                <w:lang w:val="en-AU"/>
              </w:rPr>
              <w:t>In Service Benefit Rates</w:t>
            </w:r>
          </w:p>
          <w:p w14:paraId="32C28C25"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 xml:space="preserve">The rates </w:t>
            </w:r>
            <w:r w:rsidRPr="00717BA5">
              <w:rPr>
                <w:rFonts w:ascii="Arial" w:eastAsia="Calibri" w:hAnsi="Arial" w:cs="Arial"/>
                <w:color w:val="auto"/>
              </w:rPr>
              <w:t>at</w:t>
            </w:r>
            <w:r w:rsidRPr="00717BA5">
              <w:rPr>
                <w:rFonts w:ascii="Arial" w:eastAsia="Calibri" w:hAnsi="Arial" w:cs="Arial"/>
                <w:color w:val="auto"/>
                <w:spacing w:val="-4"/>
              </w:rPr>
              <w:t xml:space="preserve"> </w:t>
            </w:r>
            <w:r w:rsidRPr="00717BA5">
              <w:rPr>
                <w:rFonts w:ascii="Arial" w:eastAsia="Calibri" w:hAnsi="Arial" w:cs="Arial"/>
                <w:color w:val="auto"/>
                <w:spacing w:val="-1"/>
              </w:rPr>
              <w:t>which</w:t>
            </w:r>
            <w:r w:rsidRPr="00717BA5">
              <w:rPr>
                <w:rFonts w:ascii="Arial" w:eastAsia="Calibri" w:hAnsi="Arial" w:cs="Arial"/>
                <w:color w:val="auto"/>
                <w:spacing w:val="-5"/>
              </w:rPr>
              <w:t xml:space="preserve"> </w:t>
            </w:r>
            <w:r w:rsidRPr="00717BA5">
              <w:rPr>
                <w:rFonts w:ascii="Arial" w:eastAsia="Calibri" w:hAnsi="Arial" w:cs="Arial"/>
                <w:color w:val="auto"/>
              </w:rPr>
              <w:t>workers</w:t>
            </w:r>
            <w:r w:rsidRPr="00717BA5">
              <w:rPr>
                <w:rFonts w:ascii="Arial" w:eastAsia="Calibri" w:hAnsi="Arial" w:cs="Arial"/>
                <w:color w:val="auto"/>
                <w:spacing w:val="-6"/>
              </w:rPr>
              <w:t xml:space="preserve"> </w:t>
            </w:r>
            <w:r w:rsidRPr="00717BA5">
              <w:rPr>
                <w:rFonts w:ascii="Arial" w:eastAsia="Calibri" w:hAnsi="Arial" w:cs="Arial"/>
                <w:color w:val="auto"/>
              </w:rPr>
              <w:t>with different periods of service might take their benefit vary as</w:t>
            </w:r>
            <w:r w:rsidRPr="00717BA5">
              <w:rPr>
                <w:rFonts w:ascii="Arial" w:eastAsia="Calibri" w:hAnsi="Arial" w:cs="Arial"/>
                <w:color w:val="auto"/>
                <w:spacing w:val="-1"/>
              </w:rPr>
              <w:t xml:space="preserve"> follows:</w:t>
            </w:r>
          </w:p>
        </w:tc>
      </w:tr>
      <w:tr w:rsidR="00717BA5" w:rsidRPr="00717BA5" w14:paraId="51308C52" w14:textId="77777777" w:rsidTr="00F0752D">
        <w:trPr>
          <w:trHeight w:val="315"/>
        </w:trPr>
        <w:tc>
          <w:tcPr>
            <w:tcW w:w="3424" w:type="pct"/>
            <w:tcBorders>
              <w:left w:val="nil"/>
              <w:bottom w:val="nil"/>
              <w:right w:val="nil"/>
            </w:tcBorders>
            <w:shd w:val="clear" w:color="000000" w:fill="FFFFFF"/>
            <w:vAlign w:val="bottom"/>
          </w:tcPr>
          <w:p w14:paraId="1B19E1C1"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In Service Benefit Rate</w:t>
            </w:r>
          </w:p>
        </w:tc>
        <w:tc>
          <w:tcPr>
            <w:tcW w:w="633" w:type="pct"/>
            <w:tcBorders>
              <w:left w:val="nil"/>
              <w:right w:val="nil"/>
            </w:tcBorders>
            <w:shd w:val="clear" w:color="000000" w:fill="FFFFFF"/>
            <w:vAlign w:val="bottom"/>
          </w:tcPr>
          <w:p w14:paraId="4AF66C0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left w:val="nil"/>
              <w:right w:val="nil"/>
            </w:tcBorders>
            <w:shd w:val="clear" w:color="000000" w:fill="FFFFFF"/>
            <w:vAlign w:val="bottom"/>
          </w:tcPr>
          <w:p w14:paraId="6A9B03E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57F0EFE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055A51BF" w14:textId="77777777" w:rsidTr="00F0752D">
        <w:trPr>
          <w:trHeight w:val="315"/>
        </w:trPr>
        <w:tc>
          <w:tcPr>
            <w:tcW w:w="3424" w:type="pct"/>
            <w:tcBorders>
              <w:left w:val="nil"/>
              <w:bottom w:val="nil"/>
              <w:right w:val="nil"/>
            </w:tcBorders>
            <w:shd w:val="clear" w:color="000000" w:fill="FFFFFF"/>
            <w:vAlign w:val="bottom"/>
          </w:tcPr>
          <w:p w14:paraId="4E83F4FD"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less than 10 years of service</w:t>
            </w:r>
          </w:p>
        </w:tc>
        <w:tc>
          <w:tcPr>
            <w:tcW w:w="633" w:type="pct"/>
            <w:tcBorders>
              <w:left w:val="nil"/>
              <w:right w:val="nil"/>
            </w:tcBorders>
            <w:shd w:val="clear" w:color="000000" w:fill="FFFFFF"/>
            <w:vAlign w:val="bottom"/>
          </w:tcPr>
          <w:p w14:paraId="375A6786"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0%</w:t>
            </w:r>
          </w:p>
        </w:tc>
        <w:tc>
          <w:tcPr>
            <w:tcW w:w="305" w:type="pct"/>
            <w:tcBorders>
              <w:left w:val="nil"/>
              <w:right w:val="nil"/>
            </w:tcBorders>
            <w:shd w:val="clear" w:color="000000" w:fill="FFFFFF"/>
            <w:vAlign w:val="bottom"/>
          </w:tcPr>
          <w:p w14:paraId="224262D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67D584F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0%</w:t>
            </w:r>
          </w:p>
        </w:tc>
      </w:tr>
      <w:tr w:rsidR="00717BA5" w:rsidRPr="00717BA5" w14:paraId="7C629C9D" w14:textId="77777777" w:rsidTr="00F0752D">
        <w:trPr>
          <w:trHeight w:val="315"/>
        </w:trPr>
        <w:tc>
          <w:tcPr>
            <w:tcW w:w="3424" w:type="pct"/>
            <w:tcBorders>
              <w:left w:val="nil"/>
              <w:right w:val="nil"/>
            </w:tcBorders>
            <w:shd w:val="clear" w:color="000000" w:fill="FFFFFF"/>
            <w:vAlign w:val="bottom"/>
          </w:tcPr>
          <w:p w14:paraId="74FEBC57"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10 years of service</w:t>
            </w:r>
          </w:p>
        </w:tc>
        <w:tc>
          <w:tcPr>
            <w:tcW w:w="633" w:type="pct"/>
            <w:tcBorders>
              <w:left w:val="nil"/>
              <w:right w:val="nil"/>
            </w:tcBorders>
            <w:shd w:val="clear" w:color="000000" w:fill="FFFFFF"/>
            <w:vAlign w:val="bottom"/>
          </w:tcPr>
          <w:p w14:paraId="6B8C3908"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22%</w:t>
            </w:r>
          </w:p>
        </w:tc>
        <w:tc>
          <w:tcPr>
            <w:tcW w:w="305" w:type="pct"/>
            <w:tcBorders>
              <w:left w:val="nil"/>
              <w:right w:val="nil"/>
            </w:tcBorders>
            <w:shd w:val="clear" w:color="000000" w:fill="FFFFFF"/>
            <w:vAlign w:val="bottom"/>
          </w:tcPr>
          <w:p w14:paraId="7D74E99B"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0932C956"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22%</w:t>
            </w:r>
          </w:p>
        </w:tc>
      </w:tr>
      <w:tr w:rsidR="00717BA5" w:rsidRPr="00717BA5" w14:paraId="57BB6BAC" w14:textId="77777777" w:rsidTr="00F0752D">
        <w:trPr>
          <w:trHeight w:val="315"/>
        </w:trPr>
        <w:tc>
          <w:tcPr>
            <w:tcW w:w="3424" w:type="pct"/>
            <w:tcBorders>
              <w:left w:val="nil"/>
              <w:bottom w:val="nil"/>
              <w:right w:val="nil"/>
            </w:tcBorders>
            <w:shd w:val="clear" w:color="000000" w:fill="FFFFFF"/>
            <w:vAlign w:val="bottom"/>
          </w:tcPr>
          <w:p w14:paraId="6E1F31F6"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11 years of service</w:t>
            </w:r>
          </w:p>
        </w:tc>
        <w:tc>
          <w:tcPr>
            <w:tcW w:w="633" w:type="pct"/>
            <w:tcBorders>
              <w:left w:val="nil"/>
              <w:right w:val="nil"/>
            </w:tcBorders>
            <w:shd w:val="clear" w:color="000000" w:fill="FFFFFF"/>
            <w:vAlign w:val="bottom"/>
          </w:tcPr>
          <w:p w14:paraId="3DCC9F2E"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15%</w:t>
            </w:r>
          </w:p>
        </w:tc>
        <w:tc>
          <w:tcPr>
            <w:tcW w:w="305" w:type="pct"/>
            <w:tcBorders>
              <w:left w:val="nil"/>
              <w:right w:val="nil"/>
            </w:tcBorders>
            <w:shd w:val="clear" w:color="000000" w:fill="FFFFFF"/>
            <w:vAlign w:val="bottom"/>
          </w:tcPr>
          <w:p w14:paraId="6E038871"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1896440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15%</w:t>
            </w:r>
          </w:p>
        </w:tc>
      </w:tr>
      <w:tr w:rsidR="00717BA5" w:rsidRPr="00717BA5" w14:paraId="5B22FBB6" w14:textId="77777777" w:rsidTr="00F0752D">
        <w:trPr>
          <w:trHeight w:val="315"/>
        </w:trPr>
        <w:tc>
          <w:tcPr>
            <w:tcW w:w="3424" w:type="pct"/>
            <w:tcBorders>
              <w:left w:val="nil"/>
              <w:bottom w:val="nil"/>
              <w:right w:val="nil"/>
            </w:tcBorders>
            <w:shd w:val="clear" w:color="000000" w:fill="FFFFFF"/>
            <w:vAlign w:val="bottom"/>
          </w:tcPr>
          <w:p w14:paraId="4C1E7DC0"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12 years of service</w:t>
            </w:r>
          </w:p>
        </w:tc>
        <w:tc>
          <w:tcPr>
            <w:tcW w:w="633" w:type="pct"/>
            <w:tcBorders>
              <w:left w:val="nil"/>
              <w:right w:val="nil"/>
            </w:tcBorders>
            <w:shd w:val="clear" w:color="000000" w:fill="FFFFFF"/>
            <w:vAlign w:val="bottom"/>
          </w:tcPr>
          <w:p w14:paraId="48CB078A"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13%</w:t>
            </w:r>
          </w:p>
        </w:tc>
        <w:tc>
          <w:tcPr>
            <w:tcW w:w="305" w:type="pct"/>
            <w:tcBorders>
              <w:left w:val="nil"/>
              <w:right w:val="nil"/>
            </w:tcBorders>
            <w:shd w:val="clear" w:color="000000" w:fill="FFFFFF"/>
            <w:vAlign w:val="bottom"/>
          </w:tcPr>
          <w:p w14:paraId="2FED1C57"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3664FBF7"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13%</w:t>
            </w:r>
          </w:p>
        </w:tc>
      </w:tr>
      <w:tr w:rsidR="00717BA5" w:rsidRPr="00717BA5" w14:paraId="75650237" w14:textId="77777777" w:rsidTr="00F0752D">
        <w:trPr>
          <w:trHeight w:val="315"/>
        </w:trPr>
        <w:tc>
          <w:tcPr>
            <w:tcW w:w="3424" w:type="pct"/>
            <w:tcBorders>
              <w:left w:val="nil"/>
              <w:bottom w:val="nil"/>
              <w:right w:val="nil"/>
            </w:tcBorders>
            <w:shd w:val="clear" w:color="000000" w:fill="FFFFFF"/>
            <w:vAlign w:val="bottom"/>
          </w:tcPr>
          <w:p w14:paraId="681F4BCF"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13 years of service</w:t>
            </w:r>
          </w:p>
        </w:tc>
        <w:tc>
          <w:tcPr>
            <w:tcW w:w="633" w:type="pct"/>
            <w:tcBorders>
              <w:left w:val="nil"/>
              <w:right w:val="nil"/>
            </w:tcBorders>
            <w:shd w:val="clear" w:color="000000" w:fill="FFFFFF"/>
            <w:vAlign w:val="bottom"/>
          </w:tcPr>
          <w:p w14:paraId="13AC241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10%</w:t>
            </w:r>
          </w:p>
        </w:tc>
        <w:tc>
          <w:tcPr>
            <w:tcW w:w="305" w:type="pct"/>
            <w:tcBorders>
              <w:left w:val="nil"/>
              <w:right w:val="nil"/>
            </w:tcBorders>
            <w:shd w:val="clear" w:color="000000" w:fill="FFFFFF"/>
            <w:vAlign w:val="bottom"/>
          </w:tcPr>
          <w:p w14:paraId="4DF20CD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59E305DE"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10%</w:t>
            </w:r>
          </w:p>
        </w:tc>
      </w:tr>
      <w:tr w:rsidR="00717BA5" w:rsidRPr="00717BA5" w14:paraId="6380CE69" w14:textId="77777777" w:rsidTr="00F0752D">
        <w:trPr>
          <w:trHeight w:val="315"/>
        </w:trPr>
        <w:tc>
          <w:tcPr>
            <w:tcW w:w="3424" w:type="pct"/>
            <w:tcBorders>
              <w:left w:val="nil"/>
              <w:bottom w:val="nil"/>
              <w:right w:val="nil"/>
            </w:tcBorders>
            <w:shd w:val="clear" w:color="000000" w:fill="FFFFFF"/>
            <w:vAlign w:val="bottom"/>
          </w:tcPr>
          <w:p w14:paraId="3F12FFC0"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14 or more years of service</w:t>
            </w:r>
          </w:p>
        </w:tc>
        <w:tc>
          <w:tcPr>
            <w:tcW w:w="633" w:type="pct"/>
            <w:tcBorders>
              <w:left w:val="nil"/>
              <w:right w:val="nil"/>
            </w:tcBorders>
            <w:shd w:val="clear" w:color="000000" w:fill="FFFFFF"/>
            <w:vAlign w:val="bottom"/>
          </w:tcPr>
          <w:p w14:paraId="56EA47AF"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7%</w:t>
            </w:r>
          </w:p>
        </w:tc>
        <w:tc>
          <w:tcPr>
            <w:tcW w:w="305" w:type="pct"/>
            <w:tcBorders>
              <w:left w:val="nil"/>
              <w:right w:val="nil"/>
            </w:tcBorders>
            <w:shd w:val="clear" w:color="000000" w:fill="FFFFFF"/>
            <w:vAlign w:val="bottom"/>
          </w:tcPr>
          <w:p w14:paraId="74CCE3BB"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734970FF"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7%</w:t>
            </w:r>
          </w:p>
        </w:tc>
      </w:tr>
      <w:tr w:rsidR="00717BA5" w:rsidRPr="00717BA5" w14:paraId="6F06EC62" w14:textId="77777777" w:rsidTr="00F0752D">
        <w:trPr>
          <w:trHeight w:val="315"/>
        </w:trPr>
        <w:tc>
          <w:tcPr>
            <w:tcW w:w="5000" w:type="pct"/>
            <w:gridSpan w:val="4"/>
            <w:tcBorders>
              <w:left w:val="nil"/>
              <w:bottom w:val="nil"/>
            </w:tcBorders>
            <w:shd w:val="clear" w:color="000000" w:fill="FFFFFF"/>
            <w:vAlign w:val="bottom"/>
          </w:tcPr>
          <w:p w14:paraId="5F7B8203"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p w14:paraId="20378E33"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p w14:paraId="0E56FD97"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p w14:paraId="3A4B5323"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p w14:paraId="76C131EA"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p w14:paraId="6CA4D3CB"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p w14:paraId="0A5E0145"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p w14:paraId="5363648B" w14:textId="77777777" w:rsidR="00717BA5" w:rsidRPr="00717BA5" w:rsidRDefault="00717BA5" w:rsidP="00717BA5">
            <w:pPr>
              <w:keepNext/>
              <w:spacing w:after="120" w:line="240" w:lineRule="auto"/>
              <w:outlineLvl w:val="1"/>
              <w:rPr>
                <w:rFonts w:ascii="Arial" w:eastAsia="Times New Roman" w:hAnsi="Arial" w:cs="Arial"/>
                <w:b/>
                <w:bCs/>
                <w:color w:val="auto"/>
                <w:sz w:val="24"/>
                <w:szCs w:val="24"/>
                <w:lang w:val="en-AU"/>
              </w:rPr>
            </w:pPr>
          </w:p>
          <w:p w14:paraId="27151658" w14:textId="77777777" w:rsidR="00717BA5" w:rsidRPr="00717BA5" w:rsidRDefault="00717BA5" w:rsidP="00341E60">
            <w:pPr>
              <w:keepNext/>
              <w:spacing w:after="120" w:line="240" w:lineRule="auto"/>
              <w:jc w:val="both"/>
              <w:outlineLvl w:val="1"/>
              <w:rPr>
                <w:rFonts w:ascii="Arial" w:eastAsia="Times New Roman" w:hAnsi="Arial" w:cs="Arial"/>
                <w:b/>
                <w:bCs/>
                <w:iCs/>
                <w:color w:val="auto"/>
                <w:sz w:val="24"/>
                <w:szCs w:val="24"/>
                <w:lang w:val="en-AU"/>
              </w:rPr>
            </w:pPr>
            <w:bookmarkStart w:id="107" w:name="_Toc240533522"/>
            <w:r w:rsidRPr="00717BA5">
              <w:rPr>
                <w:rFonts w:ascii="Arial" w:eastAsia="Times New Roman" w:hAnsi="Arial" w:cs="Arial"/>
                <w:b/>
                <w:bCs/>
                <w:color w:val="auto"/>
                <w:sz w:val="24"/>
                <w:szCs w:val="24"/>
                <w:lang w:val="en-AU"/>
              </w:rPr>
              <w:t xml:space="preserve">NOTE 15. </w:t>
            </w:r>
            <w:r w:rsidRPr="00717BA5" w:rsidDel="008B0B4B">
              <w:rPr>
                <w:rFonts w:ascii="Arial" w:eastAsia="Times New Roman" w:hAnsi="Arial" w:cs="Arial"/>
                <w:b/>
                <w:bCs/>
                <w:color w:val="auto"/>
                <w:sz w:val="24"/>
                <w:szCs w:val="24"/>
                <w:lang w:val="en-AU"/>
              </w:rPr>
              <w:t xml:space="preserve"> </w:t>
            </w:r>
            <w:r w:rsidRPr="00717BA5">
              <w:rPr>
                <w:rFonts w:ascii="Arial" w:eastAsia="Times New Roman" w:hAnsi="Arial" w:cs="Arial"/>
                <w:b/>
                <w:bCs/>
                <w:color w:val="auto"/>
                <w:sz w:val="24"/>
                <w:szCs w:val="24"/>
                <w:lang w:val="en-AU"/>
              </w:rPr>
              <w:t>PROVISION FOR LONG SERVICE LEAVE BENEFITS - CONTINUED</w:t>
            </w:r>
            <w:bookmarkEnd w:id="107"/>
          </w:p>
        </w:tc>
      </w:tr>
      <w:tr w:rsidR="00717BA5" w:rsidRPr="00717BA5" w14:paraId="1A5EF5ED" w14:textId="77777777" w:rsidTr="00F0752D">
        <w:trPr>
          <w:trHeight w:val="315"/>
        </w:trPr>
        <w:tc>
          <w:tcPr>
            <w:tcW w:w="3424" w:type="pct"/>
            <w:tcBorders>
              <w:left w:val="nil"/>
              <w:bottom w:val="nil"/>
              <w:right w:val="nil"/>
            </w:tcBorders>
            <w:shd w:val="clear" w:color="000000" w:fill="FFFFFF"/>
            <w:vAlign w:val="bottom"/>
          </w:tcPr>
          <w:p w14:paraId="77A75134"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lastRenderedPageBreak/>
              <w:t>Discount Rate</w:t>
            </w:r>
          </w:p>
        </w:tc>
        <w:tc>
          <w:tcPr>
            <w:tcW w:w="633" w:type="pct"/>
            <w:tcBorders>
              <w:left w:val="nil"/>
              <w:right w:val="nil"/>
            </w:tcBorders>
            <w:shd w:val="clear" w:color="000000" w:fill="FFFFFF"/>
            <w:vAlign w:val="bottom"/>
          </w:tcPr>
          <w:p w14:paraId="68E31D6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left w:val="nil"/>
              <w:right w:val="nil"/>
            </w:tcBorders>
            <w:shd w:val="clear" w:color="000000" w:fill="FFFFFF"/>
            <w:vAlign w:val="bottom"/>
          </w:tcPr>
          <w:p w14:paraId="6BEC708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68A4EE8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423123AE" w14:textId="77777777" w:rsidTr="00F0752D">
        <w:trPr>
          <w:trHeight w:val="2047"/>
        </w:trPr>
        <w:tc>
          <w:tcPr>
            <w:tcW w:w="5000" w:type="pct"/>
            <w:gridSpan w:val="4"/>
            <w:tcBorders>
              <w:left w:val="nil"/>
              <w:bottom w:val="nil"/>
              <w:right w:val="nil"/>
            </w:tcBorders>
            <w:shd w:val="clear" w:color="000000" w:fill="FFFFFF"/>
            <w:vAlign w:val="bottom"/>
          </w:tcPr>
          <w:p w14:paraId="480D52E0"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Calibri" w:hAnsi="Arial" w:cs="Arial"/>
                <w:color w:val="auto"/>
                <w:spacing w:val="-1"/>
              </w:rPr>
              <w:t xml:space="preserve">The discount rate used to estimate the present value of long service leave provisions is the expected return on assets, which was also used in ACT Leave’s triennial actuarial valuations to determine contribution levies. ACT Leave and its’ actuary regarded the expected return on assets to be a reliable measure, according to AASB 137 </w:t>
            </w:r>
            <w:r w:rsidRPr="00717BA5">
              <w:rPr>
                <w:rFonts w:ascii="Arial" w:eastAsia="Calibri" w:hAnsi="Arial" w:cs="Arial"/>
                <w:i/>
                <w:iCs/>
                <w:color w:val="auto"/>
                <w:spacing w:val="-1"/>
              </w:rPr>
              <w:t>‘Provisions, Contingent Assets and Contingent Liabilities’</w:t>
            </w:r>
            <w:r w:rsidRPr="00717BA5">
              <w:rPr>
                <w:rFonts w:ascii="Arial" w:eastAsia="Calibri" w:hAnsi="Arial" w:cs="Arial"/>
                <w:color w:val="auto"/>
                <w:spacing w:val="-1"/>
              </w:rPr>
              <w:t>, of the time value of money for the long service leave liabilities. The expected return on assets used as a discount rate, 5.6% per annum at 30 June 2026 (30 June 2025: 6.0% per annum), is based on the long-term return rate of ACT Leave’s investments, with funds invested in accordance with the strategic asset allocation prescribed in ACT Leave’s Investment Plan, approved by the Treasurer. ACT Leave may, from time to time, vary the discount rate based on an assessment of investment conditions.</w:t>
            </w:r>
          </w:p>
        </w:tc>
      </w:tr>
      <w:tr w:rsidR="00717BA5" w:rsidRPr="00717BA5" w14:paraId="2B2DDEDC" w14:textId="77777777" w:rsidTr="00F0752D">
        <w:trPr>
          <w:trHeight w:val="315"/>
        </w:trPr>
        <w:tc>
          <w:tcPr>
            <w:tcW w:w="3424" w:type="pct"/>
            <w:tcBorders>
              <w:left w:val="nil"/>
              <w:bottom w:val="nil"/>
              <w:right w:val="nil"/>
            </w:tcBorders>
            <w:shd w:val="clear" w:color="000000" w:fill="FFFFFF"/>
            <w:vAlign w:val="bottom"/>
          </w:tcPr>
          <w:p w14:paraId="7232AEE9"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Increase in future wages</w:t>
            </w:r>
          </w:p>
        </w:tc>
        <w:tc>
          <w:tcPr>
            <w:tcW w:w="633" w:type="pct"/>
            <w:tcBorders>
              <w:left w:val="nil"/>
              <w:right w:val="nil"/>
            </w:tcBorders>
            <w:shd w:val="clear" w:color="000000" w:fill="FFFFFF"/>
            <w:vAlign w:val="bottom"/>
          </w:tcPr>
          <w:p w14:paraId="1D6D25A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left w:val="nil"/>
              <w:right w:val="nil"/>
            </w:tcBorders>
            <w:shd w:val="clear" w:color="000000" w:fill="FFFFFF"/>
            <w:vAlign w:val="bottom"/>
          </w:tcPr>
          <w:p w14:paraId="7F49EE4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5247E52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28BF1F10" w14:textId="77777777" w:rsidTr="00F0752D">
        <w:trPr>
          <w:trHeight w:val="315"/>
        </w:trPr>
        <w:tc>
          <w:tcPr>
            <w:tcW w:w="5000" w:type="pct"/>
            <w:gridSpan w:val="4"/>
            <w:tcBorders>
              <w:left w:val="nil"/>
              <w:bottom w:val="nil"/>
              <w:right w:val="nil"/>
            </w:tcBorders>
            <w:shd w:val="clear" w:color="000000" w:fill="FFFFFF"/>
            <w:vAlign w:val="bottom"/>
          </w:tcPr>
          <w:p w14:paraId="19CB566C" w14:textId="77777777" w:rsidR="00717BA5" w:rsidRPr="00717BA5" w:rsidRDefault="00717BA5" w:rsidP="00717BA5">
            <w:pPr>
              <w:adjustRightInd w:val="0"/>
              <w:snapToGrid w:val="0"/>
              <w:rPr>
                <w:rFonts w:ascii="Arial" w:eastAsia="Calibri" w:hAnsi="Arial" w:cs="Arial"/>
                <w:color w:val="auto"/>
                <w:spacing w:val="-1"/>
              </w:rPr>
            </w:pPr>
            <w:r w:rsidRPr="00717BA5">
              <w:rPr>
                <w:rFonts w:ascii="Arial" w:eastAsia="Calibri" w:hAnsi="Arial" w:cs="Arial"/>
                <w:color w:val="auto"/>
                <w:spacing w:val="-1"/>
              </w:rPr>
              <w:t>Increases in future wages due to inflation of 2.5% per annum at 30 June 2026 (30 June 2025: 3.0% for the next year and 2.5% per annum thereafter).</w:t>
            </w:r>
          </w:p>
        </w:tc>
      </w:tr>
      <w:tr w:rsidR="00717BA5" w:rsidRPr="00717BA5" w14:paraId="2B42E54C" w14:textId="77777777" w:rsidTr="00F0752D">
        <w:trPr>
          <w:trHeight w:val="315"/>
        </w:trPr>
        <w:tc>
          <w:tcPr>
            <w:tcW w:w="3424" w:type="pct"/>
            <w:tcBorders>
              <w:left w:val="nil"/>
              <w:bottom w:val="nil"/>
              <w:right w:val="nil"/>
            </w:tcBorders>
            <w:shd w:val="clear" w:color="000000" w:fill="FFFFFF"/>
            <w:vAlign w:val="bottom"/>
          </w:tcPr>
          <w:p w14:paraId="47177AA2" w14:textId="77777777" w:rsidR="00717BA5" w:rsidRPr="00717BA5" w:rsidRDefault="00717BA5" w:rsidP="00717BA5">
            <w:pPr>
              <w:spacing w:after="0" w:line="240" w:lineRule="auto"/>
              <w:ind w:left="45"/>
              <w:rPr>
                <w:rFonts w:ascii="Arial" w:eastAsia="Times New Roman" w:hAnsi="Arial" w:cs="Arial"/>
                <w:b/>
                <w:bCs/>
                <w:color w:val="auto"/>
                <w:sz w:val="18"/>
                <w:szCs w:val="18"/>
                <w:lang w:val="en-AU"/>
              </w:rPr>
            </w:pPr>
            <w:r w:rsidRPr="00717BA5">
              <w:rPr>
                <w:rFonts w:ascii="Arial" w:eastAsia="Calibri" w:hAnsi="Arial" w:cs="Arial"/>
                <w:b/>
                <w:bCs/>
                <w:color w:val="auto"/>
                <w:spacing w:val="-1"/>
                <w:sz w:val="18"/>
                <w:szCs w:val="18"/>
                <w:lang w:eastAsia="en-US"/>
              </w:rPr>
              <w:t>Increases</w:t>
            </w:r>
            <w:r w:rsidRPr="00717BA5">
              <w:rPr>
                <w:rFonts w:ascii="Arial" w:eastAsia="Calibri" w:hAnsi="Arial" w:cs="Arial"/>
                <w:b/>
                <w:bCs/>
                <w:color w:val="auto"/>
                <w:spacing w:val="8"/>
                <w:sz w:val="18"/>
                <w:szCs w:val="18"/>
                <w:lang w:eastAsia="en-US"/>
              </w:rPr>
              <w:t xml:space="preserve"> </w:t>
            </w:r>
            <w:r w:rsidRPr="00717BA5">
              <w:rPr>
                <w:rFonts w:ascii="Arial" w:eastAsia="Calibri" w:hAnsi="Arial" w:cs="Arial"/>
                <w:b/>
                <w:bCs/>
                <w:color w:val="auto"/>
                <w:sz w:val="18"/>
                <w:szCs w:val="18"/>
                <w:lang w:eastAsia="en-US"/>
              </w:rPr>
              <w:t>in</w:t>
            </w:r>
            <w:r w:rsidRPr="00717BA5">
              <w:rPr>
                <w:rFonts w:ascii="Arial" w:eastAsia="Calibri" w:hAnsi="Arial" w:cs="Arial"/>
                <w:b/>
                <w:bCs/>
                <w:color w:val="auto"/>
                <w:spacing w:val="13"/>
                <w:sz w:val="18"/>
                <w:szCs w:val="18"/>
                <w:lang w:eastAsia="en-US"/>
              </w:rPr>
              <w:t xml:space="preserve"> </w:t>
            </w:r>
            <w:r w:rsidRPr="00717BA5">
              <w:rPr>
                <w:rFonts w:ascii="Arial" w:eastAsia="Calibri" w:hAnsi="Arial" w:cs="Arial"/>
                <w:b/>
                <w:bCs/>
                <w:color w:val="auto"/>
                <w:sz w:val="18"/>
                <w:szCs w:val="18"/>
                <w:lang w:eastAsia="en-US"/>
              </w:rPr>
              <w:t>future</w:t>
            </w:r>
            <w:r w:rsidRPr="00717BA5">
              <w:rPr>
                <w:rFonts w:ascii="Arial" w:eastAsia="Calibri" w:hAnsi="Arial" w:cs="Arial"/>
                <w:b/>
                <w:bCs/>
                <w:color w:val="auto"/>
                <w:spacing w:val="9"/>
                <w:sz w:val="18"/>
                <w:szCs w:val="18"/>
                <w:lang w:eastAsia="en-US"/>
              </w:rPr>
              <w:t xml:space="preserve"> </w:t>
            </w:r>
            <w:r w:rsidRPr="00717BA5">
              <w:rPr>
                <w:rFonts w:ascii="Arial" w:eastAsia="Calibri" w:hAnsi="Arial" w:cs="Arial"/>
                <w:b/>
                <w:bCs/>
                <w:color w:val="auto"/>
                <w:sz w:val="18"/>
                <w:szCs w:val="18"/>
                <w:lang w:eastAsia="en-US"/>
              </w:rPr>
              <w:t>wages</w:t>
            </w:r>
            <w:r w:rsidRPr="00717BA5">
              <w:rPr>
                <w:rFonts w:ascii="Arial" w:eastAsia="Calibri" w:hAnsi="Arial" w:cs="Arial"/>
                <w:b/>
                <w:bCs/>
                <w:color w:val="auto"/>
                <w:spacing w:val="9"/>
                <w:sz w:val="18"/>
                <w:szCs w:val="18"/>
                <w:lang w:eastAsia="en-US"/>
              </w:rPr>
              <w:t xml:space="preserve"> (per annum) </w:t>
            </w:r>
            <w:r w:rsidRPr="00717BA5">
              <w:rPr>
                <w:rFonts w:ascii="Arial" w:eastAsia="Calibri" w:hAnsi="Arial" w:cs="Arial"/>
                <w:b/>
                <w:bCs/>
                <w:color w:val="auto"/>
                <w:spacing w:val="1"/>
                <w:sz w:val="18"/>
                <w:szCs w:val="18"/>
                <w:lang w:eastAsia="en-US"/>
              </w:rPr>
              <w:t xml:space="preserve">based on a </w:t>
            </w:r>
            <w:r w:rsidRPr="00717BA5">
              <w:rPr>
                <w:rFonts w:ascii="Arial" w:eastAsia="Calibri" w:hAnsi="Arial" w:cs="Arial"/>
                <w:b/>
                <w:bCs/>
                <w:color w:val="auto"/>
                <w:sz w:val="18"/>
                <w:szCs w:val="18"/>
                <w:lang w:eastAsia="en-US"/>
              </w:rPr>
              <w:t>service</w:t>
            </w:r>
            <w:r w:rsidRPr="00717BA5">
              <w:rPr>
                <w:rFonts w:ascii="Arial" w:eastAsia="Calibri" w:hAnsi="Arial" w:cs="Arial"/>
                <w:b/>
                <w:bCs/>
                <w:color w:val="auto"/>
                <w:spacing w:val="9"/>
                <w:sz w:val="18"/>
                <w:szCs w:val="18"/>
                <w:lang w:eastAsia="en-US"/>
              </w:rPr>
              <w:t>-</w:t>
            </w:r>
            <w:r w:rsidRPr="00717BA5">
              <w:rPr>
                <w:rFonts w:ascii="Arial" w:eastAsia="Calibri" w:hAnsi="Arial" w:cs="Arial"/>
                <w:b/>
                <w:bCs/>
                <w:color w:val="auto"/>
                <w:sz w:val="18"/>
                <w:szCs w:val="18"/>
                <w:lang w:eastAsia="en-US"/>
              </w:rPr>
              <w:t>based</w:t>
            </w:r>
            <w:r w:rsidRPr="00717BA5">
              <w:rPr>
                <w:rFonts w:ascii="Arial" w:eastAsia="Calibri" w:hAnsi="Arial" w:cs="Arial"/>
                <w:b/>
                <w:bCs/>
                <w:color w:val="auto"/>
                <w:spacing w:val="11"/>
                <w:sz w:val="18"/>
                <w:szCs w:val="18"/>
                <w:lang w:eastAsia="en-US"/>
              </w:rPr>
              <w:t xml:space="preserve"> </w:t>
            </w:r>
            <w:r w:rsidRPr="00717BA5">
              <w:rPr>
                <w:rFonts w:ascii="Arial" w:eastAsia="Calibri" w:hAnsi="Arial" w:cs="Arial"/>
                <w:b/>
                <w:bCs/>
                <w:color w:val="auto"/>
                <w:sz w:val="18"/>
                <w:szCs w:val="18"/>
                <w:lang w:eastAsia="en-US"/>
              </w:rPr>
              <w:t>wage</w:t>
            </w:r>
            <w:r w:rsidRPr="00717BA5">
              <w:rPr>
                <w:rFonts w:ascii="Arial" w:eastAsia="Calibri" w:hAnsi="Arial" w:cs="Arial"/>
                <w:b/>
                <w:bCs/>
                <w:color w:val="auto"/>
                <w:spacing w:val="8"/>
                <w:sz w:val="18"/>
                <w:szCs w:val="18"/>
                <w:lang w:eastAsia="en-US"/>
              </w:rPr>
              <w:t xml:space="preserve"> </w:t>
            </w:r>
            <w:r w:rsidRPr="00717BA5">
              <w:rPr>
                <w:rFonts w:ascii="Arial" w:eastAsia="Calibri" w:hAnsi="Arial" w:cs="Arial"/>
                <w:b/>
                <w:bCs/>
                <w:color w:val="auto"/>
                <w:sz w:val="18"/>
                <w:szCs w:val="18"/>
                <w:lang w:eastAsia="en-US"/>
              </w:rPr>
              <w:t>progression</w:t>
            </w:r>
            <w:r w:rsidRPr="00717BA5">
              <w:rPr>
                <w:rFonts w:ascii="Arial" w:eastAsia="Calibri" w:hAnsi="Arial" w:cs="Arial"/>
                <w:b/>
                <w:bCs/>
                <w:color w:val="auto"/>
                <w:spacing w:val="11"/>
                <w:sz w:val="18"/>
                <w:szCs w:val="18"/>
                <w:lang w:eastAsia="en-US"/>
              </w:rPr>
              <w:t xml:space="preserve"> </w:t>
            </w:r>
            <w:r w:rsidRPr="00717BA5">
              <w:rPr>
                <w:rFonts w:ascii="Arial" w:eastAsia="Calibri" w:hAnsi="Arial" w:cs="Arial"/>
                <w:b/>
                <w:bCs/>
                <w:color w:val="auto"/>
                <w:sz w:val="18"/>
                <w:szCs w:val="18"/>
                <w:lang w:eastAsia="en-US"/>
              </w:rPr>
              <w:t>scale</w:t>
            </w:r>
            <w:r w:rsidRPr="00717BA5">
              <w:rPr>
                <w:rFonts w:ascii="Arial" w:eastAsia="Calibri" w:hAnsi="Arial" w:cs="Arial"/>
                <w:b/>
                <w:bCs/>
                <w:color w:val="auto"/>
                <w:spacing w:val="9"/>
                <w:sz w:val="18"/>
                <w:szCs w:val="18"/>
                <w:lang w:eastAsia="en-US"/>
              </w:rPr>
              <w:t xml:space="preserve"> </w:t>
            </w:r>
            <w:r w:rsidRPr="00717BA5">
              <w:rPr>
                <w:rFonts w:ascii="Arial" w:eastAsia="Calibri" w:hAnsi="Arial" w:cs="Arial"/>
                <w:b/>
                <w:bCs/>
                <w:color w:val="auto"/>
                <w:spacing w:val="-1"/>
                <w:sz w:val="18"/>
                <w:szCs w:val="18"/>
                <w:lang w:eastAsia="en-US"/>
              </w:rPr>
              <w:t>over</w:t>
            </w:r>
            <w:r w:rsidRPr="00717BA5">
              <w:rPr>
                <w:rFonts w:ascii="Arial" w:eastAsia="Calibri" w:hAnsi="Arial" w:cs="Arial"/>
                <w:b/>
                <w:bCs/>
                <w:color w:val="auto"/>
                <w:spacing w:val="10"/>
                <w:sz w:val="18"/>
                <w:szCs w:val="18"/>
                <w:lang w:eastAsia="en-US"/>
              </w:rPr>
              <w:t xml:space="preserve"> </w:t>
            </w:r>
            <w:r w:rsidRPr="00717BA5">
              <w:rPr>
                <w:rFonts w:ascii="Arial" w:eastAsia="Calibri" w:hAnsi="Arial" w:cs="Arial"/>
                <w:b/>
                <w:bCs/>
                <w:color w:val="auto"/>
                <w:sz w:val="18"/>
                <w:szCs w:val="18"/>
                <w:lang w:eastAsia="en-US"/>
              </w:rPr>
              <w:t>and</w:t>
            </w:r>
            <w:r w:rsidRPr="00717BA5">
              <w:rPr>
                <w:rFonts w:ascii="Arial" w:eastAsia="Calibri" w:hAnsi="Arial" w:cs="Arial"/>
                <w:b/>
                <w:bCs/>
                <w:color w:val="auto"/>
                <w:spacing w:val="18"/>
                <w:sz w:val="18"/>
                <w:szCs w:val="18"/>
                <w:lang w:eastAsia="en-US"/>
              </w:rPr>
              <w:t xml:space="preserve"> </w:t>
            </w:r>
            <w:r w:rsidRPr="00717BA5">
              <w:rPr>
                <w:rFonts w:ascii="Arial" w:eastAsia="Calibri" w:hAnsi="Arial" w:cs="Arial"/>
                <w:b/>
                <w:bCs/>
                <w:color w:val="auto"/>
                <w:spacing w:val="-1"/>
                <w:sz w:val="18"/>
                <w:szCs w:val="18"/>
                <w:lang w:eastAsia="en-US"/>
              </w:rPr>
              <w:t>above</w:t>
            </w:r>
            <w:r w:rsidRPr="00717BA5">
              <w:rPr>
                <w:rFonts w:ascii="Arial" w:eastAsia="Calibri" w:hAnsi="Arial" w:cs="Arial"/>
                <w:b/>
                <w:bCs/>
                <w:color w:val="auto"/>
                <w:spacing w:val="12"/>
                <w:sz w:val="18"/>
                <w:szCs w:val="18"/>
                <w:lang w:eastAsia="en-US"/>
              </w:rPr>
              <w:t xml:space="preserve"> </w:t>
            </w:r>
            <w:r w:rsidRPr="00717BA5">
              <w:rPr>
                <w:rFonts w:ascii="Arial" w:eastAsia="Calibri" w:hAnsi="Arial" w:cs="Arial"/>
                <w:b/>
                <w:bCs/>
                <w:color w:val="auto"/>
                <w:spacing w:val="-1"/>
                <w:sz w:val="18"/>
                <w:szCs w:val="18"/>
                <w:lang w:eastAsia="en-US"/>
              </w:rPr>
              <w:t>inflation</w:t>
            </w:r>
          </w:p>
        </w:tc>
        <w:tc>
          <w:tcPr>
            <w:tcW w:w="633" w:type="pct"/>
            <w:tcBorders>
              <w:left w:val="nil"/>
              <w:right w:val="nil"/>
            </w:tcBorders>
            <w:shd w:val="clear" w:color="000000" w:fill="FFFFFF"/>
            <w:vAlign w:val="bottom"/>
          </w:tcPr>
          <w:p w14:paraId="6AC8802D" w14:textId="77777777" w:rsidR="00717BA5" w:rsidRPr="00717BA5" w:rsidRDefault="00717BA5" w:rsidP="00717BA5">
            <w:pPr>
              <w:spacing w:after="0" w:line="240" w:lineRule="auto"/>
              <w:ind w:left="405" w:hanging="360"/>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left w:val="nil"/>
              <w:right w:val="nil"/>
            </w:tcBorders>
            <w:shd w:val="clear" w:color="000000" w:fill="FFFFFF"/>
            <w:vAlign w:val="bottom"/>
          </w:tcPr>
          <w:p w14:paraId="28EA2AB2"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tc>
        <w:tc>
          <w:tcPr>
            <w:tcW w:w="638" w:type="pct"/>
            <w:tcBorders>
              <w:left w:val="nil"/>
              <w:right w:val="nil"/>
            </w:tcBorders>
            <w:shd w:val="clear" w:color="000000" w:fill="FFFFFF"/>
            <w:noWrap/>
            <w:vAlign w:val="bottom"/>
          </w:tcPr>
          <w:p w14:paraId="3A74BB51" w14:textId="77777777" w:rsidR="00717BA5" w:rsidRPr="00717BA5" w:rsidRDefault="00717BA5" w:rsidP="00717BA5">
            <w:pPr>
              <w:spacing w:after="0" w:line="240" w:lineRule="auto"/>
              <w:ind w:left="405" w:hanging="360"/>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1CE451A9" w14:textId="77777777" w:rsidTr="00F0752D">
        <w:trPr>
          <w:trHeight w:val="315"/>
        </w:trPr>
        <w:tc>
          <w:tcPr>
            <w:tcW w:w="3424" w:type="pct"/>
            <w:tcBorders>
              <w:left w:val="nil"/>
              <w:right w:val="nil"/>
            </w:tcBorders>
            <w:shd w:val="clear" w:color="000000" w:fill="FFFFFF"/>
            <w:vAlign w:val="bottom"/>
          </w:tcPr>
          <w:p w14:paraId="40636A67"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less than 3 years of service</w:t>
            </w:r>
          </w:p>
        </w:tc>
        <w:tc>
          <w:tcPr>
            <w:tcW w:w="633" w:type="pct"/>
            <w:tcBorders>
              <w:left w:val="nil"/>
              <w:right w:val="nil"/>
            </w:tcBorders>
            <w:shd w:val="clear" w:color="000000" w:fill="FFFFFF"/>
            <w:vAlign w:val="bottom"/>
          </w:tcPr>
          <w:p w14:paraId="40F5CA6F"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5%</w:t>
            </w:r>
          </w:p>
        </w:tc>
        <w:tc>
          <w:tcPr>
            <w:tcW w:w="305" w:type="pct"/>
            <w:tcBorders>
              <w:left w:val="nil"/>
              <w:right w:val="nil"/>
            </w:tcBorders>
            <w:shd w:val="clear" w:color="000000" w:fill="FFFFFF"/>
            <w:vAlign w:val="bottom"/>
          </w:tcPr>
          <w:p w14:paraId="3063D612"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011850E7"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5%</w:t>
            </w:r>
          </w:p>
        </w:tc>
      </w:tr>
      <w:tr w:rsidR="00717BA5" w:rsidRPr="00717BA5" w14:paraId="27BF1F1E" w14:textId="77777777" w:rsidTr="00F0752D">
        <w:trPr>
          <w:trHeight w:val="315"/>
        </w:trPr>
        <w:tc>
          <w:tcPr>
            <w:tcW w:w="3424" w:type="pct"/>
            <w:tcBorders>
              <w:left w:val="nil"/>
              <w:right w:val="nil"/>
            </w:tcBorders>
            <w:shd w:val="clear" w:color="000000" w:fill="FFFFFF"/>
            <w:vAlign w:val="bottom"/>
          </w:tcPr>
          <w:p w14:paraId="7E1D8C85"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3-4 years of service</w:t>
            </w:r>
          </w:p>
        </w:tc>
        <w:tc>
          <w:tcPr>
            <w:tcW w:w="633" w:type="pct"/>
            <w:tcBorders>
              <w:left w:val="nil"/>
              <w:right w:val="nil"/>
            </w:tcBorders>
            <w:shd w:val="clear" w:color="000000" w:fill="FFFFFF"/>
            <w:vAlign w:val="bottom"/>
          </w:tcPr>
          <w:p w14:paraId="4EA4C4A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8%</w:t>
            </w:r>
          </w:p>
        </w:tc>
        <w:tc>
          <w:tcPr>
            <w:tcW w:w="305" w:type="pct"/>
            <w:tcBorders>
              <w:left w:val="nil"/>
              <w:right w:val="nil"/>
            </w:tcBorders>
            <w:shd w:val="clear" w:color="000000" w:fill="FFFFFF"/>
            <w:vAlign w:val="bottom"/>
          </w:tcPr>
          <w:p w14:paraId="22187C41"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206397B1"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8%</w:t>
            </w:r>
          </w:p>
        </w:tc>
      </w:tr>
      <w:tr w:rsidR="00717BA5" w:rsidRPr="00717BA5" w14:paraId="29EC2611" w14:textId="77777777" w:rsidTr="00F0752D">
        <w:trPr>
          <w:trHeight w:val="315"/>
        </w:trPr>
        <w:tc>
          <w:tcPr>
            <w:tcW w:w="3424" w:type="pct"/>
            <w:tcBorders>
              <w:left w:val="nil"/>
              <w:right w:val="nil"/>
            </w:tcBorders>
            <w:shd w:val="clear" w:color="000000" w:fill="FFFFFF"/>
            <w:vAlign w:val="bottom"/>
          </w:tcPr>
          <w:p w14:paraId="6A19961E"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5-6 years of service</w:t>
            </w:r>
          </w:p>
        </w:tc>
        <w:tc>
          <w:tcPr>
            <w:tcW w:w="633" w:type="pct"/>
            <w:tcBorders>
              <w:left w:val="nil"/>
              <w:right w:val="nil"/>
            </w:tcBorders>
            <w:shd w:val="clear" w:color="000000" w:fill="FFFFFF"/>
            <w:vAlign w:val="bottom"/>
          </w:tcPr>
          <w:p w14:paraId="72A0DD07"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5%</w:t>
            </w:r>
          </w:p>
        </w:tc>
        <w:tc>
          <w:tcPr>
            <w:tcW w:w="305" w:type="pct"/>
            <w:tcBorders>
              <w:left w:val="nil"/>
              <w:right w:val="nil"/>
            </w:tcBorders>
            <w:shd w:val="clear" w:color="000000" w:fill="FFFFFF"/>
            <w:vAlign w:val="bottom"/>
          </w:tcPr>
          <w:p w14:paraId="204C5779"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2BC46F3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5%</w:t>
            </w:r>
          </w:p>
        </w:tc>
      </w:tr>
      <w:tr w:rsidR="00717BA5" w:rsidRPr="00717BA5" w14:paraId="39BB309D" w14:textId="77777777" w:rsidTr="00F0752D">
        <w:trPr>
          <w:trHeight w:val="315"/>
        </w:trPr>
        <w:tc>
          <w:tcPr>
            <w:tcW w:w="3424" w:type="pct"/>
            <w:tcBorders>
              <w:left w:val="nil"/>
              <w:right w:val="nil"/>
            </w:tcBorders>
            <w:shd w:val="clear" w:color="000000" w:fill="FFFFFF"/>
            <w:vAlign w:val="bottom"/>
          </w:tcPr>
          <w:p w14:paraId="637D28C6"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7-16 years of service</w:t>
            </w:r>
          </w:p>
        </w:tc>
        <w:tc>
          <w:tcPr>
            <w:tcW w:w="633" w:type="pct"/>
            <w:tcBorders>
              <w:left w:val="nil"/>
              <w:right w:val="nil"/>
            </w:tcBorders>
            <w:shd w:val="clear" w:color="000000" w:fill="FFFFFF"/>
            <w:vAlign w:val="bottom"/>
          </w:tcPr>
          <w:p w14:paraId="53922286"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w:t>
            </w:r>
          </w:p>
        </w:tc>
        <w:tc>
          <w:tcPr>
            <w:tcW w:w="305" w:type="pct"/>
            <w:tcBorders>
              <w:left w:val="nil"/>
              <w:right w:val="nil"/>
            </w:tcBorders>
            <w:shd w:val="clear" w:color="000000" w:fill="FFFFFF"/>
            <w:vAlign w:val="bottom"/>
          </w:tcPr>
          <w:p w14:paraId="28434C6B"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38D7614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w:t>
            </w:r>
          </w:p>
        </w:tc>
      </w:tr>
      <w:tr w:rsidR="00717BA5" w:rsidRPr="00717BA5" w14:paraId="39854B51" w14:textId="77777777" w:rsidTr="00F0752D">
        <w:trPr>
          <w:trHeight w:val="315"/>
        </w:trPr>
        <w:tc>
          <w:tcPr>
            <w:tcW w:w="3424" w:type="pct"/>
            <w:tcBorders>
              <w:left w:val="nil"/>
              <w:bottom w:val="nil"/>
              <w:right w:val="nil"/>
            </w:tcBorders>
            <w:shd w:val="clear" w:color="000000" w:fill="FFFFFF"/>
            <w:vAlign w:val="bottom"/>
          </w:tcPr>
          <w:p w14:paraId="5D44D8BD"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more than 17 years of service</w:t>
            </w:r>
          </w:p>
        </w:tc>
        <w:tc>
          <w:tcPr>
            <w:tcW w:w="633" w:type="pct"/>
            <w:tcBorders>
              <w:left w:val="nil"/>
              <w:right w:val="nil"/>
            </w:tcBorders>
            <w:shd w:val="clear" w:color="000000" w:fill="FFFFFF"/>
            <w:vAlign w:val="bottom"/>
          </w:tcPr>
          <w:p w14:paraId="353BC578"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0%</w:t>
            </w:r>
          </w:p>
        </w:tc>
        <w:tc>
          <w:tcPr>
            <w:tcW w:w="305" w:type="pct"/>
            <w:tcBorders>
              <w:left w:val="nil"/>
              <w:right w:val="nil"/>
            </w:tcBorders>
            <w:shd w:val="clear" w:color="000000" w:fill="FFFFFF"/>
            <w:vAlign w:val="bottom"/>
          </w:tcPr>
          <w:p w14:paraId="51135B45"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8" w:type="pct"/>
            <w:tcBorders>
              <w:left w:val="nil"/>
              <w:right w:val="nil"/>
            </w:tcBorders>
            <w:shd w:val="clear" w:color="000000" w:fill="FFFFFF"/>
            <w:noWrap/>
            <w:vAlign w:val="bottom"/>
          </w:tcPr>
          <w:p w14:paraId="6EA1354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0%</w:t>
            </w:r>
          </w:p>
        </w:tc>
      </w:tr>
      <w:tr w:rsidR="00717BA5" w:rsidRPr="00717BA5" w14:paraId="2931185C" w14:textId="77777777" w:rsidTr="00F0752D">
        <w:trPr>
          <w:trHeight w:val="668"/>
        </w:trPr>
        <w:tc>
          <w:tcPr>
            <w:tcW w:w="3424" w:type="pct"/>
            <w:tcBorders>
              <w:left w:val="nil"/>
              <w:bottom w:val="nil"/>
              <w:right w:val="nil"/>
            </w:tcBorders>
            <w:shd w:val="clear" w:color="000000" w:fill="FFFFFF"/>
            <w:vAlign w:val="bottom"/>
          </w:tcPr>
          <w:p w14:paraId="49A7458E" w14:textId="77777777" w:rsidR="00717BA5" w:rsidRPr="00717BA5" w:rsidRDefault="00717BA5" w:rsidP="00717BA5">
            <w:pPr>
              <w:adjustRightInd w:val="0"/>
              <w:snapToGrid w:val="0"/>
              <w:rPr>
                <w:rFonts w:ascii="Arial" w:eastAsia="Times New Roman" w:hAnsi="Arial" w:cs="Arial"/>
                <w:color w:val="auto"/>
                <w:lang w:val="en-AU"/>
              </w:rPr>
            </w:pPr>
          </w:p>
          <w:p w14:paraId="31243E57"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Other demographic assumptions</w:t>
            </w:r>
          </w:p>
        </w:tc>
        <w:tc>
          <w:tcPr>
            <w:tcW w:w="633" w:type="pct"/>
            <w:tcBorders>
              <w:left w:val="nil"/>
              <w:right w:val="nil"/>
            </w:tcBorders>
            <w:shd w:val="clear" w:color="000000" w:fill="FFFFFF"/>
            <w:vAlign w:val="bottom"/>
          </w:tcPr>
          <w:p w14:paraId="56785CB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left w:val="nil"/>
              <w:right w:val="nil"/>
            </w:tcBorders>
            <w:shd w:val="clear" w:color="000000" w:fill="FFFFFF"/>
            <w:vAlign w:val="bottom"/>
          </w:tcPr>
          <w:p w14:paraId="6289621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4B842FF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1D8DD72" w14:textId="77777777" w:rsidTr="00F0752D">
        <w:trPr>
          <w:trHeight w:val="525"/>
        </w:trPr>
        <w:tc>
          <w:tcPr>
            <w:tcW w:w="5000" w:type="pct"/>
            <w:gridSpan w:val="4"/>
            <w:tcBorders>
              <w:left w:val="nil"/>
              <w:bottom w:val="nil"/>
              <w:right w:val="nil"/>
            </w:tcBorders>
            <w:shd w:val="clear" w:color="000000" w:fill="FFFFFF"/>
          </w:tcPr>
          <w:p w14:paraId="5B803E0A" w14:textId="77777777" w:rsidR="00717BA5" w:rsidRPr="00717BA5" w:rsidRDefault="00717BA5" w:rsidP="00717BA5">
            <w:pPr>
              <w:adjustRightInd w:val="0"/>
              <w:snapToGrid w:val="0"/>
              <w:rPr>
                <w:rFonts w:ascii="Arial" w:eastAsia="Calibri" w:hAnsi="Arial" w:cs="Arial"/>
                <w:color w:val="auto"/>
                <w:spacing w:val="-1"/>
              </w:rPr>
            </w:pPr>
            <w:r w:rsidRPr="00717BA5">
              <w:rPr>
                <w:rFonts w:ascii="Arial" w:eastAsia="Calibri" w:hAnsi="Arial" w:cs="Arial"/>
                <w:color w:val="auto"/>
                <w:lang w:val="en-AU"/>
              </w:rPr>
              <w:t xml:space="preserve">It was also assumed that 10% of registered workers who do not have any service credits in the previous year will </w:t>
            </w:r>
            <w:r w:rsidRPr="00717BA5">
              <w:rPr>
                <w:rFonts w:ascii="Arial" w:eastAsia="Calibri" w:hAnsi="Arial" w:cs="Arial"/>
                <w:color w:val="auto"/>
                <w:spacing w:val="-1"/>
              </w:rPr>
              <w:t>re-commence receiving service credits (30 June 2025: same assumption applied).</w:t>
            </w:r>
          </w:p>
        </w:tc>
      </w:tr>
      <w:tr w:rsidR="00717BA5" w:rsidRPr="00717BA5" w14:paraId="31B4A58D" w14:textId="77777777" w:rsidTr="00F0752D">
        <w:trPr>
          <w:trHeight w:val="319"/>
        </w:trPr>
        <w:tc>
          <w:tcPr>
            <w:tcW w:w="3424" w:type="pct"/>
            <w:tcBorders>
              <w:left w:val="nil"/>
              <w:bottom w:val="nil"/>
              <w:right w:val="nil"/>
            </w:tcBorders>
            <w:shd w:val="clear" w:color="000000" w:fill="FFFFFF"/>
            <w:vAlign w:val="bottom"/>
          </w:tcPr>
          <w:p w14:paraId="57B45A1F"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Processing and settling accrued liabilities</w:t>
            </w:r>
          </w:p>
        </w:tc>
        <w:tc>
          <w:tcPr>
            <w:tcW w:w="633" w:type="pct"/>
            <w:tcBorders>
              <w:left w:val="nil"/>
              <w:right w:val="nil"/>
            </w:tcBorders>
            <w:shd w:val="clear" w:color="000000" w:fill="FFFFFF"/>
            <w:vAlign w:val="bottom"/>
          </w:tcPr>
          <w:p w14:paraId="3CF22CD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left w:val="nil"/>
              <w:right w:val="nil"/>
            </w:tcBorders>
            <w:shd w:val="clear" w:color="000000" w:fill="FFFFFF"/>
            <w:vAlign w:val="bottom"/>
          </w:tcPr>
          <w:p w14:paraId="31AEAB7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14F5B88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00899C69" w14:textId="77777777" w:rsidTr="00F0752D">
        <w:trPr>
          <w:trHeight w:val="315"/>
        </w:trPr>
        <w:tc>
          <w:tcPr>
            <w:tcW w:w="5000" w:type="pct"/>
            <w:gridSpan w:val="4"/>
            <w:tcBorders>
              <w:left w:val="nil"/>
              <w:bottom w:val="nil"/>
              <w:right w:val="nil"/>
            </w:tcBorders>
            <w:shd w:val="clear" w:color="000000" w:fill="FFFFFF"/>
            <w:vAlign w:val="bottom"/>
          </w:tcPr>
          <w:p w14:paraId="7A3FE6E3"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Calibri" w:hAnsi="Arial" w:cs="Arial"/>
                <w:color w:val="auto"/>
                <w:lang w:val="en-AU"/>
              </w:rPr>
              <w:t>ACT Leave has also made an allowance for the cost of processing and settling the accrued liabilities in addition to the value of the liability determined by the actuary and reviewed by management. The method used for this allowance was to determine the estimated cost to process and pay a benefit as a percentage of average benefit paid and apply this percentage to the total long service leave liability to determine the liability for the cost of processing and settling the obligation.</w:t>
            </w:r>
          </w:p>
        </w:tc>
      </w:tr>
      <w:tr w:rsidR="00717BA5" w:rsidRPr="00717BA5" w14:paraId="324C6BCB" w14:textId="77777777" w:rsidTr="00F0752D">
        <w:trPr>
          <w:trHeight w:val="315"/>
        </w:trPr>
        <w:tc>
          <w:tcPr>
            <w:tcW w:w="3424" w:type="pct"/>
            <w:tcBorders>
              <w:left w:val="nil"/>
              <w:right w:val="nil"/>
            </w:tcBorders>
            <w:shd w:val="clear" w:color="000000" w:fill="FFFFFF"/>
            <w:vAlign w:val="bottom"/>
          </w:tcPr>
          <w:p w14:paraId="3A422B0E"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tc>
        <w:tc>
          <w:tcPr>
            <w:tcW w:w="633" w:type="pct"/>
            <w:tcBorders>
              <w:left w:val="nil"/>
              <w:right w:val="nil"/>
            </w:tcBorders>
            <w:shd w:val="clear" w:color="000000" w:fill="FFFFFF"/>
            <w:vAlign w:val="bottom"/>
          </w:tcPr>
          <w:p w14:paraId="177A99CC" w14:textId="77777777" w:rsidR="00717BA5" w:rsidRPr="00717BA5" w:rsidRDefault="00717BA5" w:rsidP="00717BA5">
            <w:pPr>
              <w:spacing w:after="0" w:line="240" w:lineRule="auto"/>
              <w:ind w:left="405" w:hanging="360"/>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left w:val="nil"/>
              <w:right w:val="nil"/>
            </w:tcBorders>
            <w:shd w:val="clear" w:color="000000" w:fill="FFFFFF"/>
            <w:vAlign w:val="bottom"/>
          </w:tcPr>
          <w:p w14:paraId="556AE0A7"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tc>
        <w:tc>
          <w:tcPr>
            <w:tcW w:w="638" w:type="pct"/>
            <w:tcBorders>
              <w:left w:val="nil"/>
              <w:right w:val="nil"/>
            </w:tcBorders>
            <w:shd w:val="clear" w:color="000000" w:fill="FFFFFF"/>
            <w:noWrap/>
            <w:vAlign w:val="bottom"/>
          </w:tcPr>
          <w:p w14:paraId="003953B1" w14:textId="77777777" w:rsidR="00717BA5" w:rsidRPr="00717BA5" w:rsidRDefault="00717BA5" w:rsidP="00717BA5">
            <w:pPr>
              <w:spacing w:after="0" w:line="240" w:lineRule="auto"/>
              <w:ind w:left="405" w:hanging="360"/>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5F5A4390" w14:textId="77777777" w:rsidTr="00F0752D">
        <w:trPr>
          <w:trHeight w:val="315"/>
        </w:trPr>
        <w:tc>
          <w:tcPr>
            <w:tcW w:w="3424" w:type="pct"/>
            <w:tcBorders>
              <w:left w:val="nil"/>
              <w:bottom w:val="nil"/>
              <w:right w:val="nil"/>
            </w:tcBorders>
            <w:shd w:val="clear" w:color="000000" w:fill="FFFFFF"/>
            <w:vAlign w:val="bottom"/>
          </w:tcPr>
          <w:p w14:paraId="38D010F5" w14:textId="77777777" w:rsidR="00717BA5" w:rsidRPr="00717BA5" w:rsidRDefault="00717BA5" w:rsidP="00717BA5">
            <w:pPr>
              <w:spacing w:after="0" w:line="240" w:lineRule="auto"/>
              <w:ind w:left="405" w:hanging="360"/>
              <w:rPr>
                <w:rFonts w:ascii="Arial" w:eastAsia="Times New Roman" w:hAnsi="Arial" w:cs="Arial"/>
                <w:color w:val="auto"/>
                <w:sz w:val="18"/>
                <w:szCs w:val="18"/>
                <w:lang w:val="en-AU"/>
              </w:rPr>
            </w:pPr>
            <w:r w:rsidRPr="00717BA5">
              <w:rPr>
                <w:rFonts w:ascii="Arial" w:eastAsia="Calibri" w:hAnsi="Arial" w:cs="Arial"/>
                <w:color w:val="auto"/>
                <w:sz w:val="18"/>
                <w:szCs w:val="18"/>
                <w:lang w:eastAsia="en-US"/>
              </w:rPr>
              <w:t>Estimated cost to process and pay a benefit</w:t>
            </w:r>
          </w:p>
        </w:tc>
        <w:tc>
          <w:tcPr>
            <w:tcW w:w="633" w:type="pct"/>
            <w:tcBorders>
              <w:left w:val="nil"/>
              <w:right w:val="nil"/>
            </w:tcBorders>
            <w:shd w:val="clear" w:color="000000" w:fill="FFFFFF"/>
            <w:vAlign w:val="bottom"/>
          </w:tcPr>
          <w:p w14:paraId="21275070" w14:textId="77777777" w:rsidR="00717BA5" w:rsidRPr="00717BA5" w:rsidRDefault="00717BA5" w:rsidP="00717BA5">
            <w:pPr>
              <w:spacing w:after="0" w:line="240" w:lineRule="auto"/>
              <w:ind w:left="405" w:hanging="36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2.6%</w:t>
            </w:r>
          </w:p>
        </w:tc>
        <w:tc>
          <w:tcPr>
            <w:tcW w:w="305" w:type="pct"/>
            <w:tcBorders>
              <w:left w:val="nil"/>
              <w:right w:val="nil"/>
            </w:tcBorders>
            <w:shd w:val="clear" w:color="000000" w:fill="FFFFFF"/>
            <w:vAlign w:val="bottom"/>
          </w:tcPr>
          <w:p w14:paraId="7C458C76" w14:textId="77777777" w:rsidR="00717BA5" w:rsidRPr="00717BA5" w:rsidRDefault="00717BA5" w:rsidP="00717BA5">
            <w:pPr>
              <w:spacing w:after="0" w:line="240" w:lineRule="auto"/>
              <w:ind w:left="405" w:hanging="360"/>
              <w:rPr>
                <w:rFonts w:ascii="Arial" w:eastAsia="Times New Roman" w:hAnsi="Arial" w:cs="Arial"/>
                <w:color w:val="auto"/>
                <w:sz w:val="18"/>
                <w:szCs w:val="18"/>
                <w:lang w:val="en-AU"/>
              </w:rPr>
            </w:pPr>
          </w:p>
        </w:tc>
        <w:tc>
          <w:tcPr>
            <w:tcW w:w="638" w:type="pct"/>
            <w:tcBorders>
              <w:left w:val="nil"/>
              <w:right w:val="nil"/>
            </w:tcBorders>
            <w:shd w:val="clear" w:color="000000" w:fill="FFFFFF"/>
            <w:noWrap/>
            <w:vAlign w:val="bottom"/>
          </w:tcPr>
          <w:p w14:paraId="132A786A" w14:textId="77777777" w:rsidR="00717BA5" w:rsidRPr="00717BA5" w:rsidRDefault="00717BA5" w:rsidP="00717BA5">
            <w:pPr>
              <w:spacing w:after="0" w:line="240" w:lineRule="auto"/>
              <w:ind w:left="405" w:hanging="36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2.4%</w:t>
            </w:r>
          </w:p>
        </w:tc>
      </w:tr>
    </w:tbl>
    <w:p w14:paraId="24DEC8FA" w14:textId="77777777" w:rsidR="00717BA5" w:rsidRPr="00717BA5" w:rsidRDefault="00717BA5" w:rsidP="00717BA5">
      <w:pPr>
        <w:keepNext/>
        <w:spacing w:after="120" w:line="240" w:lineRule="auto"/>
        <w:outlineLvl w:val="1"/>
        <w:rPr>
          <w:rFonts w:ascii="Arial" w:eastAsia="Times New Roman" w:hAnsi="Arial" w:cs="Arial"/>
          <w:b/>
          <w:bCs/>
          <w:color w:val="auto"/>
          <w:sz w:val="24"/>
          <w:szCs w:val="24"/>
          <w:lang w:val="en-AU"/>
        </w:rPr>
      </w:pPr>
    </w:p>
    <w:p w14:paraId="11D0D43F" w14:textId="77777777" w:rsidR="00717BA5" w:rsidRPr="00717BA5" w:rsidRDefault="00717BA5" w:rsidP="00717BA5">
      <w:pPr>
        <w:spacing w:after="0" w:line="240" w:lineRule="auto"/>
        <w:rPr>
          <w:rFonts w:ascii="Calibri" w:eastAsia="SimSun" w:hAnsi="Calibri"/>
          <w:color w:val="auto"/>
          <w:sz w:val="22"/>
          <w:szCs w:val="22"/>
          <w:lang w:val="en-AU"/>
        </w:rPr>
      </w:pPr>
    </w:p>
    <w:p w14:paraId="136B3BEC" w14:textId="77777777" w:rsidR="00717BA5" w:rsidRPr="00717BA5" w:rsidRDefault="00717BA5" w:rsidP="00717BA5">
      <w:pPr>
        <w:spacing w:after="0" w:line="240" w:lineRule="auto"/>
        <w:rPr>
          <w:rFonts w:ascii="Calibri" w:eastAsia="SimSun" w:hAnsi="Calibri"/>
          <w:color w:val="auto"/>
          <w:sz w:val="22"/>
          <w:szCs w:val="22"/>
          <w:lang w:val="en-AU"/>
        </w:rPr>
      </w:pPr>
    </w:p>
    <w:p w14:paraId="13E687B5" w14:textId="77777777" w:rsidR="00717BA5" w:rsidRPr="00717BA5" w:rsidRDefault="00717BA5" w:rsidP="00717BA5">
      <w:pPr>
        <w:spacing w:after="0" w:line="240" w:lineRule="auto"/>
        <w:rPr>
          <w:rFonts w:ascii="Calibri" w:eastAsia="SimSun" w:hAnsi="Calibri"/>
          <w:color w:val="auto"/>
          <w:sz w:val="22"/>
          <w:szCs w:val="22"/>
          <w:lang w:val="en-AU"/>
        </w:rPr>
      </w:pPr>
    </w:p>
    <w:p w14:paraId="0DF0DC5C" w14:textId="77777777" w:rsidR="00717BA5" w:rsidRPr="00717BA5" w:rsidRDefault="00717BA5" w:rsidP="00717BA5">
      <w:pPr>
        <w:spacing w:after="0" w:line="240" w:lineRule="auto"/>
        <w:rPr>
          <w:rFonts w:ascii="Calibri" w:eastAsia="SimSun" w:hAnsi="Calibri"/>
          <w:color w:val="auto"/>
          <w:sz w:val="22"/>
          <w:szCs w:val="22"/>
          <w:lang w:val="en-AU"/>
        </w:rPr>
      </w:pPr>
    </w:p>
    <w:p w14:paraId="6C427256" w14:textId="77777777" w:rsidR="00717BA5" w:rsidRPr="00717BA5" w:rsidRDefault="00717BA5" w:rsidP="00717BA5">
      <w:pPr>
        <w:spacing w:after="0" w:line="240" w:lineRule="auto"/>
        <w:rPr>
          <w:rFonts w:ascii="Calibri" w:eastAsia="SimSun" w:hAnsi="Calibri"/>
          <w:color w:val="auto"/>
          <w:sz w:val="22"/>
          <w:szCs w:val="22"/>
          <w:lang w:val="en-AU"/>
        </w:rPr>
      </w:pPr>
    </w:p>
    <w:p w14:paraId="4C2940EE" w14:textId="77777777" w:rsidR="00717BA5" w:rsidRPr="00717BA5" w:rsidRDefault="00717BA5" w:rsidP="00717BA5">
      <w:pPr>
        <w:spacing w:after="0" w:line="240" w:lineRule="auto"/>
        <w:rPr>
          <w:rFonts w:ascii="Calibri" w:eastAsia="SimSun" w:hAnsi="Calibri"/>
          <w:color w:val="auto"/>
          <w:sz w:val="22"/>
          <w:szCs w:val="22"/>
          <w:lang w:val="en-AU"/>
        </w:rPr>
      </w:pPr>
    </w:p>
    <w:p w14:paraId="65ACD5AE" w14:textId="77777777" w:rsidR="00717BA5" w:rsidRPr="00717BA5" w:rsidRDefault="00717BA5" w:rsidP="00717BA5">
      <w:pPr>
        <w:keepNext/>
        <w:spacing w:after="120" w:line="240" w:lineRule="auto"/>
        <w:outlineLvl w:val="1"/>
        <w:rPr>
          <w:rFonts w:ascii="Arial" w:eastAsia="Times New Roman" w:hAnsi="Arial" w:cs="Arial"/>
          <w:b/>
          <w:bCs/>
          <w:color w:val="auto"/>
          <w:sz w:val="24"/>
          <w:szCs w:val="24"/>
          <w:lang w:val="en-AU"/>
        </w:rPr>
      </w:pPr>
    </w:p>
    <w:p w14:paraId="328E71A4" w14:textId="77777777" w:rsidR="00717BA5" w:rsidRPr="00717BA5" w:rsidRDefault="00717BA5" w:rsidP="00341E60">
      <w:pPr>
        <w:keepNext/>
        <w:spacing w:after="120" w:line="240" w:lineRule="auto"/>
        <w:jc w:val="both"/>
        <w:outlineLvl w:val="1"/>
        <w:rPr>
          <w:rFonts w:ascii="Arial" w:eastAsia="Times New Roman" w:hAnsi="Arial" w:cs="Arial"/>
          <w:b/>
          <w:bCs/>
          <w:color w:val="auto"/>
          <w:sz w:val="24"/>
          <w:szCs w:val="24"/>
          <w:lang w:val="en-AU"/>
        </w:rPr>
      </w:pPr>
      <w:bookmarkStart w:id="108" w:name="_Toc240533523"/>
      <w:r w:rsidRPr="00717BA5">
        <w:rPr>
          <w:rFonts w:ascii="Arial" w:eastAsia="Times New Roman" w:hAnsi="Arial" w:cs="Arial"/>
          <w:b/>
          <w:bCs/>
          <w:color w:val="auto"/>
          <w:sz w:val="24"/>
          <w:szCs w:val="24"/>
          <w:lang w:val="en-AU"/>
        </w:rPr>
        <w:t xml:space="preserve">NOTE 15. </w:t>
      </w:r>
      <w:r w:rsidRPr="00717BA5" w:rsidDel="008B0B4B">
        <w:rPr>
          <w:rFonts w:ascii="Arial" w:eastAsia="Times New Roman" w:hAnsi="Arial" w:cs="Arial"/>
          <w:b/>
          <w:bCs/>
          <w:color w:val="auto"/>
          <w:sz w:val="24"/>
          <w:szCs w:val="24"/>
          <w:lang w:val="en-AU"/>
        </w:rPr>
        <w:t xml:space="preserve"> </w:t>
      </w:r>
      <w:r w:rsidRPr="00717BA5">
        <w:rPr>
          <w:rFonts w:ascii="Arial" w:eastAsia="Times New Roman" w:hAnsi="Arial" w:cs="Arial"/>
          <w:b/>
          <w:bCs/>
          <w:color w:val="auto"/>
          <w:sz w:val="24"/>
          <w:szCs w:val="24"/>
          <w:lang w:val="en-AU"/>
        </w:rPr>
        <w:t>PROVISION FOR LONG SERVICE LEAVE BENEFITS - CONTINUED</w:t>
      </w:r>
      <w:bookmarkEnd w:id="108"/>
    </w:p>
    <w:p w14:paraId="1DAA7CF8" w14:textId="77777777" w:rsidR="00717BA5" w:rsidRPr="00717BA5" w:rsidRDefault="00717BA5" w:rsidP="00717BA5">
      <w:pPr>
        <w:widowControl w:val="0"/>
        <w:tabs>
          <w:tab w:val="left" w:pos="833"/>
        </w:tabs>
        <w:spacing w:before="120" w:after="0" w:line="240" w:lineRule="auto"/>
        <w:ind w:left="832" w:right="109"/>
        <w:jc w:val="both"/>
        <w:rPr>
          <w:rFonts w:ascii="Arial" w:eastAsia="Calibri" w:hAnsi="Arial" w:cs="Arial"/>
          <w:color w:val="auto"/>
          <w:sz w:val="18"/>
          <w:szCs w:val="18"/>
          <w:lang w:eastAsia="en-US"/>
        </w:rPr>
      </w:pPr>
    </w:p>
    <w:p w14:paraId="3088E826" w14:textId="77777777" w:rsidR="00717BA5" w:rsidRPr="00717BA5" w:rsidRDefault="00717BA5" w:rsidP="00717BA5">
      <w:pPr>
        <w:widowControl w:val="0"/>
        <w:numPr>
          <w:ilvl w:val="0"/>
          <w:numId w:val="105"/>
        </w:numPr>
        <w:tabs>
          <w:tab w:val="left" w:pos="323"/>
        </w:tabs>
        <w:spacing w:before="120" w:after="0" w:line="240" w:lineRule="auto"/>
        <w:ind w:hanging="322"/>
        <w:jc w:val="both"/>
        <w:rPr>
          <w:rFonts w:ascii="Arial" w:eastAsia="Calibri" w:hAnsi="Arial" w:cs="Arial"/>
          <w:b/>
          <w:bCs/>
          <w:i/>
          <w:color w:val="auto"/>
          <w:szCs w:val="22"/>
          <w:lang w:eastAsia="en-US"/>
        </w:rPr>
      </w:pPr>
      <w:r w:rsidRPr="00717BA5">
        <w:rPr>
          <w:rFonts w:ascii="Arial" w:eastAsia="Calibri" w:hAnsi="Arial" w:cs="Arial"/>
          <w:b/>
          <w:bCs/>
          <w:i/>
          <w:color w:val="auto"/>
          <w:szCs w:val="22"/>
          <w:lang w:eastAsia="en-US"/>
        </w:rPr>
        <w:t>Accrued Long Service Leave Benefits – Services Industry</w:t>
      </w:r>
    </w:p>
    <w:p w14:paraId="0F3EBA2C" w14:textId="77777777" w:rsidR="00717BA5" w:rsidRPr="00717BA5" w:rsidRDefault="00717BA5" w:rsidP="00717BA5">
      <w:pPr>
        <w:widowControl w:val="0"/>
        <w:tabs>
          <w:tab w:val="left" w:pos="415"/>
        </w:tabs>
        <w:spacing w:after="0" w:line="244" w:lineRule="exact"/>
        <w:ind w:left="157"/>
        <w:jc w:val="both"/>
        <w:rPr>
          <w:rFonts w:ascii="Arial" w:eastAsia="Calibri" w:hAnsi="Arial" w:cs="Arial"/>
          <w:iCs/>
          <w:color w:val="auto"/>
          <w:spacing w:val="-1"/>
          <w:sz w:val="18"/>
          <w:szCs w:val="18"/>
          <w:lang w:val="en-AU" w:eastAsia="en-US"/>
        </w:rPr>
      </w:pPr>
    </w:p>
    <w:p w14:paraId="7478DE95" w14:textId="77777777" w:rsidR="00717BA5" w:rsidRPr="00717BA5" w:rsidRDefault="00717BA5" w:rsidP="00717BA5">
      <w:pPr>
        <w:adjustRightInd w:val="0"/>
        <w:snapToGrid w:val="0"/>
        <w:rPr>
          <w:rFonts w:ascii="Arial" w:eastAsia="Calibri" w:hAnsi="Arial" w:cs="Arial"/>
          <w:color w:val="auto"/>
          <w:lang w:val="en-AU"/>
        </w:rPr>
      </w:pPr>
      <w:r w:rsidRPr="00717BA5">
        <w:rPr>
          <w:rFonts w:ascii="Arial" w:eastAsia="Calibri" w:hAnsi="Arial" w:cs="Arial"/>
          <w:color w:val="auto"/>
          <w:lang w:val="en-AU"/>
        </w:rPr>
        <w:t>Exit rates</w:t>
      </w:r>
    </w:p>
    <w:p w14:paraId="5BFFE799" w14:textId="77777777" w:rsidR="00717BA5" w:rsidRPr="00717BA5" w:rsidRDefault="00717BA5" w:rsidP="00717BA5">
      <w:pPr>
        <w:adjustRightInd w:val="0"/>
        <w:snapToGrid w:val="0"/>
        <w:rPr>
          <w:rFonts w:ascii="Arial" w:eastAsia="Calibri" w:hAnsi="Arial" w:cs="Arial"/>
          <w:color w:val="auto"/>
          <w:sz w:val="18"/>
          <w:szCs w:val="18"/>
        </w:rPr>
      </w:pPr>
      <w:r w:rsidRPr="00717BA5">
        <w:rPr>
          <w:rFonts w:ascii="Arial" w:eastAsia="Calibri" w:hAnsi="Arial" w:cs="Arial"/>
          <w:color w:val="auto"/>
        </w:rPr>
        <w:t>The</w:t>
      </w:r>
      <w:r w:rsidRPr="00717BA5">
        <w:rPr>
          <w:rFonts w:ascii="Arial" w:eastAsia="Calibri" w:hAnsi="Arial" w:cs="Arial"/>
          <w:color w:val="auto"/>
          <w:spacing w:val="-6"/>
        </w:rPr>
        <w:t xml:space="preserve"> </w:t>
      </w:r>
      <w:r w:rsidRPr="00717BA5">
        <w:rPr>
          <w:rFonts w:ascii="Arial" w:eastAsia="Calibri" w:hAnsi="Arial" w:cs="Arial"/>
          <w:color w:val="auto"/>
        </w:rPr>
        <w:t>rates</w:t>
      </w:r>
      <w:r w:rsidRPr="00717BA5">
        <w:rPr>
          <w:rFonts w:ascii="Arial" w:eastAsia="Calibri" w:hAnsi="Arial" w:cs="Arial"/>
          <w:color w:val="auto"/>
          <w:spacing w:val="-6"/>
        </w:rPr>
        <w:t xml:space="preserve"> </w:t>
      </w:r>
      <w:r w:rsidRPr="00717BA5">
        <w:rPr>
          <w:rFonts w:ascii="Arial" w:eastAsia="Calibri" w:hAnsi="Arial" w:cs="Arial"/>
          <w:color w:val="auto"/>
        </w:rPr>
        <w:t>at</w:t>
      </w:r>
      <w:r w:rsidRPr="00717BA5">
        <w:rPr>
          <w:rFonts w:ascii="Arial" w:eastAsia="Calibri" w:hAnsi="Arial" w:cs="Arial"/>
          <w:color w:val="auto"/>
          <w:spacing w:val="-4"/>
        </w:rPr>
        <w:t xml:space="preserve"> </w:t>
      </w:r>
      <w:r w:rsidRPr="00717BA5">
        <w:rPr>
          <w:rFonts w:ascii="Arial" w:eastAsia="Calibri" w:hAnsi="Arial" w:cs="Arial"/>
          <w:color w:val="auto"/>
        </w:rPr>
        <w:t>which</w:t>
      </w:r>
      <w:r w:rsidRPr="00717BA5">
        <w:rPr>
          <w:rFonts w:ascii="Arial" w:eastAsia="Calibri" w:hAnsi="Arial" w:cs="Arial"/>
          <w:color w:val="auto"/>
          <w:spacing w:val="-5"/>
        </w:rPr>
        <w:t xml:space="preserve"> </w:t>
      </w:r>
      <w:r w:rsidRPr="00717BA5">
        <w:rPr>
          <w:rFonts w:ascii="Arial" w:eastAsia="Calibri" w:hAnsi="Arial" w:cs="Arial"/>
          <w:color w:val="auto"/>
        </w:rPr>
        <w:t>workers</w:t>
      </w:r>
      <w:r w:rsidRPr="00717BA5">
        <w:rPr>
          <w:rFonts w:ascii="Arial" w:eastAsia="Calibri" w:hAnsi="Arial" w:cs="Arial"/>
          <w:color w:val="auto"/>
          <w:spacing w:val="-6"/>
        </w:rPr>
        <w:t xml:space="preserve"> </w:t>
      </w:r>
      <w:r w:rsidRPr="00717BA5">
        <w:rPr>
          <w:rFonts w:ascii="Arial" w:eastAsia="Calibri" w:hAnsi="Arial" w:cs="Arial"/>
          <w:color w:val="auto"/>
        </w:rPr>
        <w:t>of</w:t>
      </w:r>
      <w:r w:rsidRPr="00717BA5">
        <w:rPr>
          <w:rFonts w:ascii="Arial" w:eastAsia="Calibri" w:hAnsi="Arial" w:cs="Arial"/>
          <w:color w:val="auto"/>
          <w:spacing w:val="-3"/>
        </w:rPr>
        <w:t xml:space="preserve"> </w:t>
      </w:r>
      <w:r w:rsidRPr="00717BA5">
        <w:rPr>
          <w:rFonts w:ascii="Arial" w:eastAsia="Calibri" w:hAnsi="Arial" w:cs="Arial"/>
          <w:color w:val="auto"/>
        </w:rPr>
        <w:t>different</w:t>
      </w:r>
      <w:r w:rsidRPr="00717BA5">
        <w:rPr>
          <w:rFonts w:ascii="Arial" w:eastAsia="Calibri" w:hAnsi="Arial" w:cs="Arial"/>
          <w:color w:val="auto"/>
          <w:spacing w:val="-5"/>
        </w:rPr>
        <w:t xml:space="preserve"> </w:t>
      </w:r>
      <w:r w:rsidRPr="00717BA5">
        <w:rPr>
          <w:rFonts w:ascii="Arial" w:eastAsia="Calibri" w:hAnsi="Arial" w:cs="Arial"/>
          <w:color w:val="auto"/>
        </w:rPr>
        <w:t>membership groups</w:t>
      </w:r>
      <w:r w:rsidRPr="00717BA5">
        <w:rPr>
          <w:rFonts w:ascii="Arial" w:eastAsia="Calibri" w:hAnsi="Arial" w:cs="Arial"/>
          <w:color w:val="auto"/>
          <w:spacing w:val="-6"/>
        </w:rPr>
        <w:t xml:space="preserve"> </w:t>
      </w:r>
      <w:r w:rsidRPr="00717BA5">
        <w:rPr>
          <w:rFonts w:ascii="Arial" w:eastAsia="Calibri" w:hAnsi="Arial" w:cs="Arial"/>
          <w:color w:val="auto"/>
        </w:rPr>
        <w:t>might</w:t>
      </w:r>
      <w:r w:rsidRPr="00717BA5">
        <w:rPr>
          <w:rFonts w:ascii="Arial" w:eastAsia="Calibri" w:hAnsi="Arial" w:cs="Arial"/>
          <w:color w:val="auto"/>
          <w:spacing w:val="-4"/>
        </w:rPr>
        <w:t xml:space="preserve"> </w:t>
      </w:r>
      <w:r w:rsidRPr="00717BA5">
        <w:rPr>
          <w:rFonts w:ascii="Arial" w:eastAsia="Calibri" w:hAnsi="Arial" w:cs="Arial"/>
          <w:color w:val="auto"/>
        </w:rPr>
        <w:t>leave</w:t>
      </w:r>
      <w:r w:rsidRPr="00717BA5">
        <w:rPr>
          <w:rFonts w:ascii="Arial" w:eastAsia="Calibri" w:hAnsi="Arial" w:cs="Arial"/>
          <w:color w:val="auto"/>
          <w:spacing w:val="-5"/>
        </w:rPr>
        <w:t xml:space="preserve"> </w:t>
      </w:r>
      <w:r w:rsidRPr="00717BA5">
        <w:rPr>
          <w:rFonts w:ascii="Arial" w:eastAsia="Calibri" w:hAnsi="Arial" w:cs="Arial"/>
          <w:color w:val="auto"/>
        </w:rPr>
        <w:t>the</w:t>
      </w:r>
      <w:r w:rsidRPr="00717BA5">
        <w:rPr>
          <w:rFonts w:ascii="Arial" w:eastAsia="Calibri" w:hAnsi="Arial" w:cs="Arial"/>
          <w:color w:val="auto"/>
          <w:spacing w:val="-4"/>
        </w:rPr>
        <w:t xml:space="preserve"> </w:t>
      </w:r>
      <w:r w:rsidRPr="00717BA5">
        <w:rPr>
          <w:rFonts w:ascii="Arial" w:eastAsia="Calibri" w:hAnsi="Arial" w:cs="Arial"/>
          <w:color w:val="auto"/>
        </w:rPr>
        <w:t>scheme are based on past experience and vary by years of service as follows</w:t>
      </w:r>
      <w:r w:rsidRPr="00717BA5">
        <w:rPr>
          <w:rFonts w:ascii="Arial" w:eastAsia="Calibri" w:hAnsi="Arial" w:cs="Arial"/>
          <w:color w:val="auto"/>
          <w:spacing w:val="-1"/>
          <w:sz w:val="18"/>
          <w:szCs w:val="18"/>
        </w:rPr>
        <w:t>:</w:t>
      </w:r>
    </w:p>
    <w:tbl>
      <w:tblPr>
        <w:tblW w:w="4999" w:type="pct"/>
        <w:tblLook w:val="04A0" w:firstRow="1" w:lastRow="0" w:firstColumn="1" w:lastColumn="0" w:noHBand="0" w:noVBand="1"/>
      </w:tblPr>
      <w:tblGrid>
        <w:gridCol w:w="1260"/>
        <w:gridCol w:w="609"/>
        <w:gridCol w:w="1267"/>
        <w:gridCol w:w="3676"/>
        <w:gridCol w:w="1259"/>
        <w:gridCol w:w="609"/>
        <w:gridCol w:w="1267"/>
      </w:tblGrid>
      <w:tr w:rsidR="00717BA5" w:rsidRPr="00717BA5" w14:paraId="12B6A275" w14:textId="77777777" w:rsidTr="00F0752D">
        <w:trPr>
          <w:trHeight w:val="315"/>
        </w:trPr>
        <w:tc>
          <w:tcPr>
            <w:tcW w:w="3424" w:type="pct"/>
            <w:gridSpan w:val="4"/>
            <w:tcBorders>
              <w:top w:val="nil"/>
              <w:left w:val="nil"/>
              <w:bottom w:val="nil"/>
              <w:right w:val="nil"/>
            </w:tcBorders>
            <w:shd w:val="clear" w:color="000000" w:fill="FFFFFF"/>
            <w:vAlign w:val="bottom"/>
          </w:tcPr>
          <w:p w14:paraId="0364C0F6"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Exit Rate - Service in last year</w:t>
            </w:r>
          </w:p>
        </w:tc>
        <w:tc>
          <w:tcPr>
            <w:tcW w:w="633" w:type="pct"/>
            <w:tcBorders>
              <w:top w:val="nil"/>
              <w:left w:val="nil"/>
              <w:bottom w:val="nil"/>
              <w:right w:val="nil"/>
            </w:tcBorders>
            <w:shd w:val="clear" w:color="000000" w:fill="FFFFFF"/>
            <w:vAlign w:val="bottom"/>
          </w:tcPr>
          <w:p w14:paraId="4B4B51D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2026</w:t>
            </w:r>
          </w:p>
        </w:tc>
        <w:tc>
          <w:tcPr>
            <w:tcW w:w="306" w:type="pct"/>
            <w:tcBorders>
              <w:top w:val="nil"/>
              <w:left w:val="nil"/>
              <w:bottom w:val="nil"/>
              <w:right w:val="nil"/>
            </w:tcBorders>
            <w:shd w:val="clear" w:color="000000" w:fill="FFFFFF"/>
            <w:vAlign w:val="bottom"/>
          </w:tcPr>
          <w:p w14:paraId="238E9E7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vAlign w:val="bottom"/>
          </w:tcPr>
          <w:p w14:paraId="3161DF0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546E87A4" w14:textId="77777777" w:rsidTr="00F0752D">
        <w:trPr>
          <w:trHeight w:val="315"/>
        </w:trPr>
        <w:tc>
          <w:tcPr>
            <w:tcW w:w="3424" w:type="pct"/>
            <w:gridSpan w:val="4"/>
            <w:tcBorders>
              <w:top w:val="nil"/>
              <w:left w:val="nil"/>
              <w:bottom w:val="nil"/>
              <w:right w:val="nil"/>
            </w:tcBorders>
            <w:shd w:val="clear" w:color="000000" w:fill="FFFFFF"/>
            <w:vAlign w:val="bottom"/>
          </w:tcPr>
          <w:p w14:paraId="038326D8"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less than 5 years of service</w:t>
            </w:r>
          </w:p>
        </w:tc>
        <w:tc>
          <w:tcPr>
            <w:tcW w:w="633" w:type="pct"/>
            <w:tcBorders>
              <w:top w:val="nil"/>
              <w:left w:val="nil"/>
              <w:bottom w:val="nil"/>
              <w:right w:val="nil"/>
            </w:tcBorders>
            <w:shd w:val="clear" w:color="000000" w:fill="FFFFFF"/>
            <w:vAlign w:val="bottom"/>
          </w:tcPr>
          <w:p w14:paraId="5975D2C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0%</w:t>
            </w:r>
          </w:p>
        </w:tc>
        <w:tc>
          <w:tcPr>
            <w:tcW w:w="306" w:type="pct"/>
            <w:tcBorders>
              <w:top w:val="nil"/>
              <w:left w:val="nil"/>
              <w:bottom w:val="nil"/>
              <w:right w:val="nil"/>
            </w:tcBorders>
            <w:shd w:val="clear" w:color="000000" w:fill="FFFFFF"/>
            <w:vAlign w:val="bottom"/>
          </w:tcPr>
          <w:p w14:paraId="18232F5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18DC3F2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0%</w:t>
            </w:r>
          </w:p>
        </w:tc>
      </w:tr>
      <w:tr w:rsidR="00717BA5" w:rsidRPr="00717BA5" w14:paraId="0F64CF34" w14:textId="77777777" w:rsidTr="00F0752D">
        <w:trPr>
          <w:trHeight w:val="315"/>
        </w:trPr>
        <w:tc>
          <w:tcPr>
            <w:tcW w:w="3424" w:type="pct"/>
            <w:gridSpan w:val="4"/>
            <w:tcBorders>
              <w:top w:val="nil"/>
              <w:left w:val="nil"/>
              <w:bottom w:val="nil"/>
              <w:right w:val="nil"/>
            </w:tcBorders>
            <w:shd w:val="clear" w:color="000000" w:fill="FFFFFF"/>
            <w:vAlign w:val="bottom"/>
          </w:tcPr>
          <w:p w14:paraId="2F567054"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5 years of service</w:t>
            </w:r>
          </w:p>
        </w:tc>
        <w:tc>
          <w:tcPr>
            <w:tcW w:w="633" w:type="pct"/>
            <w:tcBorders>
              <w:top w:val="nil"/>
              <w:left w:val="nil"/>
              <w:bottom w:val="nil"/>
              <w:right w:val="nil"/>
            </w:tcBorders>
            <w:shd w:val="clear" w:color="000000" w:fill="FFFFFF"/>
            <w:vAlign w:val="bottom"/>
          </w:tcPr>
          <w:p w14:paraId="2220008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w:t>
            </w:r>
          </w:p>
        </w:tc>
        <w:tc>
          <w:tcPr>
            <w:tcW w:w="306" w:type="pct"/>
            <w:tcBorders>
              <w:top w:val="nil"/>
              <w:left w:val="nil"/>
              <w:bottom w:val="nil"/>
              <w:right w:val="nil"/>
            </w:tcBorders>
            <w:shd w:val="clear" w:color="000000" w:fill="FFFFFF"/>
            <w:vAlign w:val="bottom"/>
          </w:tcPr>
          <w:p w14:paraId="40C06BB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30F057C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w:t>
            </w:r>
          </w:p>
        </w:tc>
      </w:tr>
      <w:tr w:rsidR="00717BA5" w:rsidRPr="00717BA5" w14:paraId="51F56594" w14:textId="77777777" w:rsidTr="00F0752D">
        <w:trPr>
          <w:trHeight w:val="315"/>
        </w:trPr>
        <w:tc>
          <w:tcPr>
            <w:tcW w:w="3424" w:type="pct"/>
            <w:gridSpan w:val="4"/>
            <w:tcBorders>
              <w:top w:val="nil"/>
              <w:left w:val="nil"/>
              <w:bottom w:val="nil"/>
              <w:right w:val="nil"/>
            </w:tcBorders>
            <w:shd w:val="clear" w:color="000000" w:fill="FFFFFF"/>
            <w:vAlign w:val="bottom"/>
          </w:tcPr>
          <w:p w14:paraId="296DCA2B"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6 years of service</w:t>
            </w:r>
          </w:p>
        </w:tc>
        <w:tc>
          <w:tcPr>
            <w:tcW w:w="633" w:type="pct"/>
            <w:tcBorders>
              <w:top w:val="nil"/>
              <w:left w:val="nil"/>
              <w:right w:val="nil"/>
            </w:tcBorders>
            <w:shd w:val="clear" w:color="000000" w:fill="FFFFFF"/>
            <w:vAlign w:val="bottom"/>
          </w:tcPr>
          <w:p w14:paraId="73F1AA0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w:t>
            </w:r>
          </w:p>
        </w:tc>
        <w:tc>
          <w:tcPr>
            <w:tcW w:w="306" w:type="pct"/>
            <w:tcBorders>
              <w:top w:val="nil"/>
              <w:left w:val="nil"/>
              <w:right w:val="nil"/>
            </w:tcBorders>
            <w:shd w:val="clear" w:color="000000" w:fill="FFFFFF"/>
            <w:vAlign w:val="bottom"/>
          </w:tcPr>
          <w:p w14:paraId="19141F7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right w:val="nil"/>
            </w:tcBorders>
            <w:shd w:val="clear" w:color="000000" w:fill="FFFFFF"/>
            <w:noWrap/>
            <w:vAlign w:val="bottom"/>
          </w:tcPr>
          <w:p w14:paraId="3408D58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w:t>
            </w:r>
          </w:p>
        </w:tc>
      </w:tr>
      <w:tr w:rsidR="00717BA5" w:rsidRPr="00717BA5" w14:paraId="7AB920EF" w14:textId="77777777" w:rsidTr="00F0752D">
        <w:trPr>
          <w:trHeight w:val="315"/>
        </w:trPr>
        <w:tc>
          <w:tcPr>
            <w:tcW w:w="3424" w:type="pct"/>
            <w:gridSpan w:val="4"/>
            <w:tcBorders>
              <w:top w:val="nil"/>
              <w:left w:val="nil"/>
              <w:bottom w:val="nil"/>
              <w:right w:val="nil"/>
            </w:tcBorders>
            <w:shd w:val="clear" w:color="000000" w:fill="FFFFFF"/>
            <w:vAlign w:val="bottom"/>
          </w:tcPr>
          <w:p w14:paraId="4E46B30F"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7 or more years of service</w:t>
            </w:r>
          </w:p>
        </w:tc>
        <w:tc>
          <w:tcPr>
            <w:tcW w:w="633" w:type="pct"/>
            <w:tcBorders>
              <w:top w:val="nil"/>
              <w:left w:val="nil"/>
              <w:right w:val="nil"/>
            </w:tcBorders>
            <w:shd w:val="clear" w:color="000000" w:fill="FFFFFF"/>
            <w:vAlign w:val="bottom"/>
          </w:tcPr>
          <w:p w14:paraId="09502D8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6%</w:t>
            </w:r>
          </w:p>
        </w:tc>
        <w:tc>
          <w:tcPr>
            <w:tcW w:w="306" w:type="pct"/>
            <w:tcBorders>
              <w:top w:val="nil"/>
              <w:left w:val="nil"/>
              <w:right w:val="nil"/>
            </w:tcBorders>
            <w:shd w:val="clear" w:color="000000" w:fill="FFFFFF"/>
            <w:vAlign w:val="bottom"/>
          </w:tcPr>
          <w:p w14:paraId="63F051A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right w:val="nil"/>
            </w:tcBorders>
            <w:shd w:val="clear" w:color="000000" w:fill="FFFFFF"/>
            <w:noWrap/>
            <w:vAlign w:val="bottom"/>
          </w:tcPr>
          <w:p w14:paraId="1579BFA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6%</w:t>
            </w:r>
          </w:p>
        </w:tc>
      </w:tr>
      <w:tr w:rsidR="00717BA5" w:rsidRPr="00717BA5" w14:paraId="6CA2652D" w14:textId="77777777" w:rsidTr="00F0752D">
        <w:trPr>
          <w:trHeight w:val="318"/>
        </w:trPr>
        <w:tc>
          <w:tcPr>
            <w:tcW w:w="3424" w:type="pct"/>
            <w:gridSpan w:val="4"/>
            <w:tcBorders>
              <w:top w:val="nil"/>
              <w:left w:val="nil"/>
              <w:bottom w:val="nil"/>
              <w:right w:val="nil"/>
            </w:tcBorders>
            <w:shd w:val="clear" w:color="000000" w:fill="FFFFFF"/>
            <w:vAlign w:val="bottom"/>
          </w:tcPr>
          <w:p w14:paraId="2B31596D"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Exit Rate - No service in last year and vested.</w:t>
            </w:r>
          </w:p>
        </w:tc>
        <w:tc>
          <w:tcPr>
            <w:tcW w:w="633" w:type="pct"/>
            <w:tcBorders>
              <w:left w:val="nil"/>
              <w:bottom w:val="nil"/>
              <w:right w:val="nil"/>
            </w:tcBorders>
            <w:shd w:val="clear" w:color="000000" w:fill="FFFFFF"/>
            <w:vAlign w:val="bottom"/>
          </w:tcPr>
          <w:p w14:paraId="1F4073F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2026</w:t>
            </w:r>
          </w:p>
        </w:tc>
        <w:tc>
          <w:tcPr>
            <w:tcW w:w="306" w:type="pct"/>
            <w:tcBorders>
              <w:top w:val="nil"/>
              <w:left w:val="nil"/>
              <w:bottom w:val="nil"/>
              <w:right w:val="nil"/>
            </w:tcBorders>
            <w:shd w:val="clear" w:color="000000" w:fill="FFFFFF"/>
            <w:vAlign w:val="bottom"/>
          </w:tcPr>
          <w:p w14:paraId="06AD2AD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left w:val="nil"/>
              <w:bottom w:val="nil"/>
              <w:right w:val="nil"/>
            </w:tcBorders>
            <w:shd w:val="clear" w:color="000000" w:fill="FFFFFF"/>
            <w:noWrap/>
            <w:vAlign w:val="bottom"/>
          </w:tcPr>
          <w:p w14:paraId="3C5038D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33C3639E" w14:textId="77777777" w:rsidTr="00F0752D">
        <w:trPr>
          <w:trHeight w:val="315"/>
        </w:trPr>
        <w:tc>
          <w:tcPr>
            <w:tcW w:w="3424" w:type="pct"/>
            <w:gridSpan w:val="4"/>
            <w:tcBorders>
              <w:top w:val="nil"/>
              <w:left w:val="nil"/>
              <w:bottom w:val="nil"/>
              <w:right w:val="nil"/>
            </w:tcBorders>
            <w:shd w:val="clear" w:color="000000" w:fill="FFFFFF"/>
            <w:vAlign w:val="bottom"/>
          </w:tcPr>
          <w:p w14:paraId="2D1068F5"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less than 2 years of service</w:t>
            </w:r>
          </w:p>
        </w:tc>
        <w:tc>
          <w:tcPr>
            <w:tcW w:w="633" w:type="pct"/>
            <w:tcBorders>
              <w:top w:val="nil"/>
              <w:left w:val="nil"/>
              <w:bottom w:val="nil"/>
              <w:right w:val="nil"/>
            </w:tcBorders>
            <w:shd w:val="clear" w:color="000000" w:fill="FFFFFF"/>
            <w:vAlign w:val="bottom"/>
          </w:tcPr>
          <w:p w14:paraId="6997515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w:t>
            </w:r>
          </w:p>
        </w:tc>
        <w:tc>
          <w:tcPr>
            <w:tcW w:w="306" w:type="pct"/>
            <w:tcBorders>
              <w:top w:val="nil"/>
              <w:left w:val="nil"/>
              <w:bottom w:val="nil"/>
              <w:right w:val="nil"/>
            </w:tcBorders>
            <w:shd w:val="clear" w:color="000000" w:fill="FFFFFF"/>
            <w:vAlign w:val="bottom"/>
          </w:tcPr>
          <w:p w14:paraId="6D18B51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67E7696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w:t>
            </w:r>
          </w:p>
        </w:tc>
      </w:tr>
      <w:tr w:rsidR="00717BA5" w:rsidRPr="00717BA5" w14:paraId="58646364" w14:textId="77777777" w:rsidTr="00F0752D">
        <w:trPr>
          <w:trHeight w:val="315"/>
        </w:trPr>
        <w:tc>
          <w:tcPr>
            <w:tcW w:w="3424" w:type="pct"/>
            <w:gridSpan w:val="4"/>
            <w:tcBorders>
              <w:top w:val="nil"/>
              <w:left w:val="nil"/>
              <w:bottom w:val="nil"/>
              <w:right w:val="nil"/>
            </w:tcBorders>
            <w:shd w:val="clear" w:color="000000" w:fill="FFFFFF"/>
            <w:vAlign w:val="bottom"/>
          </w:tcPr>
          <w:p w14:paraId="69D17E03"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2-4 years of service</w:t>
            </w:r>
          </w:p>
        </w:tc>
        <w:tc>
          <w:tcPr>
            <w:tcW w:w="633" w:type="pct"/>
            <w:tcBorders>
              <w:top w:val="nil"/>
              <w:left w:val="nil"/>
              <w:bottom w:val="nil"/>
              <w:right w:val="nil"/>
            </w:tcBorders>
            <w:shd w:val="clear" w:color="000000" w:fill="FFFFFF"/>
            <w:vAlign w:val="bottom"/>
          </w:tcPr>
          <w:p w14:paraId="24DC1C3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w:t>
            </w:r>
          </w:p>
        </w:tc>
        <w:tc>
          <w:tcPr>
            <w:tcW w:w="306" w:type="pct"/>
            <w:tcBorders>
              <w:top w:val="nil"/>
              <w:left w:val="nil"/>
              <w:bottom w:val="nil"/>
              <w:right w:val="nil"/>
            </w:tcBorders>
            <w:shd w:val="clear" w:color="000000" w:fill="FFFFFF"/>
            <w:vAlign w:val="bottom"/>
          </w:tcPr>
          <w:p w14:paraId="2B33761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bottom w:val="nil"/>
              <w:right w:val="nil"/>
            </w:tcBorders>
            <w:shd w:val="clear" w:color="000000" w:fill="FFFFFF"/>
            <w:noWrap/>
            <w:vAlign w:val="bottom"/>
          </w:tcPr>
          <w:p w14:paraId="70466A2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w:t>
            </w:r>
          </w:p>
        </w:tc>
      </w:tr>
      <w:tr w:rsidR="00717BA5" w:rsidRPr="00717BA5" w14:paraId="002BAAE9" w14:textId="77777777" w:rsidTr="00F0752D">
        <w:trPr>
          <w:trHeight w:val="315"/>
        </w:trPr>
        <w:tc>
          <w:tcPr>
            <w:tcW w:w="3424" w:type="pct"/>
            <w:gridSpan w:val="4"/>
            <w:tcBorders>
              <w:top w:val="nil"/>
              <w:left w:val="nil"/>
              <w:right w:val="nil"/>
            </w:tcBorders>
            <w:shd w:val="clear" w:color="000000" w:fill="FFFFFF"/>
            <w:vAlign w:val="bottom"/>
          </w:tcPr>
          <w:p w14:paraId="1E45D6C3"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5 years of service</w:t>
            </w:r>
          </w:p>
        </w:tc>
        <w:tc>
          <w:tcPr>
            <w:tcW w:w="633" w:type="pct"/>
            <w:tcBorders>
              <w:top w:val="nil"/>
              <w:left w:val="nil"/>
              <w:right w:val="nil"/>
            </w:tcBorders>
            <w:shd w:val="clear" w:color="000000" w:fill="FFFFFF"/>
            <w:vAlign w:val="bottom"/>
          </w:tcPr>
          <w:p w14:paraId="784CABB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w:t>
            </w:r>
          </w:p>
        </w:tc>
        <w:tc>
          <w:tcPr>
            <w:tcW w:w="306" w:type="pct"/>
            <w:tcBorders>
              <w:top w:val="nil"/>
              <w:left w:val="nil"/>
              <w:right w:val="nil"/>
            </w:tcBorders>
            <w:shd w:val="clear" w:color="000000" w:fill="FFFFFF"/>
            <w:vAlign w:val="bottom"/>
          </w:tcPr>
          <w:p w14:paraId="306554A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top w:val="nil"/>
              <w:left w:val="nil"/>
              <w:right w:val="nil"/>
            </w:tcBorders>
            <w:shd w:val="clear" w:color="000000" w:fill="FFFFFF"/>
            <w:noWrap/>
            <w:vAlign w:val="bottom"/>
          </w:tcPr>
          <w:p w14:paraId="3A6CEF7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w:t>
            </w:r>
          </w:p>
        </w:tc>
      </w:tr>
      <w:tr w:rsidR="00717BA5" w:rsidRPr="00717BA5" w14:paraId="49E872B0" w14:textId="77777777" w:rsidTr="00F0752D">
        <w:trPr>
          <w:trHeight w:val="315"/>
        </w:trPr>
        <w:tc>
          <w:tcPr>
            <w:tcW w:w="3424" w:type="pct"/>
            <w:gridSpan w:val="4"/>
            <w:tcBorders>
              <w:left w:val="nil"/>
              <w:right w:val="nil"/>
            </w:tcBorders>
            <w:shd w:val="clear" w:color="000000" w:fill="FFFFFF"/>
            <w:vAlign w:val="bottom"/>
          </w:tcPr>
          <w:p w14:paraId="264857BB"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Workers with 6 or more years of service</w:t>
            </w:r>
          </w:p>
        </w:tc>
        <w:tc>
          <w:tcPr>
            <w:tcW w:w="633" w:type="pct"/>
            <w:tcBorders>
              <w:left w:val="nil"/>
              <w:right w:val="nil"/>
            </w:tcBorders>
            <w:shd w:val="clear" w:color="000000" w:fill="FFFFFF"/>
            <w:vAlign w:val="bottom"/>
          </w:tcPr>
          <w:p w14:paraId="405A656B" w14:textId="77777777" w:rsidR="00717BA5" w:rsidRPr="00717BA5" w:rsidRDefault="00717BA5" w:rsidP="00717BA5">
            <w:pPr>
              <w:spacing w:after="0" w:line="240" w:lineRule="auto"/>
              <w:jc w:val="right"/>
              <w:rPr>
                <w:rFonts w:ascii="Arial" w:eastAsia="Times New Roman" w:hAnsi="Arial" w:cs="Arial"/>
                <w:b/>
                <w:color w:val="auto"/>
                <w:sz w:val="18"/>
                <w:szCs w:val="18"/>
                <w:highlight w:val="yellow"/>
                <w:lang w:val="en-AU"/>
              </w:rPr>
            </w:pPr>
            <w:r w:rsidRPr="00717BA5">
              <w:rPr>
                <w:rFonts w:ascii="Arial" w:eastAsia="Times New Roman" w:hAnsi="Arial" w:cs="Arial"/>
                <w:color w:val="auto"/>
                <w:sz w:val="18"/>
                <w:szCs w:val="18"/>
                <w:lang w:val="en-AU"/>
              </w:rPr>
              <w:t>5%</w:t>
            </w:r>
          </w:p>
        </w:tc>
        <w:tc>
          <w:tcPr>
            <w:tcW w:w="306" w:type="pct"/>
            <w:tcBorders>
              <w:left w:val="nil"/>
              <w:right w:val="nil"/>
            </w:tcBorders>
            <w:shd w:val="clear" w:color="000000" w:fill="FFFFFF"/>
            <w:vAlign w:val="bottom"/>
          </w:tcPr>
          <w:p w14:paraId="66F1A2D8" w14:textId="77777777" w:rsidR="00717BA5" w:rsidRPr="00717BA5" w:rsidRDefault="00717BA5" w:rsidP="00717BA5">
            <w:pPr>
              <w:spacing w:after="0" w:line="240" w:lineRule="auto"/>
              <w:jc w:val="right"/>
              <w:rPr>
                <w:rFonts w:ascii="Arial" w:eastAsia="Times New Roman" w:hAnsi="Arial" w:cs="Arial"/>
                <w:b/>
                <w:color w:val="auto"/>
                <w:sz w:val="18"/>
                <w:szCs w:val="18"/>
                <w:highlight w:val="yellow"/>
                <w:lang w:val="en-AU"/>
              </w:rPr>
            </w:pPr>
          </w:p>
        </w:tc>
        <w:tc>
          <w:tcPr>
            <w:tcW w:w="637" w:type="pct"/>
            <w:tcBorders>
              <w:left w:val="nil"/>
              <w:right w:val="nil"/>
            </w:tcBorders>
            <w:shd w:val="clear" w:color="000000" w:fill="FFFFFF"/>
            <w:noWrap/>
            <w:vAlign w:val="bottom"/>
          </w:tcPr>
          <w:p w14:paraId="5F0124A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color w:val="auto"/>
                <w:sz w:val="18"/>
                <w:szCs w:val="18"/>
                <w:lang w:val="en-AU"/>
              </w:rPr>
              <w:t>5%</w:t>
            </w:r>
          </w:p>
        </w:tc>
      </w:tr>
      <w:tr w:rsidR="00717BA5" w:rsidRPr="00717BA5" w14:paraId="01FE3191" w14:textId="77777777" w:rsidTr="00F0752D">
        <w:trPr>
          <w:trHeight w:val="315"/>
        </w:trPr>
        <w:tc>
          <w:tcPr>
            <w:tcW w:w="3424" w:type="pct"/>
            <w:gridSpan w:val="4"/>
            <w:tcBorders>
              <w:left w:val="nil"/>
              <w:bottom w:val="nil"/>
              <w:right w:val="nil"/>
            </w:tcBorders>
            <w:shd w:val="clear" w:color="000000" w:fill="FFFFFF"/>
            <w:vAlign w:val="bottom"/>
          </w:tcPr>
          <w:p w14:paraId="7584971C"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Exit Rate - No service in last year and not vested.</w:t>
            </w:r>
          </w:p>
        </w:tc>
        <w:tc>
          <w:tcPr>
            <w:tcW w:w="633" w:type="pct"/>
            <w:tcBorders>
              <w:left w:val="nil"/>
              <w:right w:val="nil"/>
            </w:tcBorders>
            <w:shd w:val="clear" w:color="000000" w:fill="FFFFFF"/>
            <w:vAlign w:val="bottom"/>
          </w:tcPr>
          <w:p w14:paraId="7AA610D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2026</w:t>
            </w:r>
          </w:p>
        </w:tc>
        <w:tc>
          <w:tcPr>
            <w:tcW w:w="306" w:type="pct"/>
            <w:tcBorders>
              <w:left w:val="nil"/>
              <w:right w:val="nil"/>
            </w:tcBorders>
            <w:shd w:val="clear" w:color="000000" w:fill="FFFFFF"/>
            <w:vAlign w:val="bottom"/>
          </w:tcPr>
          <w:p w14:paraId="4FE027A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left w:val="nil"/>
              <w:right w:val="nil"/>
            </w:tcBorders>
            <w:shd w:val="clear" w:color="000000" w:fill="FFFFFF"/>
            <w:noWrap/>
            <w:vAlign w:val="bottom"/>
          </w:tcPr>
          <w:p w14:paraId="655ED42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5768E216" w14:textId="77777777" w:rsidTr="00F0752D">
        <w:trPr>
          <w:trHeight w:val="315"/>
        </w:trPr>
        <w:tc>
          <w:tcPr>
            <w:tcW w:w="3424" w:type="pct"/>
            <w:gridSpan w:val="4"/>
            <w:tcBorders>
              <w:left w:val="nil"/>
              <w:bottom w:val="nil"/>
              <w:right w:val="nil"/>
            </w:tcBorders>
            <w:shd w:val="clear" w:color="000000" w:fill="FFFFFF"/>
            <w:vAlign w:val="bottom"/>
          </w:tcPr>
          <w:p w14:paraId="0FC04725"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rPr>
              <w:t>Workers with no service last year and not vested</w:t>
            </w:r>
          </w:p>
        </w:tc>
        <w:tc>
          <w:tcPr>
            <w:tcW w:w="633" w:type="pct"/>
            <w:tcBorders>
              <w:left w:val="nil"/>
              <w:right w:val="nil"/>
            </w:tcBorders>
            <w:shd w:val="clear" w:color="000000" w:fill="FFFFFF"/>
            <w:vAlign w:val="bottom"/>
          </w:tcPr>
          <w:p w14:paraId="5E760426"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29%</w:t>
            </w:r>
          </w:p>
        </w:tc>
        <w:tc>
          <w:tcPr>
            <w:tcW w:w="306" w:type="pct"/>
            <w:tcBorders>
              <w:left w:val="nil"/>
              <w:right w:val="nil"/>
            </w:tcBorders>
            <w:shd w:val="clear" w:color="000000" w:fill="FFFFFF"/>
            <w:vAlign w:val="bottom"/>
          </w:tcPr>
          <w:p w14:paraId="708A0F0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7" w:type="pct"/>
            <w:tcBorders>
              <w:left w:val="nil"/>
              <w:right w:val="nil"/>
            </w:tcBorders>
            <w:shd w:val="clear" w:color="000000" w:fill="FFFFFF"/>
            <w:noWrap/>
            <w:vAlign w:val="bottom"/>
          </w:tcPr>
          <w:p w14:paraId="7B6E7419"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29%</w:t>
            </w:r>
          </w:p>
        </w:tc>
      </w:tr>
      <w:tr w:rsidR="00717BA5" w:rsidRPr="00717BA5" w14:paraId="31C78F50" w14:textId="77777777" w:rsidTr="00F0752D">
        <w:trPr>
          <w:trHeight w:val="63"/>
        </w:trPr>
        <w:tc>
          <w:tcPr>
            <w:tcW w:w="3424" w:type="pct"/>
            <w:gridSpan w:val="4"/>
            <w:tcBorders>
              <w:left w:val="nil"/>
              <w:bottom w:val="nil"/>
              <w:right w:val="nil"/>
            </w:tcBorders>
            <w:shd w:val="clear" w:color="000000" w:fill="FFFFFF"/>
            <w:vAlign w:val="bottom"/>
          </w:tcPr>
          <w:p w14:paraId="6DB63B55" w14:textId="77777777" w:rsidR="00717BA5" w:rsidRPr="00717BA5" w:rsidRDefault="00717BA5" w:rsidP="00717BA5">
            <w:pPr>
              <w:spacing w:after="0" w:line="240" w:lineRule="auto"/>
              <w:ind w:left="405"/>
              <w:rPr>
                <w:rFonts w:ascii="Arial" w:eastAsia="Times New Roman" w:hAnsi="Arial" w:cs="Arial"/>
                <w:bCs/>
                <w:color w:val="auto"/>
                <w:sz w:val="18"/>
                <w:szCs w:val="18"/>
              </w:rPr>
            </w:pPr>
          </w:p>
        </w:tc>
        <w:tc>
          <w:tcPr>
            <w:tcW w:w="633" w:type="pct"/>
            <w:tcBorders>
              <w:left w:val="nil"/>
              <w:right w:val="nil"/>
            </w:tcBorders>
            <w:shd w:val="clear" w:color="000000" w:fill="FFFFFF"/>
            <w:vAlign w:val="bottom"/>
          </w:tcPr>
          <w:p w14:paraId="030F27D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306" w:type="pct"/>
            <w:tcBorders>
              <w:left w:val="nil"/>
              <w:right w:val="nil"/>
            </w:tcBorders>
            <w:shd w:val="clear" w:color="000000" w:fill="FFFFFF"/>
            <w:vAlign w:val="bottom"/>
          </w:tcPr>
          <w:p w14:paraId="77771AD2"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7" w:type="pct"/>
            <w:tcBorders>
              <w:left w:val="nil"/>
              <w:right w:val="nil"/>
            </w:tcBorders>
            <w:shd w:val="clear" w:color="000000" w:fill="FFFFFF"/>
            <w:noWrap/>
            <w:vAlign w:val="bottom"/>
          </w:tcPr>
          <w:p w14:paraId="2F4CD657"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r>
      <w:tr w:rsidR="00717BA5" w:rsidRPr="00717BA5" w14:paraId="3D415FD7" w14:textId="77777777" w:rsidTr="00F0752D">
        <w:trPr>
          <w:trHeight w:val="315"/>
        </w:trPr>
        <w:tc>
          <w:tcPr>
            <w:tcW w:w="5000" w:type="pct"/>
            <w:gridSpan w:val="7"/>
            <w:tcBorders>
              <w:left w:val="nil"/>
              <w:bottom w:val="nil"/>
              <w:right w:val="nil"/>
            </w:tcBorders>
            <w:shd w:val="clear" w:color="000000" w:fill="FFFFFF"/>
            <w:vAlign w:val="bottom"/>
          </w:tcPr>
          <w:p w14:paraId="4FD1C362" w14:textId="77777777" w:rsidR="00717BA5" w:rsidRPr="00717BA5" w:rsidRDefault="00717BA5" w:rsidP="00717BA5">
            <w:pPr>
              <w:spacing w:after="0" w:line="240" w:lineRule="auto"/>
              <w:rPr>
                <w:rFonts w:ascii="Arial" w:eastAsia="SimSun" w:hAnsi="Arial" w:cs="Arial"/>
                <w:b/>
                <w:bCs/>
                <w:color w:val="auto"/>
                <w:sz w:val="18"/>
                <w:szCs w:val="18"/>
                <w:lang w:val="en-AU"/>
              </w:rPr>
            </w:pPr>
            <w:r w:rsidRPr="00717BA5">
              <w:rPr>
                <w:rFonts w:ascii="Arial" w:eastAsia="SimSun" w:hAnsi="Arial" w:cs="Arial"/>
                <w:b/>
                <w:bCs/>
                <w:color w:val="auto"/>
                <w:sz w:val="18"/>
                <w:szCs w:val="18"/>
                <w:lang w:val="en-AU"/>
              </w:rPr>
              <w:t>In Service Benefit Rates</w:t>
            </w:r>
          </w:p>
        </w:tc>
      </w:tr>
      <w:tr w:rsidR="00717BA5" w:rsidRPr="00717BA5" w14:paraId="69786378" w14:textId="77777777" w:rsidTr="00F0752D">
        <w:trPr>
          <w:trHeight w:val="315"/>
        </w:trPr>
        <w:tc>
          <w:tcPr>
            <w:tcW w:w="5000" w:type="pct"/>
            <w:gridSpan w:val="7"/>
            <w:tcBorders>
              <w:left w:val="nil"/>
              <w:bottom w:val="nil"/>
              <w:right w:val="nil"/>
            </w:tcBorders>
            <w:shd w:val="clear" w:color="000000" w:fill="FFFFFF"/>
            <w:vAlign w:val="bottom"/>
          </w:tcPr>
          <w:p w14:paraId="1006A1C3" w14:textId="77777777" w:rsidR="00717BA5" w:rsidRPr="00717BA5" w:rsidRDefault="00717BA5" w:rsidP="00717BA5">
            <w:pPr>
              <w:spacing w:after="0" w:line="240" w:lineRule="auto"/>
              <w:rPr>
                <w:rFonts w:ascii="Arial" w:eastAsia="SimSun" w:hAnsi="Arial" w:cs="Arial"/>
                <w:b/>
                <w:bCs/>
                <w:color w:val="auto"/>
                <w:lang w:val="en-AU"/>
              </w:rPr>
            </w:pPr>
            <w:r w:rsidRPr="00717BA5">
              <w:rPr>
                <w:rFonts w:ascii="Arial" w:eastAsia="SimSun" w:hAnsi="Arial" w:cs="Arial"/>
                <w:color w:val="auto"/>
                <w:sz w:val="18"/>
                <w:szCs w:val="18"/>
                <w:lang w:val="en-AU"/>
              </w:rPr>
              <w:t>The rates</w:t>
            </w:r>
            <w:r w:rsidRPr="00717BA5">
              <w:rPr>
                <w:rFonts w:ascii="Arial" w:eastAsia="SimSun" w:hAnsi="Arial" w:cs="Arial"/>
                <w:color w:val="auto"/>
                <w:lang w:val="en-AU"/>
              </w:rPr>
              <w:t xml:space="preserve"> </w:t>
            </w:r>
            <w:r w:rsidRPr="00717BA5">
              <w:rPr>
                <w:rFonts w:ascii="Arial" w:eastAsia="Calibri" w:hAnsi="Arial" w:cs="Arial"/>
                <w:color w:val="auto"/>
                <w:sz w:val="18"/>
                <w:szCs w:val="18"/>
                <w:lang w:eastAsia="en-US"/>
              </w:rPr>
              <w:t>at</w:t>
            </w:r>
            <w:r w:rsidRPr="00717BA5">
              <w:rPr>
                <w:rFonts w:ascii="Arial" w:eastAsia="Calibri" w:hAnsi="Arial" w:cs="Arial"/>
                <w:color w:val="auto"/>
                <w:spacing w:val="-4"/>
                <w:sz w:val="18"/>
                <w:szCs w:val="18"/>
                <w:lang w:eastAsia="en-US"/>
              </w:rPr>
              <w:t xml:space="preserve"> </w:t>
            </w:r>
            <w:r w:rsidRPr="00717BA5">
              <w:rPr>
                <w:rFonts w:ascii="Arial" w:eastAsia="Calibri" w:hAnsi="Arial" w:cs="Arial"/>
                <w:color w:val="auto"/>
                <w:spacing w:val="-1"/>
                <w:sz w:val="18"/>
                <w:szCs w:val="18"/>
                <w:lang w:eastAsia="en-US"/>
              </w:rPr>
              <w:t>which</w:t>
            </w:r>
            <w:r w:rsidRPr="00717BA5">
              <w:rPr>
                <w:rFonts w:ascii="Arial" w:eastAsia="Calibri" w:hAnsi="Arial" w:cs="Arial"/>
                <w:color w:val="auto"/>
                <w:spacing w:val="-5"/>
                <w:sz w:val="18"/>
                <w:szCs w:val="18"/>
                <w:lang w:eastAsia="en-US"/>
              </w:rPr>
              <w:t xml:space="preserve"> </w:t>
            </w:r>
            <w:r w:rsidRPr="00717BA5">
              <w:rPr>
                <w:rFonts w:ascii="Arial" w:eastAsia="Calibri" w:hAnsi="Arial" w:cs="Arial"/>
                <w:color w:val="auto"/>
                <w:sz w:val="18"/>
                <w:szCs w:val="18"/>
                <w:lang w:eastAsia="en-US"/>
              </w:rPr>
              <w:t>workers</w:t>
            </w:r>
            <w:r w:rsidRPr="00717BA5">
              <w:rPr>
                <w:rFonts w:ascii="Arial" w:eastAsia="Calibri" w:hAnsi="Arial" w:cs="Arial"/>
                <w:color w:val="auto"/>
                <w:spacing w:val="-6"/>
                <w:sz w:val="18"/>
                <w:szCs w:val="18"/>
                <w:lang w:eastAsia="en-US"/>
              </w:rPr>
              <w:t xml:space="preserve"> </w:t>
            </w:r>
            <w:r w:rsidRPr="00717BA5">
              <w:rPr>
                <w:rFonts w:ascii="Arial" w:eastAsia="Calibri" w:hAnsi="Arial" w:cs="Arial"/>
                <w:color w:val="auto"/>
                <w:sz w:val="18"/>
                <w:szCs w:val="18"/>
                <w:lang w:eastAsia="en-US"/>
              </w:rPr>
              <w:t>with different periods of service might take their benefit vary as</w:t>
            </w:r>
            <w:r w:rsidRPr="00717BA5">
              <w:rPr>
                <w:rFonts w:ascii="Arial" w:eastAsia="Calibri" w:hAnsi="Arial" w:cs="Arial"/>
                <w:color w:val="auto"/>
                <w:spacing w:val="-1"/>
                <w:sz w:val="18"/>
                <w:szCs w:val="18"/>
                <w:lang w:eastAsia="en-US"/>
              </w:rPr>
              <w:t xml:space="preserve"> follows:</w:t>
            </w:r>
          </w:p>
        </w:tc>
      </w:tr>
      <w:tr w:rsidR="00717BA5" w:rsidRPr="00717BA5" w14:paraId="06128E4B" w14:textId="77777777" w:rsidTr="00F0752D">
        <w:trPr>
          <w:trHeight w:val="315"/>
        </w:trPr>
        <w:tc>
          <w:tcPr>
            <w:tcW w:w="3424" w:type="pct"/>
            <w:gridSpan w:val="4"/>
            <w:tcBorders>
              <w:left w:val="nil"/>
              <w:bottom w:val="nil"/>
              <w:right w:val="nil"/>
            </w:tcBorders>
            <w:shd w:val="clear" w:color="000000" w:fill="FFFFFF"/>
            <w:vAlign w:val="bottom"/>
          </w:tcPr>
          <w:p w14:paraId="4A8CE42F"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In Service Benefit Rate</w:t>
            </w:r>
          </w:p>
        </w:tc>
        <w:tc>
          <w:tcPr>
            <w:tcW w:w="633" w:type="pct"/>
            <w:tcBorders>
              <w:left w:val="nil"/>
              <w:right w:val="nil"/>
            </w:tcBorders>
            <w:shd w:val="clear" w:color="000000" w:fill="FFFFFF"/>
            <w:vAlign w:val="bottom"/>
          </w:tcPr>
          <w:p w14:paraId="1A1AC70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2026</w:t>
            </w:r>
          </w:p>
        </w:tc>
        <w:tc>
          <w:tcPr>
            <w:tcW w:w="306" w:type="pct"/>
            <w:tcBorders>
              <w:left w:val="nil"/>
              <w:right w:val="nil"/>
            </w:tcBorders>
            <w:shd w:val="clear" w:color="000000" w:fill="FFFFFF"/>
            <w:vAlign w:val="bottom"/>
          </w:tcPr>
          <w:p w14:paraId="1051225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left w:val="nil"/>
              <w:right w:val="nil"/>
            </w:tcBorders>
            <w:shd w:val="clear" w:color="000000" w:fill="FFFFFF"/>
            <w:noWrap/>
            <w:vAlign w:val="bottom"/>
          </w:tcPr>
          <w:p w14:paraId="13A0420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68742173" w14:textId="77777777" w:rsidTr="00F0752D">
        <w:trPr>
          <w:trHeight w:val="315"/>
        </w:trPr>
        <w:tc>
          <w:tcPr>
            <w:tcW w:w="3424" w:type="pct"/>
            <w:gridSpan w:val="4"/>
            <w:tcBorders>
              <w:left w:val="nil"/>
              <w:bottom w:val="nil"/>
              <w:right w:val="nil"/>
            </w:tcBorders>
            <w:shd w:val="clear" w:color="000000" w:fill="FFFFFF"/>
            <w:vAlign w:val="bottom"/>
          </w:tcPr>
          <w:p w14:paraId="10E9951C"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 xml:space="preserve">Workers with </w:t>
            </w:r>
            <w:r w:rsidRPr="00717BA5">
              <w:rPr>
                <w:rFonts w:ascii="Arial" w:eastAsia="Times New Roman" w:hAnsi="Arial" w:cs="Arial"/>
                <w:color w:val="auto"/>
                <w:sz w:val="18"/>
                <w:szCs w:val="18"/>
                <w:lang w:val="en-AU"/>
              </w:rPr>
              <w:t>less than 7 years of service</w:t>
            </w:r>
          </w:p>
        </w:tc>
        <w:tc>
          <w:tcPr>
            <w:tcW w:w="633" w:type="pct"/>
            <w:tcBorders>
              <w:left w:val="nil"/>
              <w:right w:val="nil"/>
            </w:tcBorders>
            <w:shd w:val="clear" w:color="000000" w:fill="FFFFFF"/>
            <w:vAlign w:val="bottom"/>
          </w:tcPr>
          <w:p w14:paraId="6C0A200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0%</w:t>
            </w:r>
          </w:p>
        </w:tc>
        <w:tc>
          <w:tcPr>
            <w:tcW w:w="306" w:type="pct"/>
            <w:tcBorders>
              <w:left w:val="nil"/>
              <w:right w:val="nil"/>
            </w:tcBorders>
            <w:shd w:val="clear" w:color="000000" w:fill="FFFFFF"/>
            <w:vAlign w:val="bottom"/>
          </w:tcPr>
          <w:p w14:paraId="5B7C5422"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7" w:type="pct"/>
            <w:tcBorders>
              <w:left w:val="nil"/>
              <w:right w:val="nil"/>
            </w:tcBorders>
            <w:shd w:val="clear" w:color="000000" w:fill="FFFFFF"/>
            <w:noWrap/>
            <w:vAlign w:val="bottom"/>
          </w:tcPr>
          <w:p w14:paraId="4BB48C38"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0%</w:t>
            </w:r>
          </w:p>
        </w:tc>
      </w:tr>
      <w:tr w:rsidR="00717BA5" w:rsidRPr="00717BA5" w14:paraId="7DC41070" w14:textId="77777777" w:rsidTr="00F0752D">
        <w:trPr>
          <w:trHeight w:val="315"/>
        </w:trPr>
        <w:tc>
          <w:tcPr>
            <w:tcW w:w="3424" w:type="pct"/>
            <w:gridSpan w:val="4"/>
            <w:tcBorders>
              <w:left w:val="nil"/>
              <w:bottom w:val="nil"/>
              <w:right w:val="nil"/>
            </w:tcBorders>
            <w:shd w:val="clear" w:color="000000" w:fill="FFFFFF"/>
            <w:vAlign w:val="bottom"/>
          </w:tcPr>
          <w:p w14:paraId="4A342233"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7 years of service</w:t>
            </w:r>
          </w:p>
        </w:tc>
        <w:tc>
          <w:tcPr>
            <w:tcW w:w="633" w:type="pct"/>
            <w:tcBorders>
              <w:left w:val="nil"/>
              <w:right w:val="nil"/>
            </w:tcBorders>
            <w:shd w:val="clear" w:color="000000" w:fill="FFFFFF"/>
            <w:vAlign w:val="bottom"/>
          </w:tcPr>
          <w:p w14:paraId="4D10EE2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4%</w:t>
            </w:r>
          </w:p>
        </w:tc>
        <w:tc>
          <w:tcPr>
            <w:tcW w:w="306" w:type="pct"/>
            <w:tcBorders>
              <w:left w:val="nil"/>
              <w:right w:val="nil"/>
            </w:tcBorders>
            <w:shd w:val="clear" w:color="000000" w:fill="FFFFFF"/>
            <w:vAlign w:val="bottom"/>
          </w:tcPr>
          <w:p w14:paraId="1D8DDA3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7" w:type="pct"/>
            <w:tcBorders>
              <w:left w:val="nil"/>
              <w:right w:val="nil"/>
            </w:tcBorders>
            <w:shd w:val="clear" w:color="000000" w:fill="FFFFFF"/>
            <w:noWrap/>
            <w:vAlign w:val="bottom"/>
          </w:tcPr>
          <w:p w14:paraId="65F832D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4%</w:t>
            </w:r>
          </w:p>
        </w:tc>
      </w:tr>
      <w:tr w:rsidR="00717BA5" w:rsidRPr="00717BA5" w14:paraId="6F11FF1D" w14:textId="77777777" w:rsidTr="00F0752D">
        <w:trPr>
          <w:trHeight w:val="315"/>
        </w:trPr>
        <w:tc>
          <w:tcPr>
            <w:tcW w:w="3424" w:type="pct"/>
            <w:gridSpan w:val="4"/>
            <w:tcBorders>
              <w:left w:val="nil"/>
              <w:bottom w:val="nil"/>
              <w:right w:val="nil"/>
            </w:tcBorders>
            <w:shd w:val="clear" w:color="000000" w:fill="FFFFFF"/>
            <w:vAlign w:val="bottom"/>
          </w:tcPr>
          <w:p w14:paraId="65B795D1"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8 or more years of service</w:t>
            </w:r>
          </w:p>
        </w:tc>
        <w:tc>
          <w:tcPr>
            <w:tcW w:w="633" w:type="pct"/>
            <w:tcBorders>
              <w:left w:val="nil"/>
              <w:right w:val="nil"/>
            </w:tcBorders>
            <w:shd w:val="clear" w:color="000000" w:fill="FFFFFF"/>
            <w:vAlign w:val="bottom"/>
          </w:tcPr>
          <w:p w14:paraId="4EFB59F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7%</w:t>
            </w:r>
          </w:p>
        </w:tc>
        <w:tc>
          <w:tcPr>
            <w:tcW w:w="306" w:type="pct"/>
            <w:tcBorders>
              <w:left w:val="nil"/>
              <w:right w:val="nil"/>
            </w:tcBorders>
            <w:shd w:val="clear" w:color="000000" w:fill="FFFFFF"/>
            <w:vAlign w:val="bottom"/>
          </w:tcPr>
          <w:p w14:paraId="1BB6B61E"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7" w:type="pct"/>
            <w:tcBorders>
              <w:left w:val="nil"/>
              <w:right w:val="nil"/>
            </w:tcBorders>
            <w:shd w:val="clear" w:color="000000" w:fill="FFFFFF"/>
            <w:noWrap/>
            <w:vAlign w:val="bottom"/>
          </w:tcPr>
          <w:p w14:paraId="4B755385"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7%</w:t>
            </w:r>
          </w:p>
        </w:tc>
      </w:tr>
      <w:tr w:rsidR="00717BA5" w:rsidRPr="00717BA5" w14:paraId="304B41D8" w14:textId="77777777" w:rsidTr="00F0752D">
        <w:trPr>
          <w:gridAfter w:val="4"/>
          <w:wAfter w:w="3424" w:type="pct"/>
          <w:trHeight w:val="303"/>
        </w:trPr>
        <w:tc>
          <w:tcPr>
            <w:tcW w:w="633" w:type="pct"/>
            <w:tcBorders>
              <w:left w:val="nil"/>
              <w:right w:val="nil"/>
            </w:tcBorders>
            <w:shd w:val="clear" w:color="000000" w:fill="FFFFFF"/>
            <w:vAlign w:val="bottom"/>
          </w:tcPr>
          <w:p w14:paraId="2074E7A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6" w:type="pct"/>
            <w:tcBorders>
              <w:left w:val="nil"/>
              <w:right w:val="nil"/>
            </w:tcBorders>
            <w:shd w:val="clear" w:color="000000" w:fill="FFFFFF"/>
            <w:vAlign w:val="bottom"/>
          </w:tcPr>
          <w:p w14:paraId="3FE7F61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left w:val="nil"/>
              <w:right w:val="nil"/>
            </w:tcBorders>
            <w:shd w:val="clear" w:color="000000" w:fill="FFFFFF"/>
            <w:noWrap/>
            <w:vAlign w:val="bottom"/>
          </w:tcPr>
          <w:p w14:paraId="40D7C27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3D88A965" w14:textId="77777777" w:rsidTr="00F0752D">
        <w:trPr>
          <w:trHeight w:val="315"/>
        </w:trPr>
        <w:tc>
          <w:tcPr>
            <w:tcW w:w="3424" w:type="pct"/>
            <w:gridSpan w:val="4"/>
            <w:tcBorders>
              <w:left w:val="nil"/>
              <w:bottom w:val="nil"/>
              <w:right w:val="nil"/>
            </w:tcBorders>
            <w:shd w:val="clear" w:color="000000" w:fill="FFFFFF"/>
          </w:tcPr>
          <w:p w14:paraId="5229B84F"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Discount Rate</w:t>
            </w:r>
          </w:p>
        </w:tc>
        <w:tc>
          <w:tcPr>
            <w:tcW w:w="633" w:type="pct"/>
            <w:tcBorders>
              <w:left w:val="nil"/>
              <w:right w:val="nil"/>
            </w:tcBorders>
            <w:shd w:val="clear" w:color="000000" w:fill="FFFFFF"/>
            <w:vAlign w:val="bottom"/>
          </w:tcPr>
          <w:p w14:paraId="25909B6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6" w:type="pct"/>
            <w:tcBorders>
              <w:left w:val="nil"/>
              <w:right w:val="nil"/>
            </w:tcBorders>
            <w:shd w:val="clear" w:color="000000" w:fill="FFFFFF"/>
            <w:vAlign w:val="bottom"/>
          </w:tcPr>
          <w:p w14:paraId="37A7473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left w:val="nil"/>
              <w:right w:val="nil"/>
            </w:tcBorders>
            <w:shd w:val="clear" w:color="000000" w:fill="FFFFFF"/>
            <w:noWrap/>
            <w:vAlign w:val="bottom"/>
          </w:tcPr>
          <w:p w14:paraId="2763DFA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4501E6FC" w14:textId="77777777" w:rsidTr="00F0752D">
        <w:trPr>
          <w:trHeight w:val="315"/>
        </w:trPr>
        <w:tc>
          <w:tcPr>
            <w:tcW w:w="5000" w:type="pct"/>
            <w:gridSpan w:val="7"/>
            <w:tcBorders>
              <w:left w:val="nil"/>
              <w:bottom w:val="nil"/>
              <w:right w:val="nil"/>
            </w:tcBorders>
            <w:shd w:val="clear" w:color="000000" w:fill="FFFFFF"/>
            <w:vAlign w:val="bottom"/>
          </w:tcPr>
          <w:p w14:paraId="3ED74E59" w14:textId="77777777" w:rsidR="00717BA5" w:rsidRPr="00717BA5" w:rsidRDefault="00717BA5" w:rsidP="00717BA5">
            <w:pPr>
              <w:adjustRightInd w:val="0"/>
              <w:snapToGrid w:val="0"/>
              <w:rPr>
                <w:rFonts w:ascii="Arial" w:eastAsia="Calibri" w:hAnsi="Arial" w:cs="Arial"/>
                <w:color w:val="auto"/>
                <w:spacing w:val="-1"/>
              </w:rPr>
            </w:pPr>
            <w:r w:rsidRPr="00717BA5">
              <w:rPr>
                <w:rFonts w:ascii="Arial" w:eastAsia="Calibri" w:hAnsi="Arial" w:cs="Arial"/>
                <w:color w:val="auto"/>
                <w:spacing w:val="-1"/>
              </w:rPr>
              <w:t xml:space="preserve">The discount rate used to estimate the present value of long service leave provisions is the expected return on assets, which was also used in ACT Leave’s triennial actuarial valuations to determine contribution levies. ACT Leave and its’ actuary regarded the expected return on assets to be a reliable measure, according to AASB 137 </w:t>
            </w:r>
            <w:r w:rsidRPr="00717BA5">
              <w:rPr>
                <w:rFonts w:ascii="Arial" w:eastAsia="Calibri" w:hAnsi="Arial" w:cs="Arial"/>
                <w:i/>
                <w:iCs/>
                <w:color w:val="auto"/>
                <w:spacing w:val="-1"/>
              </w:rPr>
              <w:t>‘Provisions, Contingent Assets and Contingent Liabilities’</w:t>
            </w:r>
            <w:r w:rsidRPr="00717BA5">
              <w:rPr>
                <w:rFonts w:ascii="Arial" w:eastAsia="Calibri" w:hAnsi="Arial" w:cs="Arial"/>
                <w:color w:val="auto"/>
                <w:spacing w:val="-1"/>
              </w:rPr>
              <w:t>, of the time value of money for the long service leave liabilities. The expected return on assets used as a discount rate, 5.6% per annum at 30 June 2026 (30 June 2025: 6.0% per annum), is based on the long-term return rate of ACT Leave’s investments, with funds invested in accordance with the strategic asset allocation prescribed in ACT Leave’s Investment Plan, approved by the Treasurer. ACT Leave may, from time to time, vary the discount rate based on an assessment of investment conditions.</w:t>
            </w:r>
          </w:p>
          <w:p w14:paraId="64E5912F" w14:textId="77777777" w:rsidR="00717BA5" w:rsidRPr="00717BA5" w:rsidRDefault="00717BA5" w:rsidP="00717BA5">
            <w:pPr>
              <w:adjustRightInd w:val="0"/>
              <w:snapToGrid w:val="0"/>
              <w:rPr>
                <w:rFonts w:ascii="Arial" w:eastAsia="Times New Roman" w:hAnsi="Arial" w:cs="Arial"/>
                <w:color w:val="auto"/>
                <w:lang w:val="en-AU"/>
              </w:rPr>
            </w:pPr>
          </w:p>
          <w:p w14:paraId="55FFA4A5" w14:textId="77777777" w:rsidR="00717BA5" w:rsidRPr="00717BA5" w:rsidRDefault="00717BA5" w:rsidP="00717BA5">
            <w:pPr>
              <w:adjustRightInd w:val="0"/>
              <w:snapToGrid w:val="0"/>
              <w:rPr>
                <w:rFonts w:ascii="Arial" w:eastAsia="Times New Roman" w:hAnsi="Arial" w:cs="Arial"/>
                <w:color w:val="auto"/>
                <w:lang w:val="en-AU"/>
              </w:rPr>
            </w:pPr>
          </w:p>
          <w:p w14:paraId="4B5C2F59" w14:textId="77777777" w:rsidR="00717BA5" w:rsidRPr="00717BA5" w:rsidRDefault="00717BA5" w:rsidP="00717BA5">
            <w:pPr>
              <w:adjustRightInd w:val="0"/>
              <w:snapToGrid w:val="0"/>
              <w:rPr>
                <w:rFonts w:ascii="Arial" w:eastAsia="Times New Roman" w:hAnsi="Arial" w:cs="Arial"/>
                <w:color w:val="auto"/>
                <w:lang w:val="en-AU"/>
              </w:rPr>
            </w:pPr>
          </w:p>
          <w:p w14:paraId="2A914845" w14:textId="77777777" w:rsidR="00717BA5" w:rsidRPr="00717BA5" w:rsidRDefault="00717BA5" w:rsidP="00717BA5">
            <w:pPr>
              <w:adjustRightInd w:val="0"/>
              <w:snapToGrid w:val="0"/>
              <w:rPr>
                <w:rFonts w:ascii="Arial" w:eastAsia="Times New Roman" w:hAnsi="Arial" w:cs="Arial"/>
                <w:color w:val="auto"/>
                <w:lang w:val="en-AU"/>
              </w:rPr>
            </w:pPr>
          </w:p>
          <w:p w14:paraId="228E37DD" w14:textId="77777777" w:rsidR="00717BA5" w:rsidRPr="00717BA5" w:rsidRDefault="00717BA5" w:rsidP="00341E60">
            <w:pPr>
              <w:keepNext/>
              <w:spacing w:before="240" w:after="120" w:line="240" w:lineRule="auto"/>
              <w:jc w:val="both"/>
              <w:outlineLvl w:val="1"/>
              <w:rPr>
                <w:rFonts w:ascii="Arial" w:eastAsia="Times New Roman" w:hAnsi="Arial" w:cs="Arial"/>
                <w:b/>
                <w:bCs/>
                <w:iCs/>
                <w:color w:val="auto"/>
                <w:sz w:val="24"/>
                <w:szCs w:val="24"/>
                <w:lang w:val="en-AU"/>
              </w:rPr>
            </w:pPr>
            <w:bookmarkStart w:id="109" w:name="_Toc240533524"/>
            <w:r w:rsidRPr="00717BA5">
              <w:rPr>
                <w:rFonts w:ascii="Arial" w:eastAsia="Times New Roman" w:hAnsi="Arial" w:cs="Arial"/>
                <w:b/>
                <w:bCs/>
                <w:color w:val="auto"/>
                <w:sz w:val="24"/>
                <w:szCs w:val="24"/>
                <w:lang w:val="en-AU"/>
              </w:rPr>
              <w:lastRenderedPageBreak/>
              <w:t xml:space="preserve">NOTE 15. </w:t>
            </w:r>
            <w:r w:rsidRPr="00717BA5" w:rsidDel="008B0B4B">
              <w:rPr>
                <w:rFonts w:ascii="Arial" w:eastAsia="Times New Roman" w:hAnsi="Arial" w:cs="Arial"/>
                <w:b/>
                <w:bCs/>
                <w:color w:val="auto"/>
                <w:sz w:val="24"/>
                <w:szCs w:val="24"/>
                <w:lang w:val="en-AU"/>
              </w:rPr>
              <w:t xml:space="preserve"> </w:t>
            </w:r>
            <w:r w:rsidRPr="00717BA5">
              <w:rPr>
                <w:rFonts w:ascii="Arial" w:eastAsia="Times New Roman" w:hAnsi="Arial" w:cs="Arial"/>
                <w:b/>
                <w:bCs/>
                <w:color w:val="auto"/>
                <w:sz w:val="24"/>
                <w:szCs w:val="24"/>
                <w:lang w:val="en-AU"/>
              </w:rPr>
              <w:t>PROVISION FOR LONG SERVICE LEAVE BENEFITS - CONTINUED</w:t>
            </w:r>
            <w:bookmarkEnd w:id="109"/>
          </w:p>
        </w:tc>
      </w:tr>
      <w:tr w:rsidR="00717BA5" w:rsidRPr="00717BA5" w14:paraId="2C059CAE" w14:textId="77777777" w:rsidTr="00F0752D">
        <w:trPr>
          <w:trHeight w:val="315"/>
        </w:trPr>
        <w:tc>
          <w:tcPr>
            <w:tcW w:w="3424" w:type="pct"/>
            <w:gridSpan w:val="4"/>
            <w:tcBorders>
              <w:left w:val="nil"/>
              <w:bottom w:val="nil"/>
              <w:right w:val="nil"/>
            </w:tcBorders>
            <w:shd w:val="clear" w:color="000000" w:fill="FFFFFF"/>
            <w:vAlign w:val="bottom"/>
          </w:tcPr>
          <w:p w14:paraId="7507393F"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lastRenderedPageBreak/>
              <w:t>Increase in future wages</w:t>
            </w:r>
          </w:p>
        </w:tc>
        <w:tc>
          <w:tcPr>
            <w:tcW w:w="633" w:type="pct"/>
            <w:tcBorders>
              <w:left w:val="nil"/>
              <w:right w:val="nil"/>
            </w:tcBorders>
            <w:shd w:val="clear" w:color="000000" w:fill="FFFFFF"/>
            <w:vAlign w:val="bottom"/>
          </w:tcPr>
          <w:p w14:paraId="312C0EB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6" w:type="pct"/>
            <w:tcBorders>
              <w:left w:val="nil"/>
              <w:right w:val="nil"/>
            </w:tcBorders>
            <w:shd w:val="clear" w:color="000000" w:fill="FFFFFF"/>
            <w:vAlign w:val="bottom"/>
          </w:tcPr>
          <w:p w14:paraId="023D3A7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left w:val="nil"/>
              <w:right w:val="nil"/>
            </w:tcBorders>
            <w:shd w:val="clear" w:color="000000" w:fill="FFFFFF"/>
            <w:noWrap/>
            <w:vAlign w:val="bottom"/>
          </w:tcPr>
          <w:p w14:paraId="01F841E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5747B326" w14:textId="77777777" w:rsidTr="00F0752D">
        <w:trPr>
          <w:trHeight w:val="315"/>
        </w:trPr>
        <w:tc>
          <w:tcPr>
            <w:tcW w:w="5000" w:type="pct"/>
            <w:gridSpan w:val="7"/>
            <w:tcBorders>
              <w:left w:val="nil"/>
              <w:bottom w:val="nil"/>
              <w:right w:val="nil"/>
            </w:tcBorders>
            <w:shd w:val="clear" w:color="000000" w:fill="FFFFFF"/>
            <w:vAlign w:val="bottom"/>
          </w:tcPr>
          <w:p w14:paraId="6E58948C" w14:textId="77777777" w:rsidR="00717BA5" w:rsidRPr="00717BA5" w:rsidRDefault="00717BA5" w:rsidP="00717BA5">
            <w:pPr>
              <w:adjustRightInd w:val="0"/>
              <w:snapToGrid w:val="0"/>
              <w:rPr>
                <w:rFonts w:ascii="Arial" w:eastAsia="Calibri" w:hAnsi="Arial" w:cs="Arial"/>
                <w:color w:val="auto"/>
                <w:spacing w:val="-1"/>
              </w:rPr>
            </w:pPr>
            <w:r w:rsidRPr="00717BA5">
              <w:rPr>
                <w:rFonts w:ascii="Arial" w:eastAsia="Calibri" w:hAnsi="Arial" w:cs="Arial"/>
                <w:color w:val="auto"/>
                <w:spacing w:val="-1"/>
              </w:rPr>
              <w:t>Increases in future wages due to inflation of 2.5% per annum at 30 June 2026 (30 June 2025: 3.0% for the next year and 2.5% per annum thereafter).</w:t>
            </w:r>
          </w:p>
        </w:tc>
      </w:tr>
      <w:tr w:rsidR="00717BA5" w:rsidRPr="00717BA5" w14:paraId="346C9BD2" w14:textId="77777777" w:rsidTr="00F0752D">
        <w:trPr>
          <w:trHeight w:val="315"/>
        </w:trPr>
        <w:tc>
          <w:tcPr>
            <w:tcW w:w="5000" w:type="pct"/>
            <w:gridSpan w:val="7"/>
            <w:tcBorders>
              <w:left w:val="nil"/>
              <w:bottom w:val="nil"/>
              <w:right w:val="nil"/>
            </w:tcBorders>
            <w:shd w:val="clear" w:color="000000" w:fill="FFFFFF"/>
            <w:vAlign w:val="bottom"/>
          </w:tcPr>
          <w:p w14:paraId="74B08F0B" w14:textId="77777777" w:rsidR="00717BA5" w:rsidRPr="00717BA5" w:rsidRDefault="00717BA5" w:rsidP="00717BA5">
            <w:pPr>
              <w:keepNext/>
              <w:spacing w:after="120" w:line="240" w:lineRule="auto"/>
              <w:outlineLvl w:val="1"/>
              <w:rPr>
                <w:rFonts w:ascii="Arial" w:eastAsia="Times New Roman" w:hAnsi="Arial" w:cs="Arial"/>
                <w:b/>
                <w:bCs/>
                <w:color w:val="auto"/>
                <w:sz w:val="18"/>
                <w:szCs w:val="18"/>
                <w:lang w:val="en-AU"/>
              </w:rPr>
            </w:pPr>
          </w:p>
        </w:tc>
      </w:tr>
      <w:tr w:rsidR="00717BA5" w:rsidRPr="00717BA5" w14:paraId="2D4E11AF" w14:textId="77777777" w:rsidTr="00F0752D">
        <w:trPr>
          <w:trHeight w:val="315"/>
        </w:trPr>
        <w:tc>
          <w:tcPr>
            <w:tcW w:w="3424" w:type="pct"/>
            <w:gridSpan w:val="4"/>
            <w:tcBorders>
              <w:left w:val="nil"/>
              <w:bottom w:val="nil"/>
              <w:right w:val="nil"/>
            </w:tcBorders>
            <w:shd w:val="clear" w:color="000000" w:fill="FFFFFF"/>
            <w:vAlign w:val="bottom"/>
          </w:tcPr>
          <w:p w14:paraId="45A2A6D3" w14:textId="77777777" w:rsidR="00717BA5" w:rsidRPr="00717BA5" w:rsidRDefault="00717BA5" w:rsidP="00717BA5">
            <w:pPr>
              <w:spacing w:after="0" w:line="240" w:lineRule="auto"/>
              <w:ind w:left="45"/>
              <w:rPr>
                <w:rFonts w:ascii="Arial" w:eastAsia="Times New Roman" w:hAnsi="Arial" w:cs="Arial"/>
                <w:b/>
                <w:bCs/>
                <w:color w:val="auto"/>
                <w:sz w:val="18"/>
                <w:szCs w:val="18"/>
                <w:lang w:val="en-AU"/>
              </w:rPr>
            </w:pPr>
            <w:r w:rsidRPr="00717BA5">
              <w:rPr>
                <w:rFonts w:ascii="Arial" w:eastAsia="Calibri" w:hAnsi="Arial" w:cs="Arial"/>
                <w:b/>
                <w:bCs/>
                <w:color w:val="auto"/>
                <w:spacing w:val="-1"/>
                <w:sz w:val="18"/>
                <w:szCs w:val="18"/>
                <w:lang w:eastAsia="en-US"/>
              </w:rPr>
              <w:t>Increases</w:t>
            </w:r>
            <w:r w:rsidRPr="00717BA5">
              <w:rPr>
                <w:rFonts w:ascii="Arial" w:eastAsia="Calibri" w:hAnsi="Arial" w:cs="Arial"/>
                <w:b/>
                <w:bCs/>
                <w:color w:val="auto"/>
                <w:spacing w:val="8"/>
                <w:sz w:val="18"/>
                <w:szCs w:val="18"/>
                <w:lang w:eastAsia="en-US"/>
              </w:rPr>
              <w:t xml:space="preserve"> </w:t>
            </w:r>
            <w:r w:rsidRPr="00717BA5">
              <w:rPr>
                <w:rFonts w:ascii="Arial" w:eastAsia="Calibri" w:hAnsi="Arial" w:cs="Arial"/>
                <w:b/>
                <w:bCs/>
                <w:color w:val="auto"/>
                <w:sz w:val="18"/>
                <w:szCs w:val="18"/>
                <w:lang w:eastAsia="en-US"/>
              </w:rPr>
              <w:t>in</w:t>
            </w:r>
            <w:r w:rsidRPr="00717BA5">
              <w:rPr>
                <w:rFonts w:ascii="Arial" w:eastAsia="Calibri" w:hAnsi="Arial" w:cs="Arial"/>
                <w:b/>
                <w:bCs/>
                <w:color w:val="auto"/>
                <w:spacing w:val="13"/>
                <w:sz w:val="18"/>
                <w:szCs w:val="18"/>
                <w:lang w:eastAsia="en-US"/>
              </w:rPr>
              <w:t xml:space="preserve"> </w:t>
            </w:r>
            <w:r w:rsidRPr="00717BA5">
              <w:rPr>
                <w:rFonts w:ascii="Arial" w:eastAsia="Calibri" w:hAnsi="Arial" w:cs="Arial"/>
                <w:b/>
                <w:bCs/>
                <w:color w:val="auto"/>
                <w:sz w:val="18"/>
                <w:szCs w:val="18"/>
                <w:lang w:eastAsia="en-US"/>
              </w:rPr>
              <w:t>future</w:t>
            </w:r>
            <w:r w:rsidRPr="00717BA5">
              <w:rPr>
                <w:rFonts w:ascii="Arial" w:eastAsia="Calibri" w:hAnsi="Arial" w:cs="Arial"/>
                <w:b/>
                <w:bCs/>
                <w:color w:val="auto"/>
                <w:spacing w:val="9"/>
                <w:sz w:val="18"/>
                <w:szCs w:val="18"/>
                <w:lang w:eastAsia="en-US"/>
              </w:rPr>
              <w:t xml:space="preserve"> </w:t>
            </w:r>
            <w:r w:rsidRPr="00717BA5">
              <w:rPr>
                <w:rFonts w:ascii="Arial" w:eastAsia="Calibri" w:hAnsi="Arial" w:cs="Arial"/>
                <w:b/>
                <w:bCs/>
                <w:color w:val="auto"/>
                <w:sz w:val="18"/>
                <w:szCs w:val="18"/>
                <w:lang w:eastAsia="en-US"/>
              </w:rPr>
              <w:t>wages</w:t>
            </w:r>
            <w:r w:rsidRPr="00717BA5">
              <w:rPr>
                <w:rFonts w:ascii="Arial" w:eastAsia="Calibri" w:hAnsi="Arial" w:cs="Arial"/>
                <w:b/>
                <w:bCs/>
                <w:color w:val="auto"/>
                <w:spacing w:val="9"/>
                <w:sz w:val="18"/>
                <w:szCs w:val="18"/>
                <w:lang w:eastAsia="en-US"/>
              </w:rPr>
              <w:t xml:space="preserve"> (per annum) </w:t>
            </w:r>
            <w:r w:rsidRPr="00717BA5">
              <w:rPr>
                <w:rFonts w:ascii="Arial" w:eastAsia="Calibri" w:hAnsi="Arial" w:cs="Arial"/>
                <w:b/>
                <w:bCs/>
                <w:color w:val="auto"/>
                <w:spacing w:val="1"/>
                <w:sz w:val="18"/>
                <w:szCs w:val="18"/>
                <w:lang w:eastAsia="en-US"/>
              </w:rPr>
              <w:t xml:space="preserve">based on a </w:t>
            </w:r>
            <w:r w:rsidRPr="00717BA5">
              <w:rPr>
                <w:rFonts w:ascii="Arial" w:eastAsia="Calibri" w:hAnsi="Arial" w:cs="Arial"/>
                <w:b/>
                <w:bCs/>
                <w:color w:val="auto"/>
                <w:sz w:val="18"/>
                <w:szCs w:val="18"/>
                <w:lang w:eastAsia="en-US"/>
              </w:rPr>
              <w:t>service</w:t>
            </w:r>
            <w:r w:rsidRPr="00717BA5">
              <w:rPr>
                <w:rFonts w:ascii="Arial" w:eastAsia="Calibri" w:hAnsi="Arial" w:cs="Arial"/>
                <w:b/>
                <w:bCs/>
                <w:color w:val="auto"/>
                <w:spacing w:val="9"/>
                <w:sz w:val="18"/>
                <w:szCs w:val="18"/>
                <w:lang w:eastAsia="en-US"/>
              </w:rPr>
              <w:t>-</w:t>
            </w:r>
            <w:r w:rsidRPr="00717BA5">
              <w:rPr>
                <w:rFonts w:ascii="Arial" w:eastAsia="Calibri" w:hAnsi="Arial" w:cs="Arial"/>
                <w:b/>
                <w:bCs/>
                <w:color w:val="auto"/>
                <w:sz w:val="18"/>
                <w:szCs w:val="18"/>
                <w:lang w:eastAsia="en-US"/>
              </w:rPr>
              <w:t>based</w:t>
            </w:r>
            <w:r w:rsidRPr="00717BA5">
              <w:rPr>
                <w:rFonts w:ascii="Arial" w:eastAsia="Calibri" w:hAnsi="Arial" w:cs="Arial"/>
                <w:b/>
                <w:bCs/>
                <w:color w:val="auto"/>
                <w:spacing w:val="11"/>
                <w:sz w:val="18"/>
                <w:szCs w:val="18"/>
                <w:lang w:eastAsia="en-US"/>
              </w:rPr>
              <w:t xml:space="preserve"> </w:t>
            </w:r>
            <w:r w:rsidRPr="00717BA5">
              <w:rPr>
                <w:rFonts w:ascii="Arial" w:eastAsia="Calibri" w:hAnsi="Arial" w:cs="Arial"/>
                <w:b/>
                <w:bCs/>
                <w:color w:val="auto"/>
                <w:sz w:val="18"/>
                <w:szCs w:val="18"/>
                <w:lang w:eastAsia="en-US"/>
              </w:rPr>
              <w:t>wage</w:t>
            </w:r>
            <w:r w:rsidRPr="00717BA5">
              <w:rPr>
                <w:rFonts w:ascii="Arial" w:eastAsia="Calibri" w:hAnsi="Arial" w:cs="Arial"/>
                <w:b/>
                <w:bCs/>
                <w:color w:val="auto"/>
                <w:spacing w:val="8"/>
                <w:sz w:val="18"/>
                <w:szCs w:val="18"/>
                <w:lang w:eastAsia="en-US"/>
              </w:rPr>
              <w:t xml:space="preserve"> </w:t>
            </w:r>
            <w:r w:rsidRPr="00717BA5">
              <w:rPr>
                <w:rFonts w:ascii="Arial" w:eastAsia="Calibri" w:hAnsi="Arial" w:cs="Arial"/>
                <w:b/>
                <w:bCs/>
                <w:color w:val="auto"/>
                <w:sz w:val="18"/>
                <w:szCs w:val="18"/>
                <w:lang w:eastAsia="en-US"/>
              </w:rPr>
              <w:t>progression</w:t>
            </w:r>
            <w:r w:rsidRPr="00717BA5">
              <w:rPr>
                <w:rFonts w:ascii="Arial" w:eastAsia="Calibri" w:hAnsi="Arial" w:cs="Arial"/>
                <w:b/>
                <w:bCs/>
                <w:color w:val="auto"/>
                <w:spacing w:val="11"/>
                <w:sz w:val="18"/>
                <w:szCs w:val="18"/>
                <w:lang w:eastAsia="en-US"/>
              </w:rPr>
              <w:t xml:space="preserve"> </w:t>
            </w:r>
            <w:r w:rsidRPr="00717BA5">
              <w:rPr>
                <w:rFonts w:ascii="Arial" w:eastAsia="Calibri" w:hAnsi="Arial" w:cs="Arial"/>
                <w:b/>
                <w:bCs/>
                <w:color w:val="auto"/>
                <w:sz w:val="18"/>
                <w:szCs w:val="18"/>
                <w:lang w:eastAsia="en-US"/>
              </w:rPr>
              <w:t>scale</w:t>
            </w:r>
            <w:r w:rsidRPr="00717BA5">
              <w:rPr>
                <w:rFonts w:ascii="Arial" w:eastAsia="Calibri" w:hAnsi="Arial" w:cs="Arial"/>
                <w:b/>
                <w:bCs/>
                <w:color w:val="auto"/>
                <w:spacing w:val="9"/>
                <w:sz w:val="18"/>
                <w:szCs w:val="18"/>
                <w:lang w:eastAsia="en-US"/>
              </w:rPr>
              <w:t xml:space="preserve"> </w:t>
            </w:r>
            <w:r w:rsidRPr="00717BA5">
              <w:rPr>
                <w:rFonts w:ascii="Arial" w:eastAsia="Calibri" w:hAnsi="Arial" w:cs="Arial"/>
                <w:b/>
                <w:bCs/>
                <w:color w:val="auto"/>
                <w:spacing w:val="-1"/>
                <w:sz w:val="18"/>
                <w:szCs w:val="18"/>
                <w:lang w:eastAsia="en-US"/>
              </w:rPr>
              <w:t>over</w:t>
            </w:r>
            <w:r w:rsidRPr="00717BA5">
              <w:rPr>
                <w:rFonts w:ascii="Arial" w:eastAsia="Calibri" w:hAnsi="Arial" w:cs="Arial"/>
                <w:b/>
                <w:bCs/>
                <w:color w:val="auto"/>
                <w:spacing w:val="10"/>
                <w:sz w:val="18"/>
                <w:szCs w:val="18"/>
                <w:lang w:eastAsia="en-US"/>
              </w:rPr>
              <w:t xml:space="preserve"> </w:t>
            </w:r>
            <w:r w:rsidRPr="00717BA5">
              <w:rPr>
                <w:rFonts w:ascii="Arial" w:eastAsia="Calibri" w:hAnsi="Arial" w:cs="Arial"/>
                <w:b/>
                <w:bCs/>
                <w:color w:val="auto"/>
                <w:sz w:val="18"/>
                <w:szCs w:val="18"/>
                <w:lang w:eastAsia="en-US"/>
              </w:rPr>
              <w:t>and</w:t>
            </w:r>
            <w:r w:rsidRPr="00717BA5">
              <w:rPr>
                <w:rFonts w:ascii="Arial" w:eastAsia="Calibri" w:hAnsi="Arial" w:cs="Arial"/>
                <w:b/>
                <w:bCs/>
                <w:color w:val="auto"/>
                <w:spacing w:val="18"/>
                <w:sz w:val="18"/>
                <w:szCs w:val="18"/>
                <w:lang w:eastAsia="en-US"/>
              </w:rPr>
              <w:t xml:space="preserve"> </w:t>
            </w:r>
            <w:r w:rsidRPr="00717BA5">
              <w:rPr>
                <w:rFonts w:ascii="Arial" w:eastAsia="Calibri" w:hAnsi="Arial" w:cs="Arial"/>
                <w:b/>
                <w:bCs/>
                <w:color w:val="auto"/>
                <w:spacing w:val="-1"/>
                <w:sz w:val="18"/>
                <w:szCs w:val="18"/>
                <w:lang w:eastAsia="en-US"/>
              </w:rPr>
              <w:t>above</w:t>
            </w:r>
            <w:r w:rsidRPr="00717BA5">
              <w:rPr>
                <w:rFonts w:ascii="Arial" w:eastAsia="Calibri" w:hAnsi="Arial" w:cs="Arial"/>
                <w:b/>
                <w:bCs/>
                <w:color w:val="auto"/>
                <w:spacing w:val="12"/>
                <w:sz w:val="18"/>
                <w:szCs w:val="18"/>
                <w:lang w:eastAsia="en-US"/>
              </w:rPr>
              <w:t xml:space="preserve"> </w:t>
            </w:r>
            <w:r w:rsidRPr="00717BA5">
              <w:rPr>
                <w:rFonts w:ascii="Arial" w:eastAsia="Calibri" w:hAnsi="Arial" w:cs="Arial"/>
                <w:b/>
                <w:bCs/>
                <w:color w:val="auto"/>
                <w:spacing w:val="-1"/>
                <w:sz w:val="18"/>
                <w:szCs w:val="18"/>
                <w:lang w:eastAsia="en-US"/>
              </w:rPr>
              <w:t>inflation</w:t>
            </w:r>
          </w:p>
        </w:tc>
        <w:tc>
          <w:tcPr>
            <w:tcW w:w="633" w:type="pct"/>
            <w:tcBorders>
              <w:left w:val="nil"/>
              <w:right w:val="nil"/>
            </w:tcBorders>
            <w:shd w:val="clear" w:color="000000" w:fill="FFFFFF"/>
            <w:vAlign w:val="bottom"/>
          </w:tcPr>
          <w:p w14:paraId="0BE6B6D6" w14:textId="77777777" w:rsidR="00717BA5" w:rsidRPr="00717BA5" w:rsidRDefault="00717BA5" w:rsidP="00717BA5">
            <w:pPr>
              <w:spacing w:after="0" w:line="240" w:lineRule="auto"/>
              <w:ind w:left="405" w:hanging="360"/>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2026</w:t>
            </w:r>
          </w:p>
        </w:tc>
        <w:tc>
          <w:tcPr>
            <w:tcW w:w="306" w:type="pct"/>
            <w:tcBorders>
              <w:left w:val="nil"/>
              <w:right w:val="nil"/>
            </w:tcBorders>
            <w:shd w:val="clear" w:color="000000" w:fill="FFFFFF"/>
            <w:vAlign w:val="bottom"/>
          </w:tcPr>
          <w:p w14:paraId="2D00DC7A"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tc>
        <w:tc>
          <w:tcPr>
            <w:tcW w:w="637" w:type="pct"/>
            <w:tcBorders>
              <w:left w:val="nil"/>
              <w:right w:val="nil"/>
            </w:tcBorders>
            <w:shd w:val="clear" w:color="000000" w:fill="FFFFFF"/>
            <w:noWrap/>
            <w:vAlign w:val="bottom"/>
          </w:tcPr>
          <w:p w14:paraId="1516F8A8" w14:textId="77777777" w:rsidR="00717BA5" w:rsidRPr="00717BA5" w:rsidRDefault="00717BA5" w:rsidP="00717BA5">
            <w:pPr>
              <w:spacing w:after="0" w:line="240" w:lineRule="auto"/>
              <w:ind w:left="405" w:hanging="360"/>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019E4DED" w14:textId="77777777" w:rsidTr="00F0752D">
        <w:trPr>
          <w:trHeight w:val="315"/>
        </w:trPr>
        <w:tc>
          <w:tcPr>
            <w:tcW w:w="3424" w:type="pct"/>
            <w:gridSpan w:val="4"/>
            <w:tcBorders>
              <w:left w:val="nil"/>
              <w:right w:val="nil"/>
            </w:tcBorders>
            <w:shd w:val="clear" w:color="000000" w:fill="FFFFFF"/>
            <w:vAlign w:val="bottom"/>
          </w:tcPr>
          <w:p w14:paraId="27093972"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less than 1 year of service</w:t>
            </w:r>
          </w:p>
        </w:tc>
        <w:tc>
          <w:tcPr>
            <w:tcW w:w="633" w:type="pct"/>
            <w:tcBorders>
              <w:left w:val="nil"/>
              <w:right w:val="nil"/>
            </w:tcBorders>
            <w:shd w:val="clear" w:color="000000" w:fill="FFFFFF"/>
            <w:vAlign w:val="bottom"/>
          </w:tcPr>
          <w:p w14:paraId="27EDA035"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32%</w:t>
            </w:r>
          </w:p>
        </w:tc>
        <w:tc>
          <w:tcPr>
            <w:tcW w:w="306" w:type="pct"/>
            <w:tcBorders>
              <w:left w:val="nil"/>
              <w:right w:val="nil"/>
            </w:tcBorders>
            <w:shd w:val="clear" w:color="000000" w:fill="FFFFFF"/>
            <w:vAlign w:val="bottom"/>
          </w:tcPr>
          <w:p w14:paraId="6227EA4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7" w:type="pct"/>
            <w:tcBorders>
              <w:left w:val="nil"/>
              <w:right w:val="nil"/>
            </w:tcBorders>
            <w:shd w:val="clear" w:color="000000" w:fill="FFFFFF"/>
            <w:noWrap/>
            <w:vAlign w:val="bottom"/>
          </w:tcPr>
          <w:p w14:paraId="30532AD1"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32%</w:t>
            </w:r>
          </w:p>
        </w:tc>
      </w:tr>
      <w:tr w:rsidR="00717BA5" w:rsidRPr="00717BA5" w14:paraId="02505E60" w14:textId="77777777" w:rsidTr="00F0752D">
        <w:trPr>
          <w:trHeight w:val="315"/>
        </w:trPr>
        <w:tc>
          <w:tcPr>
            <w:tcW w:w="3424" w:type="pct"/>
            <w:gridSpan w:val="4"/>
            <w:tcBorders>
              <w:left w:val="nil"/>
              <w:right w:val="nil"/>
            </w:tcBorders>
            <w:shd w:val="clear" w:color="000000" w:fill="FFFFFF"/>
            <w:vAlign w:val="bottom"/>
          </w:tcPr>
          <w:p w14:paraId="312020D7"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1 year of service</w:t>
            </w:r>
          </w:p>
        </w:tc>
        <w:tc>
          <w:tcPr>
            <w:tcW w:w="633" w:type="pct"/>
            <w:tcBorders>
              <w:left w:val="nil"/>
              <w:right w:val="nil"/>
            </w:tcBorders>
            <w:shd w:val="clear" w:color="000000" w:fill="FFFFFF"/>
            <w:vAlign w:val="bottom"/>
          </w:tcPr>
          <w:p w14:paraId="3898A43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15%</w:t>
            </w:r>
          </w:p>
        </w:tc>
        <w:tc>
          <w:tcPr>
            <w:tcW w:w="306" w:type="pct"/>
            <w:tcBorders>
              <w:left w:val="nil"/>
              <w:right w:val="nil"/>
            </w:tcBorders>
            <w:shd w:val="clear" w:color="000000" w:fill="FFFFFF"/>
            <w:vAlign w:val="bottom"/>
          </w:tcPr>
          <w:p w14:paraId="52E165C1"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7" w:type="pct"/>
            <w:tcBorders>
              <w:left w:val="nil"/>
              <w:right w:val="nil"/>
            </w:tcBorders>
            <w:shd w:val="clear" w:color="000000" w:fill="FFFFFF"/>
            <w:noWrap/>
            <w:vAlign w:val="bottom"/>
          </w:tcPr>
          <w:p w14:paraId="2C09781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15%</w:t>
            </w:r>
          </w:p>
        </w:tc>
      </w:tr>
      <w:tr w:rsidR="00717BA5" w:rsidRPr="00717BA5" w14:paraId="5AD224D3" w14:textId="77777777" w:rsidTr="00F0752D">
        <w:trPr>
          <w:trHeight w:val="315"/>
        </w:trPr>
        <w:tc>
          <w:tcPr>
            <w:tcW w:w="3424" w:type="pct"/>
            <w:gridSpan w:val="4"/>
            <w:tcBorders>
              <w:left w:val="nil"/>
              <w:right w:val="nil"/>
            </w:tcBorders>
            <w:shd w:val="clear" w:color="000000" w:fill="FFFFFF"/>
            <w:vAlign w:val="bottom"/>
          </w:tcPr>
          <w:p w14:paraId="60414ACF"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2-5 years of service</w:t>
            </w:r>
          </w:p>
        </w:tc>
        <w:tc>
          <w:tcPr>
            <w:tcW w:w="633" w:type="pct"/>
            <w:tcBorders>
              <w:left w:val="nil"/>
              <w:right w:val="nil"/>
            </w:tcBorders>
            <w:shd w:val="clear" w:color="000000" w:fill="FFFFFF"/>
            <w:vAlign w:val="bottom"/>
          </w:tcPr>
          <w:p w14:paraId="43DFE169"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3%</w:t>
            </w:r>
          </w:p>
        </w:tc>
        <w:tc>
          <w:tcPr>
            <w:tcW w:w="306" w:type="pct"/>
            <w:tcBorders>
              <w:left w:val="nil"/>
              <w:right w:val="nil"/>
            </w:tcBorders>
            <w:shd w:val="clear" w:color="000000" w:fill="FFFFFF"/>
            <w:vAlign w:val="bottom"/>
          </w:tcPr>
          <w:p w14:paraId="7ED74D6F"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7" w:type="pct"/>
            <w:tcBorders>
              <w:left w:val="nil"/>
              <w:right w:val="nil"/>
            </w:tcBorders>
            <w:shd w:val="clear" w:color="000000" w:fill="FFFFFF"/>
            <w:noWrap/>
            <w:vAlign w:val="bottom"/>
          </w:tcPr>
          <w:p w14:paraId="24C2A8CA"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3%</w:t>
            </w:r>
          </w:p>
        </w:tc>
      </w:tr>
      <w:tr w:rsidR="00717BA5" w:rsidRPr="00717BA5" w14:paraId="5BADC3C4" w14:textId="77777777" w:rsidTr="00F0752D">
        <w:trPr>
          <w:trHeight w:val="315"/>
        </w:trPr>
        <w:tc>
          <w:tcPr>
            <w:tcW w:w="3424" w:type="pct"/>
            <w:gridSpan w:val="4"/>
            <w:tcBorders>
              <w:left w:val="nil"/>
              <w:right w:val="nil"/>
            </w:tcBorders>
            <w:shd w:val="clear" w:color="000000" w:fill="FFFFFF"/>
            <w:vAlign w:val="bottom"/>
          </w:tcPr>
          <w:p w14:paraId="4ADB8B84"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6-11 years of service</w:t>
            </w:r>
          </w:p>
        </w:tc>
        <w:tc>
          <w:tcPr>
            <w:tcW w:w="633" w:type="pct"/>
            <w:tcBorders>
              <w:left w:val="nil"/>
              <w:right w:val="nil"/>
            </w:tcBorders>
            <w:shd w:val="clear" w:color="000000" w:fill="FFFFFF"/>
            <w:vAlign w:val="bottom"/>
          </w:tcPr>
          <w:p w14:paraId="6384312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w:t>
            </w:r>
          </w:p>
        </w:tc>
        <w:tc>
          <w:tcPr>
            <w:tcW w:w="306" w:type="pct"/>
            <w:tcBorders>
              <w:left w:val="nil"/>
              <w:right w:val="nil"/>
            </w:tcBorders>
            <w:shd w:val="clear" w:color="000000" w:fill="FFFFFF"/>
            <w:vAlign w:val="bottom"/>
          </w:tcPr>
          <w:p w14:paraId="615D8139"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7" w:type="pct"/>
            <w:tcBorders>
              <w:left w:val="nil"/>
              <w:right w:val="nil"/>
            </w:tcBorders>
            <w:shd w:val="clear" w:color="000000" w:fill="FFFFFF"/>
            <w:noWrap/>
            <w:vAlign w:val="bottom"/>
          </w:tcPr>
          <w:p w14:paraId="5B33576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w:t>
            </w:r>
          </w:p>
        </w:tc>
      </w:tr>
      <w:tr w:rsidR="00717BA5" w:rsidRPr="00717BA5" w14:paraId="3A7D7306" w14:textId="77777777" w:rsidTr="00F0752D">
        <w:trPr>
          <w:trHeight w:val="315"/>
        </w:trPr>
        <w:tc>
          <w:tcPr>
            <w:tcW w:w="3424" w:type="pct"/>
            <w:gridSpan w:val="4"/>
            <w:tcBorders>
              <w:left w:val="nil"/>
              <w:bottom w:val="nil"/>
              <w:right w:val="nil"/>
            </w:tcBorders>
            <w:shd w:val="clear" w:color="000000" w:fill="FFFFFF"/>
            <w:vAlign w:val="bottom"/>
          </w:tcPr>
          <w:p w14:paraId="343C27DF" w14:textId="77777777" w:rsidR="00717BA5" w:rsidRPr="00717BA5" w:rsidRDefault="00717BA5" w:rsidP="00717BA5">
            <w:pPr>
              <w:numPr>
                <w:ilvl w:val="0"/>
                <w:numId w:val="74"/>
              </w:num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Workers with 12 or more years of service</w:t>
            </w:r>
          </w:p>
        </w:tc>
        <w:tc>
          <w:tcPr>
            <w:tcW w:w="633" w:type="pct"/>
            <w:tcBorders>
              <w:left w:val="nil"/>
              <w:right w:val="nil"/>
            </w:tcBorders>
            <w:shd w:val="clear" w:color="000000" w:fill="FFFFFF"/>
            <w:vAlign w:val="bottom"/>
          </w:tcPr>
          <w:p w14:paraId="02D25E8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0%</w:t>
            </w:r>
          </w:p>
        </w:tc>
        <w:tc>
          <w:tcPr>
            <w:tcW w:w="306" w:type="pct"/>
            <w:tcBorders>
              <w:left w:val="nil"/>
              <w:right w:val="nil"/>
            </w:tcBorders>
            <w:shd w:val="clear" w:color="000000" w:fill="FFFFFF"/>
            <w:vAlign w:val="bottom"/>
          </w:tcPr>
          <w:p w14:paraId="5B81CDBD"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637" w:type="pct"/>
            <w:tcBorders>
              <w:left w:val="nil"/>
              <w:right w:val="nil"/>
            </w:tcBorders>
            <w:shd w:val="clear" w:color="000000" w:fill="FFFFFF"/>
            <w:noWrap/>
            <w:vAlign w:val="bottom"/>
          </w:tcPr>
          <w:p w14:paraId="1DBEC44D"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0%</w:t>
            </w:r>
          </w:p>
        </w:tc>
      </w:tr>
      <w:tr w:rsidR="00717BA5" w:rsidRPr="00717BA5" w14:paraId="3EE8C149" w14:textId="77777777" w:rsidTr="00F0752D">
        <w:trPr>
          <w:trHeight w:val="315"/>
        </w:trPr>
        <w:tc>
          <w:tcPr>
            <w:tcW w:w="3424" w:type="pct"/>
            <w:gridSpan w:val="4"/>
            <w:tcBorders>
              <w:left w:val="nil"/>
              <w:bottom w:val="nil"/>
              <w:right w:val="nil"/>
            </w:tcBorders>
            <w:shd w:val="clear" w:color="000000" w:fill="FFFFFF"/>
            <w:vAlign w:val="bottom"/>
          </w:tcPr>
          <w:p w14:paraId="79B277BB"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tc>
        <w:tc>
          <w:tcPr>
            <w:tcW w:w="633" w:type="pct"/>
            <w:tcBorders>
              <w:left w:val="nil"/>
              <w:right w:val="nil"/>
            </w:tcBorders>
            <w:shd w:val="clear" w:color="000000" w:fill="FFFFFF"/>
            <w:vAlign w:val="bottom"/>
          </w:tcPr>
          <w:p w14:paraId="4EA836D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6" w:type="pct"/>
            <w:tcBorders>
              <w:left w:val="nil"/>
              <w:right w:val="nil"/>
            </w:tcBorders>
            <w:shd w:val="clear" w:color="000000" w:fill="FFFFFF"/>
            <w:vAlign w:val="bottom"/>
          </w:tcPr>
          <w:p w14:paraId="264DDF4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left w:val="nil"/>
              <w:right w:val="nil"/>
            </w:tcBorders>
            <w:shd w:val="clear" w:color="000000" w:fill="FFFFFF"/>
            <w:noWrap/>
            <w:vAlign w:val="bottom"/>
          </w:tcPr>
          <w:p w14:paraId="147A9D1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ED71B47" w14:textId="77777777" w:rsidTr="00F0752D">
        <w:trPr>
          <w:trHeight w:val="315"/>
        </w:trPr>
        <w:tc>
          <w:tcPr>
            <w:tcW w:w="3424" w:type="pct"/>
            <w:gridSpan w:val="4"/>
            <w:tcBorders>
              <w:left w:val="nil"/>
              <w:bottom w:val="nil"/>
              <w:right w:val="nil"/>
            </w:tcBorders>
            <w:shd w:val="clear" w:color="000000" w:fill="FFFFFF"/>
            <w:vAlign w:val="bottom"/>
          </w:tcPr>
          <w:p w14:paraId="024BF021"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Other demographic assumptions</w:t>
            </w:r>
          </w:p>
        </w:tc>
        <w:tc>
          <w:tcPr>
            <w:tcW w:w="633" w:type="pct"/>
            <w:tcBorders>
              <w:left w:val="nil"/>
              <w:right w:val="nil"/>
            </w:tcBorders>
            <w:shd w:val="clear" w:color="000000" w:fill="FFFFFF"/>
            <w:vAlign w:val="bottom"/>
          </w:tcPr>
          <w:p w14:paraId="3647D6F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6" w:type="pct"/>
            <w:tcBorders>
              <w:left w:val="nil"/>
              <w:right w:val="nil"/>
            </w:tcBorders>
            <w:shd w:val="clear" w:color="000000" w:fill="FFFFFF"/>
            <w:vAlign w:val="bottom"/>
          </w:tcPr>
          <w:p w14:paraId="7D0E855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7" w:type="pct"/>
            <w:tcBorders>
              <w:left w:val="nil"/>
              <w:right w:val="nil"/>
            </w:tcBorders>
            <w:shd w:val="clear" w:color="000000" w:fill="FFFFFF"/>
            <w:noWrap/>
            <w:vAlign w:val="bottom"/>
          </w:tcPr>
          <w:p w14:paraId="311D5F2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219BDA3D" w14:textId="77777777" w:rsidTr="00F0752D">
        <w:trPr>
          <w:trHeight w:val="766"/>
        </w:trPr>
        <w:tc>
          <w:tcPr>
            <w:tcW w:w="5000" w:type="pct"/>
            <w:gridSpan w:val="7"/>
            <w:tcBorders>
              <w:left w:val="nil"/>
              <w:bottom w:val="nil"/>
              <w:right w:val="nil"/>
            </w:tcBorders>
            <w:shd w:val="clear" w:color="000000" w:fill="FFFFFF"/>
          </w:tcPr>
          <w:p w14:paraId="2D3E45AA" w14:textId="77777777" w:rsidR="00717BA5" w:rsidRPr="00717BA5" w:rsidRDefault="00717BA5" w:rsidP="00717BA5">
            <w:pPr>
              <w:adjustRightInd w:val="0"/>
              <w:snapToGrid w:val="0"/>
              <w:rPr>
                <w:rFonts w:ascii="Arial" w:eastAsia="Calibri" w:hAnsi="Arial" w:cs="Arial"/>
                <w:color w:val="auto"/>
                <w:spacing w:val="-1"/>
              </w:rPr>
            </w:pPr>
            <w:r w:rsidRPr="00717BA5">
              <w:rPr>
                <w:rFonts w:ascii="Arial" w:eastAsia="Calibri" w:hAnsi="Arial" w:cs="Arial"/>
                <w:color w:val="auto"/>
                <w:spacing w:val="-1"/>
              </w:rPr>
              <w:t>It was also assumed that 0% of registered workers who do not have any service credits in the previous year will re-commence receiving service credits (30 June 2025: same assumption applied).</w:t>
            </w:r>
          </w:p>
          <w:p w14:paraId="4903608D"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Processing and settling accrued liabilities </w:t>
            </w:r>
          </w:p>
        </w:tc>
      </w:tr>
      <w:tr w:rsidR="00717BA5" w:rsidRPr="00717BA5" w14:paraId="4DD7CFA3" w14:textId="77777777" w:rsidTr="00F0752D">
        <w:trPr>
          <w:trHeight w:val="315"/>
        </w:trPr>
        <w:tc>
          <w:tcPr>
            <w:tcW w:w="5000" w:type="pct"/>
            <w:gridSpan w:val="7"/>
            <w:tcBorders>
              <w:left w:val="nil"/>
              <w:bottom w:val="nil"/>
              <w:right w:val="nil"/>
            </w:tcBorders>
            <w:shd w:val="clear" w:color="000000" w:fill="FFFFFF"/>
            <w:vAlign w:val="bottom"/>
          </w:tcPr>
          <w:p w14:paraId="731027E7"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Calibri" w:hAnsi="Arial" w:cs="Arial"/>
                <w:color w:val="auto"/>
                <w:spacing w:val="-1"/>
              </w:rPr>
              <w:t>ACT Leave has also made an allowance for the cost of processing and settling the accrued liabilities in addition to the value of the liability determined by the actuary and reviewed by management. The method used for this allowance was to determine the estimated cost to process and pay a benefit as a percentage of average benefit paid and apply this percentage to the total long service leave liability to determine the liability for the cost of processing and settling the obligation.</w:t>
            </w:r>
          </w:p>
        </w:tc>
      </w:tr>
      <w:tr w:rsidR="00717BA5" w:rsidRPr="00717BA5" w14:paraId="7C752A15" w14:textId="77777777" w:rsidTr="00F0752D">
        <w:trPr>
          <w:trHeight w:val="315"/>
        </w:trPr>
        <w:tc>
          <w:tcPr>
            <w:tcW w:w="3424" w:type="pct"/>
            <w:gridSpan w:val="4"/>
            <w:tcBorders>
              <w:left w:val="nil"/>
              <w:right w:val="nil"/>
            </w:tcBorders>
            <w:shd w:val="clear" w:color="000000" w:fill="FFFFFF"/>
            <w:vAlign w:val="bottom"/>
          </w:tcPr>
          <w:p w14:paraId="6B4590D4" w14:textId="77777777" w:rsidR="00717BA5" w:rsidRPr="00717BA5" w:rsidRDefault="00717BA5" w:rsidP="00717BA5">
            <w:pPr>
              <w:spacing w:after="0" w:line="240" w:lineRule="auto"/>
              <w:ind w:left="405" w:hanging="360"/>
              <w:rPr>
                <w:rFonts w:ascii="Arial" w:eastAsia="Times New Roman" w:hAnsi="Arial" w:cs="Arial"/>
                <w:b/>
                <w:color w:val="auto"/>
                <w:sz w:val="18"/>
                <w:szCs w:val="18"/>
                <w:lang w:val="en-AU"/>
              </w:rPr>
            </w:pPr>
          </w:p>
        </w:tc>
        <w:tc>
          <w:tcPr>
            <w:tcW w:w="633" w:type="pct"/>
            <w:tcBorders>
              <w:left w:val="nil"/>
              <w:right w:val="nil"/>
            </w:tcBorders>
            <w:shd w:val="clear" w:color="000000" w:fill="FFFFFF"/>
            <w:vAlign w:val="bottom"/>
          </w:tcPr>
          <w:p w14:paraId="66D21571" w14:textId="77777777" w:rsidR="00717BA5" w:rsidRPr="00717BA5" w:rsidRDefault="00717BA5" w:rsidP="00717BA5">
            <w:pPr>
              <w:spacing w:after="0" w:line="240" w:lineRule="auto"/>
              <w:ind w:left="405" w:hanging="360"/>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2026</w:t>
            </w:r>
          </w:p>
        </w:tc>
        <w:tc>
          <w:tcPr>
            <w:tcW w:w="306" w:type="pct"/>
            <w:tcBorders>
              <w:left w:val="nil"/>
              <w:right w:val="nil"/>
            </w:tcBorders>
            <w:shd w:val="clear" w:color="000000" w:fill="FFFFFF"/>
            <w:vAlign w:val="bottom"/>
          </w:tcPr>
          <w:p w14:paraId="248D76C8" w14:textId="77777777" w:rsidR="00717BA5" w:rsidRPr="00717BA5" w:rsidRDefault="00717BA5" w:rsidP="00717BA5">
            <w:pPr>
              <w:spacing w:after="0" w:line="240" w:lineRule="auto"/>
              <w:ind w:left="405" w:hanging="360"/>
              <w:jc w:val="right"/>
              <w:rPr>
                <w:rFonts w:ascii="Arial" w:eastAsia="Times New Roman" w:hAnsi="Arial" w:cs="Arial"/>
                <w:b/>
                <w:color w:val="auto"/>
                <w:sz w:val="18"/>
                <w:szCs w:val="18"/>
                <w:lang w:val="en-AU"/>
              </w:rPr>
            </w:pPr>
          </w:p>
        </w:tc>
        <w:tc>
          <w:tcPr>
            <w:tcW w:w="637" w:type="pct"/>
            <w:tcBorders>
              <w:left w:val="nil"/>
              <w:right w:val="nil"/>
            </w:tcBorders>
            <w:shd w:val="clear" w:color="000000" w:fill="FFFFFF"/>
            <w:noWrap/>
            <w:vAlign w:val="bottom"/>
          </w:tcPr>
          <w:p w14:paraId="62128B41" w14:textId="77777777" w:rsidR="00717BA5" w:rsidRPr="00717BA5" w:rsidRDefault="00717BA5" w:rsidP="00717BA5">
            <w:pPr>
              <w:spacing w:after="0" w:line="240" w:lineRule="auto"/>
              <w:ind w:left="405" w:hanging="360"/>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61BF67E2" w14:textId="77777777" w:rsidTr="00F0752D">
        <w:trPr>
          <w:trHeight w:val="315"/>
        </w:trPr>
        <w:tc>
          <w:tcPr>
            <w:tcW w:w="3424" w:type="pct"/>
            <w:gridSpan w:val="4"/>
            <w:tcBorders>
              <w:left w:val="nil"/>
              <w:bottom w:val="nil"/>
              <w:right w:val="nil"/>
            </w:tcBorders>
            <w:shd w:val="clear" w:color="000000" w:fill="FFFFFF"/>
            <w:vAlign w:val="bottom"/>
          </w:tcPr>
          <w:p w14:paraId="35DC4FEE" w14:textId="77777777" w:rsidR="00717BA5" w:rsidRPr="00717BA5" w:rsidRDefault="00717BA5" w:rsidP="00717BA5">
            <w:pPr>
              <w:spacing w:after="0" w:line="240" w:lineRule="auto"/>
              <w:ind w:left="405" w:hanging="360"/>
              <w:rPr>
                <w:rFonts w:ascii="Arial" w:eastAsia="Times New Roman" w:hAnsi="Arial" w:cs="Arial"/>
                <w:color w:val="auto"/>
                <w:sz w:val="18"/>
                <w:szCs w:val="18"/>
                <w:lang w:val="en-AU"/>
              </w:rPr>
            </w:pPr>
            <w:r w:rsidRPr="00717BA5">
              <w:rPr>
                <w:rFonts w:ascii="Arial" w:eastAsia="Calibri" w:hAnsi="Arial" w:cs="Arial"/>
                <w:color w:val="auto"/>
                <w:sz w:val="18"/>
                <w:szCs w:val="18"/>
                <w:lang w:eastAsia="en-US"/>
              </w:rPr>
              <w:t>Estimated cost to process and pay a benefit</w:t>
            </w:r>
          </w:p>
        </w:tc>
        <w:tc>
          <w:tcPr>
            <w:tcW w:w="633" w:type="pct"/>
            <w:tcBorders>
              <w:left w:val="nil"/>
              <w:right w:val="nil"/>
            </w:tcBorders>
            <w:shd w:val="clear" w:color="000000" w:fill="FFFFFF"/>
            <w:vAlign w:val="bottom"/>
          </w:tcPr>
          <w:p w14:paraId="5FF3314E" w14:textId="77777777" w:rsidR="00717BA5" w:rsidRPr="00717BA5" w:rsidRDefault="00717BA5" w:rsidP="00717BA5">
            <w:pPr>
              <w:spacing w:after="0" w:line="240" w:lineRule="auto"/>
              <w:ind w:left="405" w:hanging="36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2.6%</w:t>
            </w:r>
          </w:p>
        </w:tc>
        <w:tc>
          <w:tcPr>
            <w:tcW w:w="306" w:type="pct"/>
            <w:tcBorders>
              <w:left w:val="nil"/>
              <w:right w:val="nil"/>
            </w:tcBorders>
            <w:shd w:val="clear" w:color="000000" w:fill="FFFFFF"/>
            <w:vAlign w:val="bottom"/>
          </w:tcPr>
          <w:p w14:paraId="0FB760FE" w14:textId="77777777" w:rsidR="00717BA5" w:rsidRPr="00717BA5" w:rsidRDefault="00717BA5" w:rsidP="00717BA5">
            <w:pPr>
              <w:spacing w:after="0" w:line="240" w:lineRule="auto"/>
              <w:ind w:left="405" w:hanging="360"/>
              <w:jc w:val="right"/>
              <w:rPr>
                <w:rFonts w:ascii="Arial" w:eastAsia="Times New Roman" w:hAnsi="Arial" w:cs="Arial"/>
                <w:color w:val="auto"/>
                <w:sz w:val="18"/>
                <w:szCs w:val="18"/>
                <w:lang w:val="en-AU"/>
              </w:rPr>
            </w:pPr>
          </w:p>
        </w:tc>
        <w:tc>
          <w:tcPr>
            <w:tcW w:w="637" w:type="pct"/>
            <w:tcBorders>
              <w:left w:val="nil"/>
              <w:right w:val="nil"/>
            </w:tcBorders>
            <w:shd w:val="clear" w:color="000000" w:fill="FFFFFF"/>
            <w:noWrap/>
            <w:vAlign w:val="bottom"/>
          </w:tcPr>
          <w:p w14:paraId="0910BA15" w14:textId="77777777" w:rsidR="00717BA5" w:rsidRPr="00717BA5" w:rsidRDefault="00717BA5" w:rsidP="00717BA5">
            <w:pPr>
              <w:spacing w:after="0" w:line="240" w:lineRule="auto"/>
              <w:ind w:left="405" w:hanging="36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2.4%</w:t>
            </w:r>
          </w:p>
        </w:tc>
      </w:tr>
    </w:tbl>
    <w:p w14:paraId="0701220C" w14:textId="77777777" w:rsidR="00717BA5" w:rsidRPr="00717BA5" w:rsidRDefault="00717BA5" w:rsidP="00717BA5">
      <w:pPr>
        <w:widowControl w:val="0"/>
        <w:tabs>
          <w:tab w:val="left" w:pos="833"/>
        </w:tabs>
        <w:spacing w:before="38" w:after="0" w:line="240" w:lineRule="auto"/>
        <w:ind w:left="832"/>
        <w:jc w:val="both"/>
        <w:rPr>
          <w:rFonts w:ascii="Arial" w:eastAsia="Calibri" w:hAnsi="Arial" w:cs="Arial"/>
          <w:b/>
          <w:bCs/>
          <w:color w:val="auto"/>
          <w:sz w:val="18"/>
          <w:szCs w:val="18"/>
          <w:lang w:eastAsia="en-US"/>
        </w:rPr>
      </w:pPr>
    </w:p>
    <w:p w14:paraId="5183CAC6" w14:textId="77777777" w:rsidR="00717BA5" w:rsidRPr="00717BA5" w:rsidRDefault="00717BA5" w:rsidP="00717BA5">
      <w:pPr>
        <w:widowControl w:val="0"/>
        <w:numPr>
          <w:ilvl w:val="0"/>
          <w:numId w:val="105"/>
        </w:numPr>
        <w:tabs>
          <w:tab w:val="left" w:pos="323"/>
        </w:tabs>
        <w:spacing w:before="120" w:after="0" w:line="240" w:lineRule="auto"/>
        <w:ind w:hanging="322"/>
        <w:jc w:val="both"/>
        <w:rPr>
          <w:rFonts w:ascii="Arial" w:eastAsia="Calibri" w:hAnsi="Arial" w:cs="Arial"/>
          <w:b/>
          <w:bCs/>
          <w:i/>
          <w:color w:val="auto"/>
          <w:szCs w:val="22"/>
          <w:lang w:eastAsia="en-US"/>
        </w:rPr>
      </w:pPr>
      <w:r w:rsidRPr="00717BA5">
        <w:rPr>
          <w:rFonts w:ascii="Arial" w:eastAsia="Calibri" w:hAnsi="Arial" w:cs="Arial"/>
          <w:b/>
          <w:bCs/>
          <w:i/>
          <w:color w:val="auto"/>
          <w:szCs w:val="22"/>
          <w:lang w:eastAsia="en-US"/>
        </w:rPr>
        <w:t>Accrued Long Service Leave Benefits – Community Sector</w:t>
      </w:r>
    </w:p>
    <w:p w14:paraId="4806F269" w14:textId="77777777" w:rsidR="00717BA5" w:rsidRPr="00717BA5" w:rsidRDefault="00717BA5" w:rsidP="00717BA5">
      <w:pPr>
        <w:widowControl w:val="0"/>
        <w:tabs>
          <w:tab w:val="left" w:pos="460"/>
        </w:tabs>
        <w:spacing w:after="0" w:line="244" w:lineRule="exact"/>
        <w:ind w:left="459"/>
        <w:jc w:val="both"/>
        <w:rPr>
          <w:rFonts w:ascii="Arial" w:eastAsia="Calibri" w:hAnsi="Arial" w:cs="Arial"/>
          <w:color w:val="auto"/>
          <w:sz w:val="18"/>
          <w:szCs w:val="18"/>
          <w:lang w:val="en-AU" w:eastAsia="en-US"/>
        </w:rPr>
      </w:pPr>
    </w:p>
    <w:p w14:paraId="4D8E6FE0" w14:textId="77777777" w:rsidR="00717BA5" w:rsidRPr="00717BA5" w:rsidRDefault="00717BA5" w:rsidP="00717BA5">
      <w:pPr>
        <w:adjustRightInd w:val="0"/>
        <w:snapToGrid w:val="0"/>
        <w:rPr>
          <w:rFonts w:ascii="Arial" w:eastAsia="Calibri" w:hAnsi="Arial" w:cs="Arial"/>
          <w:b/>
          <w:bCs/>
          <w:color w:val="auto"/>
          <w:lang w:val="en-AU"/>
        </w:rPr>
      </w:pPr>
      <w:bookmarkStart w:id="110" w:name="_Hlk172414836"/>
      <w:r w:rsidRPr="00717BA5">
        <w:rPr>
          <w:rFonts w:ascii="Arial" w:eastAsia="Calibri" w:hAnsi="Arial" w:cs="Arial"/>
          <w:b/>
          <w:bCs/>
          <w:color w:val="auto"/>
          <w:lang w:val="en-AU"/>
        </w:rPr>
        <w:t>Exit rates</w:t>
      </w:r>
    </w:p>
    <w:p w14:paraId="6C66B405" w14:textId="77777777" w:rsidR="00717BA5" w:rsidRPr="00717BA5" w:rsidRDefault="00717BA5" w:rsidP="00717BA5">
      <w:pPr>
        <w:adjustRightInd w:val="0"/>
        <w:snapToGrid w:val="0"/>
        <w:rPr>
          <w:rFonts w:ascii="Arial" w:eastAsia="Calibri" w:hAnsi="Arial" w:cs="Arial"/>
          <w:color w:val="auto"/>
          <w:sz w:val="18"/>
          <w:szCs w:val="18"/>
        </w:rPr>
      </w:pPr>
      <w:r w:rsidRPr="00717BA5">
        <w:rPr>
          <w:rFonts w:ascii="Arial" w:eastAsia="Calibri" w:hAnsi="Arial" w:cs="Arial"/>
          <w:color w:val="auto"/>
        </w:rPr>
        <w:t>The</w:t>
      </w:r>
      <w:r w:rsidRPr="00717BA5">
        <w:rPr>
          <w:rFonts w:ascii="Arial" w:eastAsia="Calibri" w:hAnsi="Arial" w:cs="Arial"/>
          <w:color w:val="auto"/>
          <w:spacing w:val="-6"/>
        </w:rPr>
        <w:t xml:space="preserve"> </w:t>
      </w:r>
      <w:r w:rsidRPr="00717BA5">
        <w:rPr>
          <w:rFonts w:ascii="Arial" w:eastAsia="Calibri" w:hAnsi="Arial" w:cs="Arial"/>
          <w:color w:val="auto"/>
        </w:rPr>
        <w:t>rates</w:t>
      </w:r>
      <w:r w:rsidRPr="00717BA5">
        <w:rPr>
          <w:rFonts w:ascii="Arial" w:eastAsia="Calibri" w:hAnsi="Arial" w:cs="Arial"/>
          <w:color w:val="auto"/>
          <w:spacing w:val="-6"/>
        </w:rPr>
        <w:t xml:space="preserve"> </w:t>
      </w:r>
      <w:r w:rsidRPr="00717BA5">
        <w:rPr>
          <w:rFonts w:ascii="Arial" w:eastAsia="Calibri" w:hAnsi="Arial" w:cs="Arial"/>
          <w:color w:val="auto"/>
        </w:rPr>
        <w:t>at</w:t>
      </w:r>
      <w:r w:rsidRPr="00717BA5">
        <w:rPr>
          <w:rFonts w:ascii="Arial" w:eastAsia="Calibri" w:hAnsi="Arial" w:cs="Arial"/>
          <w:color w:val="auto"/>
          <w:spacing w:val="-4"/>
        </w:rPr>
        <w:t xml:space="preserve"> </w:t>
      </w:r>
      <w:r w:rsidRPr="00717BA5">
        <w:rPr>
          <w:rFonts w:ascii="Arial" w:eastAsia="Calibri" w:hAnsi="Arial" w:cs="Arial"/>
          <w:color w:val="auto"/>
        </w:rPr>
        <w:t>which</w:t>
      </w:r>
      <w:r w:rsidRPr="00717BA5">
        <w:rPr>
          <w:rFonts w:ascii="Arial" w:eastAsia="Calibri" w:hAnsi="Arial" w:cs="Arial"/>
          <w:color w:val="auto"/>
          <w:spacing w:val="-5"/>
        </w:rPr>
        <w:t xml:space="preserve"> </w:t>
      </w:r>
      <w:r w:rsidRPr="00717BA5">
        <w:rPr>
          <w:rFonts w:ascii="Arial" w:eastAsia="Calibri" w:hAnsi="Arial" w:cs="Arial"/>
          <w:color w:val="auto"/>
        </w:rPr>
        <w:t>workers</w:t>
      </w:r>
      <w:r w:rsidRPr="00717BA5">
        <w:rPr>
          <w:rFonts w:ascii="Arial" w:eastAsia="Calibri" w:hAnsi="Arial" w:cs="Arial"/>
          <w:color w:val="auto"/>
          <w:spacing w:val="-6"/>
        </w:rPr>
        <w:t xml:space="preserve"> </w:t>
      </w:r>
      <w:r w:rsidRPr="00717BA5">
        <w:rPr>
          <w:rFonts w:ascii="Arial" w:eastAsia="Calibri" w:hAnsi="Arial" w:cs="Arial"/>
          <w:color w:val="auto"/>
        </w:rPr>
        <w:t>of</w:t>
      </w:r>
      <w:r w:rsidRPr="00717BA5">
        <w:rPr>
          <w:rFonts w:ascii="Arial" w:eastAsia="Calibri" w:hAnsi="Arial" w:cs="Arial"/>
          <w:color w:val="auto"/>
          <w:spacing w:val="-3"/>
        </w:rPr>
        <w:t xml:space="preserve"> </w:t>
      </w:r>
      <w:r w:rsidRPr="00717BA5">
        <w:rPr>
          <w:rFonts w:ascii="Arial" w:eastAsia="Calibri" w:hAnsi="Arial" w:cs="Arial"/>
          <w:color w:val="auto"/>
        </w:rPr>
        <w:t>different</w:t>
      </w:r>
      <w:r w:rsidRPr="00717BA5">
        <w:rPr>
          <w:rFonts w:ascii="Arial" w:eastAsia="Calibri" w:hAnsi="Arial" w:cs="Arial"/>
          <w:color w:val="auto"/>
          <w:spacing w:val="-5"/>
        </w:rPr>
        <w:t xml:space="preserve"> </w:t>
      </w:r>
      <w:r w:rsidRPr="00717BA5">
        <w:rPr>
          <w:rFonts w:ascii="Arial" w:eastAsia="Calibri" w:hAnsi="Arial" w:cs="Arial"/>
          <w:color w:val="auto"/>
        </w:rPr>
        <w:t>membership groups</w:t>
      </w:r>
      <w:r w:rsidRPr="00717BA5">
        <w:rPr>
          <w:rFonts w:ascii="Arial" w:eastAsia="Calibri" w:hAnsi="Arial" w:cs="Arial"/>
          <w:color w:val="auto"/>
          <w:spacing w:val="-6"/>
        </w:rPr>
        <w:t xml:space="preserve"> </w:t>
      </w:r>
      <w:r w:rsidRPr="00717BA5">
        <w:rPr>
          <w:rFonts w:ascii="Arial" w:eastAsia="Calibri" w:hAnsi="Arial" w:cs="Arial"/>
          <w:color w:val="auto"/>
        </w:rPr>
        <w:t>might</w:t>
      </w:r>
      <w:r w:rsidRPr="00717BA5">
        <w:rPr>
          <w:rFonts w:ascii="Arial" w:eastAsia="Calibri" w:hAnsi="Arial" w:cs="Arial"/>
          <w:color w:val="auto"/>
          <w:spacing w:val="-4"/>
        </w:rPr>
        <w:t xml:space="preserve"> </w:t>
      </w:r>
      <w:r w:rsidRPr="00717BA5">
        <w:rPr>
          <w:rFonts w:ascii="Arial" w:eastAsia="Calibri" w:hAnsi="Arial" w:cs="Arial"/>
          <w:color w:val="auto"/>
        </w:rPr>
        <w:t>leave</w:t>
      </w:r>
      <w:r w:rsidRPr="00717BA5">
        <w:rPr>
          <w:rFonts w:ascii="Arial" w:eastAsia="Calibri" w:hAnsi="Arial" w:cs="Arial"/>
          <w:color w:val="auto"/>
          <w:spacing w:val="-5"/>
        </w:rPr>
        <w:t xml:space="preserve"> </w:t>
      </w:r>
      <w:r w:rsidRPr="00717BA5">
        <w:rPr>
          <w:rFonts w:ascii="Arial" w:eastAsia="Calibri" w:hAnsi="Arial" w:cs="Arial"/>
          <w:color w:val="auto"/>
        </w:rPr>
        <w:t>the</w:t>
      </w:r>
      <w:r w:rsidRPr="00717BA5">
        <w:rPr>
          <w:rFonts w:ascii="Arial" w:eastAsia="Calibri" w:hAnsi="Arial" w:cs="Arial"/>
          <w:color w:val="auto"/>
          <w:spacing w:val="-4"/>
        </w:rPr>
        <w:t xml:space="preserve"> </w:t>
      </w:r>
      <w:r w:rsidRPr="00717BA5">
        <w:rPr>
          <w:rFonts w:ascii="Arial" w:eastAsia="Calibri" w:hAnsi="Arial" w:cs="Arial"/>
          <w:color w:val="auto"/>
        </w:rPr>
        <w:t>scheme are based on past experience and vary by years of service as follows:</w:t>
      </w:r>
    </w:p>
    <w:tbl>
      <w:tblPr>
        <w:tblW w:w="5000" w:type="pct"/>
        <w:tblLook w:val="04A0" w:firstRow="1" w:lastRow="0" w:firstColumn="1" w:lastColumn="0" w:noHBand="0" w:noVBand="1"/>
      </w:tblPr>
      <w:tblGrid>
        <w:gridCol w:w="6813"/>
        <w:gridCol w:w="1260"/>
        <w:gridCol w:w="607"/>
        <w:gridCol w:w="1269"/>
      </w:tblGrid>
      <w:tr w:rsidR="00717BA5" w:rsidRPr="00717BA5" w14:paraId="7CD1870C" w14:textId="77777777" w:rsidTr="00F0752D">
        <w:trPr>
          <w:trHeight w:val="315"/>
        </w:trPr>
        <w:tc>
          <w:tcPr>
            <w:tcW w:w="3424" w:type="pct"/>
            <w:tcBorders>
              <w:top w:val="nil"/>
              <w:left w:val="nil"/>
              <w:bottom w:val="nil"/>
              <w:right w:val="nil"/>
            </w:tcBorders>
            <w:shd w:val="clear" w:color="000000" w:fill="FFFFFF"/>
            <w:vAlign w:val="bottom"/>
          </w:tcPr>
          <w:p w14:paraId="3B15273E"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Exit Rate - Service in last year</w:t>
            </w:r>
          </w:p>
        </w:tc>
        <w:tc>
          <w:tcPr>
            <w:tcW w:w="633" w:type="pct"/>
            <w:tcBorders>
              <w:top w:val="nil"/>
              <w:left w:val="nil"/>
              <w:bottom w:val="nil"/>
              <w:right w:val="nil"/>
            </w:tcBorders>
            <w:shd w:val="clear" w:color="000000" w:fill="FFFFFF"/>
            <w:vAlign w:val="bottom"/>
          </w:tcPr>
          <w:p w14:paraId="358F4014"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305" w:type="pct"/>
            <w:tcBorders>
              <w:top w:val="nil"/>
              <w:left w:val="nil"/>
              <w:bottom w:val="nil"/>
              <w:right w:val="nil"/>
            </w:tcBorders>
            <w:shd w:val="clear" w:color="000000" w:fill="FFFFFF"/>
            <w:vAlign w:val="bottom"/>
          </w:tcPr>
          <w:p w14:paraId="539A0ED7"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top w:val="nil"/>
              <w:left w:val="nil"/>
              <w:bottom w:val="nil"/>
              <w:right w:val="nil"/>
            </w:tcBorders>
            <w:shd w:val="clear" w:color="000000" w:fill="FFFFFF"/>
            <w:vAlign w:val="bottom"/>
          </w:tcPr>
          <w:p w14:paraId="58382432"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7BBC575B" w14:textId="77777777" w:rsidTr="00F0752D">
        <w:trPr>
          <w:trHeight w:val="315"/>
        </w:trPr>
        <w:tc>
          <w:tcPr>
            <w:tcW w:w="3424" w:type="pct"/>
            <w:tcBorders>
              <w:top w:val="nil"/>
              <w:left w:val="nil"/>
              <w:bottom w:val="nil"/>
              <w:right w:val="nil"/>
            </w:tcBorders>
            <w:shd w:val="clear" w:color="000000" w:fill="FFFFFF"/>
            <w:vAlign w:val="bottom"/>
          </w:tcPr>
          <w:p w14:paraId="0D36E55A"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less than 5 years of service</w:t>
            </w:r>
          </w:p>
        </w:tc>
        <w:tc>
          <w:tcPr>
            <w:tcW w:w="633" w:type="pct"/>
            <w:tcBorders>
              <w:top w:val="nil"/>
              <w:left w:val="nil"/>
              <w:bottom w:val="nil"/>
              <w:right w:val="nil"/>
            </w:tcBorders>
            <w:shd w:val="clear" w:color="000000" w:fill="FFFFFF"/>
            <w:vAlign w:val="bottom"/>
          </w:tcPr>
          <w:p w14:paraId="0E096944"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0%</w:t>
            </w:r>
          </w:p>
        </w:tc>
        <w:tc>
          <w:tcPr>
            <w:tcW w:w="305" w:type="pct"/>
            <w:tcBorders>
              <w:top w:val="nil"/>
              <w:left w:val="nil"/>
              <w:bottom w:val="nil"/>
              <w:right w:val="nil"/>
            </w:tcBorders>
            <w:shd w:val="clear" w:color="000000" w:fill="FFFFFF"/>
            <w:vAlign w:val="bottom"/>
          </w:tcPr>
          <w:p w14:paraId="1A1818B1"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top w:val="nil"/>
              <w:left w:val="nil"/>
              <w:bottom w:val="nil"/>
              <w:right w:val="nil"/>
            </w:tcBorders>
            <w:shd w:val="clear" w:color="000000" w:fill="FFFFFF"/>
            <w:noWrap/>
            <w:vAlign w:val="bottom"/>
          </w:tcPr>
          <w:p w14:paraId="2978009D"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0%</w:t>
            </w:r>
          </w:p>
        </w:tc>
      </w:tr>
      <w:tr w:rsidR="00717BA5" w:rsidRPr="00717BA5" w14:paraId="12B75A78" w14:textId="77777777" w:rsidTr="00F0752D">
        <w:trPr>
          <w:trHeight w:val="315"/>
        </w:trPr>
        <w:tc>
          <w:tcPr>
            <w:tcW w:w="3424" w:type="pct"/>
            <w:tcBorders>
              <w:top w:val="nil"/>
              <w:left w:val="nil"/>
              <w:bottom w:val="nil"/>
              <w:right w:val="nil"/>
            </w:tcBorders>
            <w:shd w:val="clear" w:color="000000" w:fill="FFFFFF"/>
            <w:vAlign w:val="bottom"/>
          </w:tcPr>
          <w:p w14:paraId="0370337A"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5-6 years of service</w:t>
            </w:r>
          </w:p>
        </w:tc>
        <w:tc>
          <w:tcPr>
            <w:tcW w:w="633" w:type="pct"/>
            <w:tcBorders>
              <w:top w:val="nil"/>
              <w:left w:val="nil"/>
              <w:right w:val="nil"/>
            </w:tcBorders>
            <w:shd w:val="clear" w:color="000000" w:fill="FFFFFF"/>
            <w:vAlign w:val="bottom"/>
          </w:tcPr>
          <w:p w14:paraId="027374B7"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5%</w:t>
            </w:r>
          </w:p>
        </w:tc>
        <w:tc>
          <w:tcPr>
            <w:tcW w:w="305" w:type="pct"/>
            <w:tcBorders>
              <w:top w:val="nil"/>
              <w:left w:val="nil"/>
              <w:right w:val="nil"/>
            </w:tcBorders>
            <w:shd w:val="clear" w:color="000000" w:fill="FFFFFF"/>
            <w:vAlign w:val="bottom"/>
          </w:tcPr>
          <w:p w14:paraId="22513619"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top w:val="nil"/>
              <w:left w:val="nil"/>
              <w:right w:val="nil"/>
            </w:tcBorders>
            <w:shd w:val="clear" w:color="000000" w:fill="FFFFFF"/>
            <w:noWrap/>
            <w:vAlign w:val="bottom"/>
          </w:tcPr>
          <w:p w14:paraId="2095179B"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5%</w:t>
            </w:r>
          </w:p>
        </w:tc>
      </w:tr>
      <w:tr w:rsidR="00717BA5" w:rsidRPr="00717BA5" w14:paraId="0A61A103" w14:textId="77777777" w:rsidTr="00F0752D">
        <w:trPr>
          <w:trHeight w:val="315"/>
        </w:trPr>
        <w:tc>
          <w:tcPr>
            <w:tcW w:w="3424" w:type="pct"/>
            <w:tcBorders>
              <w:top w:val="nil"/>
              <w:left w:val="nil"/>
              <w:bottom w:val="nil"/>
              <w:right w:val="nil"/>
            </w:tcBorders>
            <w:shd w:val="clear" w:color="000000" w:fill="FFFFFF"/>
            <w:vAlign w:val="bottom"/>
          </w:tcPr>
          <w:p w14:paraId="1F167A2C"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7 or more years of service</w:t>
            </w:r>
          </w:p>
        </w:tc>
        <w:tc>
          <w:tcPr>
            <w:tcW w:w="633" w:type="pct"/>
            <w:tcBorders>
              <w:top w:val="nil"/>
              <w:left w:val="nil"/>
              <w:right w:val="nil"/>
            </w:tcBorders>
            <w:shd w:val="clear" w:color="000000" w:fill="FFFFFF"/>
            <w:vAlign w:val="bottom"/>
          </w:tcPr>
          <w:p w14:paraId="3C59B5E3"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6%</w:t>
            </w:r>
          </w:p>
        </w:tc>
        <w:tc>
          <w:tcPr>
            <w:tcW w:w="305" w:type="pct"/>
            <w:tcBorders>
              <w:top w:val="nil"/>
              <w:left w:val="nil"/>
              <w:right w:val="nil"/>
            </w:tcBorders>
            <w:shd w:val="clear" w:color="000000" w:fill="FFFFFF"/>
            <w:vAlign w:val="bottom"/>
          </w:tcPr>
          <w:p w14:paraId="58A39F61"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top w:val="nil"/>
              <w:left w:val="nil"/>
              <w:right w:val="nil"/>
            </w:tcBorders>
            <w:shd w:val="clear" w:color="000000" w:fill="FFFFFF"/>
            <w:noWrap/>
            <w:vAlign w:val="bottom"/>
          </w:tcPr>
          <w:p w14:paraId="182624E2"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6%</w:t>
            </w:r>
          </w:p>
        </w:tc>
      </w:tr>
      <w:tr w:rsidR="00717BA5" w:rsidRPr="00717BA5" w14:paraId="0D94FDE1" w14:textId="77777777" w:rsidTr="00F0752D">
        <w:trPr>
          <w:trHeight w:val="176"/>
        </w:trPr>
        <w:tc>
          <w:tcPr>
            <w:tcW w:w="3424" w:type="pct"/>
            <w:tcBorders>
              <w:top w:val="nil"/>
              <w:left w:val="nil"/>
              <w:bottom w:val="nil"/>
              <w:right w:val="nil"/>
            </w:tcBorders>
            <w:shd w:val="clear" w:color="000000" w:fill="FFFFFF"/>
            <w:vAlign w:val="bottom"/>
          </w:tcPr>
          <w:p w14:paraId="5E6A9853"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Exit Rate - No service in last year and vested.</w:t>
            </w:r>
          </w:p>
        </w:tc>
        <w:tc>
          <w:tcPr>
            <w:tcW w:w="633" w:type="pct"/>
            <w:tcBorders>
              <w:left w:val="nil"/>
              <w:bottom w:val="nil"/>
              <w:right w:val="nil"/>
            </w:tcBorders>
            <w:shd w:val="clear" w:color="000000" w:fill="FFFFFF"/>
            <w:vAlign w:val="bottom"/>
          </w:tcPr>
          <w:p w14:paraId="3A6296BF"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305" w:type="pct"/>
            <w:tcBorders>
              <w:top w:val="nil"/>
              <w:left w:val="nil"/>
              <w:bottom w:val="nil"/>
              <w:right w:val="nil"/>
            </w:tcBorders>
            <w:shd w:val="clear" w:color="000000" w:fill="FFFFFF"/>
            <w:vAlign w:val="bottom"/>
          </w:tcPr>
          <w:p w14:paraId="733DFB1F"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left w:val="nil"/>
              <w:bottom w:val="nil"/>
              <w:right w:val="nil"/>
            </w:tcBorders>
            <w:shd w:val="clear" w:color="000000" w:fill="FFFFFF"/>
            <w:noWrap/>
            <w:vAlign w:val="bottom"/>
          </w:tcPr>
          <w:p w14:paraId="2BD7B705"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244C00FB" w14:textId="77777777" w:rsidTr="00F0752D">
        <w:trPr>
          <w:trHeight w:val="315"/>
        </w:trPr>
        <w:tc>
          <w:tcPr>
            <w:tcW w:w="3424" w:type="pct"/>
            <w:tcBorders>
              <w:top w:val="nil"/>
              <w:left w:val="nil"/>
              <w:bottom w:val="nil"/>
              <w:right w:val="nil"/>
            </w:tcBorders>
            <w:shd w:val="clear" w:color="000000" w:fill="FFFFFF"/>
            <w:vAlign w:val="bottom"/>
          </w:tcPr>
          <w:p w14:paraId="27DC6A05"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less than 1 year of service</w:t>
            </w:r>
          </w:p>
        </w:tc>
        <w:tc>
          <w:tcPr>
            <w:tcW w:w="633" w:type="pct"/>
            <w:tcBorders>
              <w:top w:val="nil"/>
              <w:left w:val="nil"/>
              <w:bottom w:val="nil"/>
              <w:right w:val="nil"/>
            </w:tcBorders>
            <w:shd w:val="clear" w:color="000000" w:fill="FFFFFF"/>
            <w:vAlign w:val="bottom"/>
          </w:tcPr>
          <w:p w14:paraId="4DDC0E05"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2%</w:t>
            </w:r>
          </w:p>
        </w:tc>
        <w:tc>
          <w:tcPr>
            <w:tcW w:w="305" w:type="pct"/>
            <w:tcBorders>
              <w:top w:val="nil"/>
              <w:left w:val="nil"/>
              <w:bottom w:val="nil"/>
              <w:right w:val="nil"/>
            </w:tcBorders>
            <w:shd w:val="clear" w:color="000000" w:fill="FFFFFF"/>
            <w:vAlign w:val="bottom"/>
          </w:tcPr>
          <w:p w14:paraId="0E12A53E"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top w:val="nil"/>
              <w:left w:val="nil"/>
              <w:bottom w:val="nil"/>
              <w:right w:val="nil"/>
            </w:tcBorders>
            <w:shd w:val="clear" w:color="000000" w:fill="FFFFFF"/>
            <w:noWrap/>
            <w:vAlign w:val="bottom"/>
          </w:tcPr>
          <w:p w14:paraId="7C5A03AD"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2%</w:t>
            </w:r>
          </w:p>
        </w:tc>
      </w:tr>
      <w:tr w:rsidR="00717BA5" w:rsidRPr="00717BA5" w14:paraId="4D6C389D" w14:textId="77777777" w:rsidTr="00F0752D">
        <w:trPr>
          <w:trHeight w:val="315"/>
        </w:trPr>
        <w:tc>
          <w:tcPr>
            <w:tcW w:w="3424" w:type="pct"/>
            <w:tcBorders>
              <w:top w:val="nil"/>
              <w:left w:val="nil"/>
              <w:bottom w:val="nil"/>
              <w:right w:val="nil"/>
            </w:tcBorders>
            <w:shd w:val="clear" w:color="000000" w:fill="FFFFFF"/>
            <w:vAlign w:val="bottom"/>
          </w:tcPr>
          <w:p w14:paraId="12CE5DDA"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1-2 years of service</w:t>
            </w:r>
          </w:p>
        </w:tc>
        <w:tc>
          <w:tcPr>
            <w:tcW w:w="633" w:type="pct"/>
            <w:tcBorders>
              <w:top w:val="nil"/>
              <w:left w:val="nil"/>
              <w:bottom w:val="nil"/>
              <w:right w:val="nil"/>
            </w:tcBorders>
            <w:shd w:val="clear" w:color="000000" w:fill="FFFFFF"/>
            <w:vAlign w:val="bottom"/>
          </w:tcPr>
          <w:p w14:paraId="11F31E4F"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3%</w:t>
            </w:r>
          </w:p>
        </w:tc>
        <w:tc>
          <w:tcPr>
            <w:tcW w:w="305" w:type="pct"/>
            <w:tcBorders>
              <w:top w:val="nil"/>
              <w:left w:val="nil"/>
              <w:bottom w:val="nil"/>
              <w:right w:val="nil"/>
            </w:tcBorders>
            <w:shd w:val="clear" w:color="000000" w:fill="FFFFFF"/>
            <w:vAlign w:val="bottom"/>
          </w:tcPr>
          <w:p w14:paraId="36DE7353"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top w:val="nil"/>
              <w:left w:val="nil"/>
              <w:bottom w:val="nil"/>
              <w:right w:val="nil"/>
            </w:tcBorders>
            <w:shd w:val="clear" w:color="000000" w:fill="FFFFFF"/>
            <w:noWrap/>
            <w:vAlign w:val="bottom"/>
          </w:tcPr>
          <w:p w14:paraId="0EFAFA97"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3%</w:t>
            </w:r>
          </w:p>
        </w:tc>
      </w:tr>
      <w:tr w:rsidR="00717BA5" w:rsidRPr="00717BA5" w14:paraId="1ADFA2DF" w14:textId="77777777" w:rsidTr="00F0752D">
        <w:trPr>
          <w:trHeight w:val="315"/>
        </w:trPr>
        <w:tc>
          <w:tcPr>
            <w:tcW w:w="3424" w:type="pct"/>
            <w:tcBorders>
              <w:top w:val="nil"/>
              <w:left w:val="nil"/>
              <w:right w:val="nil"/>
            </w:tcBorders>
            <w:shd w:val="clear" w:color="000000" w:fill="FFFFFF"/>
            <w:vAlign w:val="bottom"/>
          </w:tcPr>
          <w:p w14:paraId="4BC4BCFF"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3-4 years of service</w:t>
            </w:r>
          </w:p>
        </w:tc>
        <w:tc>
          <w:tcPr>
            <w:tcW w:w="633" w:type="pct"/>
            <w:tcBorders>
              <w:top w:val="nil"/>
              <w:left w:val="nil"/>
              <w:right w:val="nil"/>
            </w:tcBorders>
            <w:shd w:val="clear" w:color="000000" w:fill="FFFFFF"/>
            <w:vAlign w:val="bottom"/>
          </w:tcPr>
          <w:p w14:paraId="559353EF"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4%</w:t>
            </w:r>
          </w:p>
        </w:tc>
        <w:tc>
          <w:tcPr>
            <w:tcW w:w="305" w:type="pct"/>
            <w:tcBorders>
              <w:top w:val="nil"/>
              <w:left w:val="nil"/>
              <w:right w:val="nil"/>
            </w:tcBorders>
            <w:shd w:val="clear" w:color="000000" w:fill="FFFFFF"/>
            <w:vAlign w:val="bottom"/>
          </w:tcPr>
          <w:p w14:paraId="1007D4BD"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top w:val="nil"/>
              <w:left w:val="nil"/>
              <w:right w:val="nil"/>
            </w:tcBorders>
            <w:shd w:val="clear" w:color="000000" w:fill="FFFFFF"/>
            <w:noWrap/>
            <w:vAlign w:val="bottom"/>
          </w:tcPr>
          <w:p w14:paraId="17791321"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4%</w:t>
            </w:r>
          </w:p>
        </w:tc>
      </w:tr>
      <w:tr w:rsidR="00717BA5" w:rsidRPr="00717BA5" w14:paraId="28CA8833" w14:textId="77777777" w:rsidTr="00F0752D">
        <w:trPr>
          <w:trHeight w:val="315"/>
        </w:trPr>
        <w:tc>
          <w:tcPr>
            <w:tcW w:w="3424" w:type="pct"/>
            <w:tcBorders>
              <w:left w:val="nil"/>
              <w:right w:val="nil"/>
            </w:tcBorders>
            <w:shd w:val="clear" w:color="000000" w:fill="FFFFFF"/>
            <w:vAlign w:val="bottom"/>
          </w:tcPr>
          <w:p w14:paraId="1077FC3D"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5 or more years of service</w:t>
            </w:r>
          </w:p>
        </w:tc>
        <w:tc>
          <w:tcPr>
            <w:tcW w:w="633" w:type="pct"/>
            <w:tcBorders>
              <w:left w:val="nil"/>
              <w:right w:val="nil"/>
            </w:tcBorders>
            <w:shd w:val="clear" w:color="000000" w:fill="FFFFFF"/>
            <w:vAlign w:val="bottom"/>
          </w:tcPr>
          <w:p w14:paraId="66145E9D"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color w:val="auto"/>
                <w:sz w:val="18"/>
                <w:szCs w:val="18"/>
                <w:lang w:val="en-AU" w:eastAsia="en-US"/>
              </w:rPr>
              <w:t>6%</w:t>
            </w:r>
          </w:p>
        </w:tc>
        <w:tc>
          <w:tcPr>
            <w:tcW w:w="305" w:type="pct"/>
            <w:tcBorders>
              <w:left w:val="nil"/>
              <w:right w:val="nil"/>
            </w:tcBorders>
            <w:shd w:val="clear" w:color="000000" w:fill="FFFFFF"/>
            <w:vAlign w:val="bottom"/>
          </w:tcPr>
          <w:p w14:paraId="367E9E8D"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p>
        </w:tc>
        <w:tc>
          <w:tcPr>
            <w:tcW w:w="638" w:type="pct"/>
            <w:tcBorders>
              <w:left w:val="nil"/>
              <w:right w:val="nil"/>
            </w:tcBorders>
            <w:shd w:val="clear" w:color="000000" w:fill="FFFFFF"/>
            <w:noWrap/>
            <w:vAlign w:val="bottom"/>
          </w:tcPr>
          <w:p w14:paraId="3295682E" w14:textId="77777777" w:rsidR="00717BA5" w:rsidRPr="00717BA5" w:rsidRDefault="00717BA5" w:rsidP="00717BA5">
            <w:pPr>
              <w:widowControl w:val="0"/>
              <w:tabs>
                <w:tab w:val="left" w:pos="833"/>
              </w:tabs>
              <w:spacing w:before="38" w:after="0" w:line="240" w:lineRule="auto"/>
              <w:jc w:val="right"/>
              <w:rPr>
                <w:rFonts w:ascii="Arial" w:eastAsia="Calibri" w:hAnsi="Arial" w:cs="Arial"/>
                <w:b/>
                <w:bCs/>
                <w:color w:val="auto"/>
                <w:sz w:val="18"/>
                <w:szCs w:val="18"/>
                <w:lang w:val="en-AU" w:eastAsia="en-US"/>
              </w:rPr>
            </w:pPr>
            <w:r w:rsidRPr="00717BA5">
              <w:rPr>
                <w:rFonts w:ascii="Arial" w:eastAsia="Calibri" w:hAnsi="Arial" w:cs="Arial"/>
                <w:color w:val="auto"/>
                <w:sz w:val="18"/>
                <w:szCs w:val="18"/>
                <w:lang w:val="en-AU" w:eastAsia="en-US"/>
              </w:rPr>
              <w:t>6%</w:t>
            </w:r>
          </w:p>
        </w:tc>
      </w:tr>
      <w:tr w:rsidR="00717BA5" w:rsidRPr="00717BA5" w14:paraId="439046E0" w14:textId="77777777" w:rsidTr="00F0752D">
        <w:trPr>
          <w:trHeight w:val="315"/>
        </w:trPr>
        <w:tc>
          <w:tcPr>
            <w:tcW w:w="3424" w:type="pct"/>
            <w:tcBorders>
              <w:left w:val="nil"/>
              <w:bottom w:val="nil"/>
              <w:right w:val="nil"/>
            </w:tcBorders>
            <w:shd w:val="clear" w:color="000000" w:fill="FFFFFF"/>
            <w:vAlign w:val="bottom"/>
          </w:tcPr>
          <w:p w14:paraId="7CD7DE0C"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Exit Rate - No service in last year and not vested.</w:t>
            </w:r>
          </w:p>
        </w:tc>
        <w:tc>
          <w:tcPr>
            <w:tcW w:w="633" w:type="pct"/>
            <w:tcBorders>
              <w:left w:val="nil"/>
              <w:right w:val="nil"/>
            </w:tcBorders>
            <w:shd w:val="clear" w:color="000000" w:fill="FFFFFF"/>
            <w:vAlign w:val="bottom"/>
          </w:tcPr>
          <w:p w14:paraId="006E642E"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305" w:type="pct"/>
            <w:tcBorders>
              <w:left w:val="nil"/>
              <w:right w:val="nil"/>
            </w:tcBorders>
            <w:shd w:val="clear" w:color="000000" w:fill="FFFFFF"/>
            <w:vAlign w:val="bottom"/>
          </w:tcPr>
          <w:p w14:paraId="2605E8E4"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left w:val="nil"/>
              <w:right w:val="nil"/>
            </w:tcBorders>
            <w:shd w:val="clear" w:color="000000" w:fill="FFFFFF"/>
            <w:noWrap/>
            <w:vAlign w:val="bottom"/>
          </w:tcPr>
          <w:p w14:paraId="4BC444CD"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1A3F2E8D" w14:textId="77777777" w:rsidTr="00F0752D">
        <w:trPr>
          <w:trHeight w:val="315"/>
        </w:trPr>
        <w:tc>
          <w:tcPr>
            <w:tcW w:w="3424" w:type="pct"/>
            <w:tcBorders>
              <w:left w:val="nil"/>
              <w:bottom w:val="nil"/>
              <w:right w:val="nil"/>
            </w:tcBorders>
            <w:shd w:val="clear" w:color="000000" w:fill="FFFFFF"/>
            <w:vAlign w:val="bottom"/>
          </w:tcPr>
          <w:p w14:paraId="10FBCBCE"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less than 2 years of service</w:t>
            </w:r>
          </w:p>
        </w:tc>
        <w:tc>
          <w:tcPr>
            <w:tcW w:w="633" w:type="pct"/>
            <w:tcBorders>
              <w:left w:val="nil"/>
              <w:right w:val="nil"/>
            </w:tcBorders>
            <w:shd w:val="clear" w:color="000000" w:fill="FFFFFF"/>
            <w:vAlign w:val="bottom"/>
          </w:tcPr>
          <w:p w14:paraId="26C65BCE"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29%</w:t>
            </w:r>
          </w:p>
        </w:tc>
        <w:tc>
          <w:tcPr>
            <w:tcW w:w="305" w:type="pct"/>
            <w:tcBorders>
              <w:left w:val="nil"/>
              <w:right w:val="nil"/>
            </w:tcBorders>
            <w:shd w:val="clear" w:color="000000" w:fill="FFFFFF"/>
            <w:vAlign w:val="bottom"/>
          </w:tcPr>
          <w:p w14:paraId="22BCA9A1"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3AC45D61"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29%</w:t>
            </w:r>
          </w:p>
        </w:tc>
      </w:tr>
      <w:tr w:rsidR="00717BA5" w:rsidRPr="00717BA5" w14:paraId="6CFD136E" w14:textId="77777777" w:rsidTr="00F0752D">
        <w:trPr>
          <w:trHeight w:val="315"/>
        </w:trPr>
        <w:tc>
          <w:tcPr>
            <w:tcW w:w="3424" w:type="pct"/>
            <w:tcBorders>
              <w:left w:val="nil"/>
              <w:bottom w:val="nil"/>
              <w:right w:val="nil"/>
            </w:tcBorders>
            <w:shd w:val="clear" w:color="000000" w:fill="FFFFFF"/>
            <w:vAlign w:val="bottom"/>
          </w:tcPr>
          <w:p w14:paraId="04E9A8AC"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eastAsia="en-US"/>
              </w:rPr>
            </w:pPr>
            <w:r w:rsidRPr="00717BA5">
              <w:rPr>
                <w:rFonts w:ascii="Arial" w:eastAsia="Times New Roman" w:hAnsi="Arial" w:cs="Arial"/>
                <w:bCs/>
                <w:color w:val="auto"/>
                <w:sz w:val="18"/>
                <w:szCs w:val="18"/>
                <w:lang w:val="en-AU"/>
              </w:rPr>
              <w:t>Workers with 2 or more years of service</w:t>
            </w:r>
          </w:p>
        </w:tc>
        <w:tc>
          <w:tcPr>
            <w:tcW w:w="633" w:type="pct"/>
            <w:tcBorders>
              <w:left w:val="nil"/>
              <w:right w:val="nil"/>
            </w:tcBorders>
            <w:shd w:val="clear" w:color="000000" w:fill="FFFFFF"/>
            <w:vAlign w:val="bottom"/>
          </w:tcPr>
          <w:p w14:paraId="12F892F9"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25%</w:t>
            </w:r>
          </w:p>
        </w:tc>
        <w:tc>
          <w:tcPr>
            <w:tcW w:w="305" w:type="pct"/>
            <w:tcBorders>
              <w:left w:val="nil"/>
              <w:right w:val="nil"/>
            </w:tcBorders>
            <w:shd w:val="clear" w:color="000000" w:fill="FFFFFF"/>
            <w:vAlign w:val="bottom"/>
          </w:tcPr>
          <w:p w14:paraId="652B0EAE"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3FDF1A34"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25%</w:t>
            </w:r>
          </w:p>
        </w:tc>
      </w:tr>
      <w:tr w:rsidR="00717BA5" w:rsidRPr="00717BA5" w14:paraId="6ABE41A8" w14:textId="77777777" w:rsidTr="00F0752D">
        <w:trPr>
          <w:trHeight w:val="315"/>
        </w:trPr>
        <w:tc>
          <w:tcPr>
            <w:tcW w:w="5000" w:type="pct"/>
            <w:gridSpan w:val="4"/>
            <w:tcBorders>
              <w:left w:val="nil"/>
              <w:bottom w:val="nil"/>
            </w:tcBorders>
            <w:shd w:val="clear" w:color="000000" w:fill="FFFFFF"/>
            <w:vAlign w:val="bottom"/>
          </w:tcPr>
          <w:p w14:paraId="43DF5B4C" w14:textId="77777777" w:rsidR="00717BA5" w:rsidRPr="00717BA5" w:rsidRDefault="00717BA5" w:rsidP="00341E60">
            <w:pPr>
              <w:keepNext/>
              <w:spacing w:before="240" w:after="120" w:line="240" w:lineRule="auto"/>
              <w:jc w:val="both"/>
              <w:outlineLvl w:val="1"/>
              <w:rPr>
                <w:rFonts w:ascii="Arial" w:eastAsia="Times New Roman" w:hAnsi="Arial" w:cs="Arial"/>
                <w:b/>
                <w:bCs/>
                <w:iCs/>
                <w:color w:val="auto"/>
                <w:sz w:val="24"/>
                <w:szCs w:val="24"/>
                <w:lang w:val="en-AU"/>
              </w:rPr>
            </w:pPr>
            <w:bookmarkStart w:id="111" w:name="_Toc240533525"/>
            <w:r w:rsidRPr="00717BA5">
              <w:rPr>
                <w:rFonts w:ascii="Arial" w:eastAsia="Times New Roman" w:hAnsi="Arial" w:cs="Arial"/>
                <w:b/>
                <w:bCs/>
                <w:color w:val="auto"/>
                <w:sz w:val="24"/>
                <w:szCs w:val="24"/>
                <w:lang w:val="en-AU"/>
              </w:rPr>
              <w:lastRenderedPageBreak/>
              <w:t xml:space="preserve">NOTE 15. </w:t>
            </w:r>
            <w:r w:rsidRPr="00717BA5" w:rsidDel="008B0B4B">
              <w:rPr>
                <w:rFonts w:ascii="Arial" w:eastAsia="Times New Roman" w:hAnsi="Arial" w:cs="Arial"/>
                <w:b/>
                <w:bCs/>
                <w:color w:val="auto"/>
                <w:sz w:val="24"/>
                <w:szCs w:val="24"/>
                <w:lang w:val="en-AU"/>
              </w:rPr>
              <w:t xml:space="preserve"> </w:t>
            </w:r>
            <w:r w:rsidRPr="00717BA5">
              <w:rPr>
                <w:rFonts w:ascii="Arial" w:eastAsia="Times New Roman" w:hAnsi="Arial" w:cs="Arial"/>
                <w:b/>
                <w:bCs/>
                <w:color w:val="auto"/>
                <w:sz w:val="24"/>
                <w:szCs w:val="24"/>
                <w:lang w:val="en-AU"/>
              </w:rPr>
              <w:t>PROVISION FOR LONG SERVICE LEAVE BENEFITS - CONTINUED</w:t>
            </w:r>
            <w:bookmarkEnd w:id="111"/>
          </w:p>
        </w:tc>
      </w:tr>
      <w:tr w:rsidR="00717BA5" w:rsidRPr="00717BA5" w14:paraId="64E0E9E9" w14:textId="77777777" w:rsidTr="00F0752D">
        <w:trPr>
          <w:trHeight w:val="315"/>
        </w:trPr>
        <w:tc>
          <w:tcPr>
            <w:tcW w:w="5000" w:type="pct"/>
            <w:gridSpan w:val="4"/>
            <w:tcBorders>
              <w:left w:val="nil"/>
              <w:bottom w:val="nil"/>
              <w:right w:val="nil"/>
            </w:tcBorders>
            <w:shd w:val="clear" w:color="000000" w:fill="FFFFFF"/>
            <w:vAlign w:val="bottom"/>
          </w:tcPr>
          <w:p w14:paraId="1FE9BC13" w14:textId="77777777" w:rsidR="00717BA5" w:rsidRPr="00717BA5" w:rsidRDefault="00717BA5" w:rsidP="00717BA5">
            <w:pPr>
              <w:adjustRightInd w:val="0"/>
              <w:snapToGrid w:val="0"/>
              <w:rPr>
                <w:rFonts w:ascii="Arial" w:eastAsia="Calibri" w:hAnsi="Arial" w:cs="Arial"/>
                <w:b/>
                <w:bCs/>
                <w:color w:val="auto"/>
                <w:lang w:val="en-AU"/>
              </w:rPr>
            </w:pPr>
            <w:r w:rsidRPr="00717BA5">
              <w:rPr>
                <w:rFonts w:ascii="Arial" w:eastAsia="Times New Roman" w:hAnsi="Arial" w:cs="Arial"/>
                <w:b/>
                <w:bCs/>
                <w:color w:val="auto"/>
                <w:lang w:val="en-AU"/>
              </w:rPr>
              <w:t>In Service Benefit Rates</w:t>
            </w:r>
          </w:p>
        </w:tc>
      </w:tr>
      <w:tr w:rsidR="00717BA5" w:rsidRPr="00717BA5" w14:paraId="2BD9D873" w14:textId="77777777" w:rsidTr="00F0752D">
        <w:trPr>
          <w:trHeight w:val="315"/>
        </w:trPr>
        <w:tc>
          <w:tcPr>
            <w:tcW w:w="5000" w:type="pct"/>
            <w:gridSpan w:val="4"/>
            <w:tcBorders>
              <w:left w:val="nil"/>
              <w:bottom w:val="nil"/>
              <w:right w:val="nil"/>
            </w:tcBorders>
            <w:shd w:val="clear" w:color="000000" w:fill="FFFFFF"/>
            <w:vAlign w:val="bottom"/>
          </w:tcPr>
          <w:p w14:paraId="237A74A6" w14:textId="77777777" w:rsidR="00717BA5" w:rsidRPr="00717BA5" w:rsidRDefault="00717BA5" w:rsidP="00717BA5">
            <w:pPr>
              <w:adjustRightInd w:val="0"/>
              <w:snapToGrid w:val="0"/>
              <w:rPr>
                <w:rFonts w:ascii="Arial" w:eastAsia="Times New Roman" w:hAnsi="Arial" w:cs="Arial"/>
                <w:color w:val="auto"/>
                <w:sz w:val="24"/>
                <w:szCs w:val="24"/>
                <w:lang w:val="en-AU"/>
              </w:rPr>
            </w:pPr>
            <w:r w:rsidRPr="00717BA5">
              <w:rPr>
                <w:rFonts w:ascii="Arial" w:eastAsia="Times New Roman" w:hAnsi="Arial" w:cs="Arial"/>
                <w:color w:val="auto"/>
                <w:lang w:val="en-AU"/>
              </w:rPr>
              <w:t xml:space="preserve">The rates </w:t>
            </w:r>
            <w:r w:rsidRPr="00717BA5">
              <w:rPr>
                <w:rFonts w:ascii="Arial" w:eastAsia="Calibri" w:hAnsi="Arial" w:cs="Arial"/>
                <w:color w:val="auto"/>
                <w:lang w:val="en-AU"/>
              </w:rPr>
              <w:t>at</w:t>
            </w:r>
            <w:r w:rsidRPr="00717BA5">
              <w:rPr>
                <w:rFonts w:ascii="Arial" w:eastAsia="Calibri" w:hAnsi="Arial" w:cs="Arial"/>
                <w:color w:val="auto"/>
                <w:spacing w:val="-4"/>
                <w:lang w:val="en-AU"/>
              </w:rPr>
              <w:t xml:space="preserve"> </w:t>
            </w:r>
            <w:r w:rsidRPr="00717BA5">
              <w:rPr>
                <w:rFonts w:ascii="Arial" w:eastAsia="Calibri" w:hAnsi="Arial" w:cs="Arial"/>
                <w:color w:val="auto"/>
                <w:spacing w:val="-1"/>
                <w:lang w:val="en-AU"/>
              </w:rPr>
              <w:t>which</w:t>
            </w:r>
            <w:r w:rsidRPr="00717BA5">
              <w:rPr>
                <w:rFonts w:ascii="Arial" w:eastAsia="Calibri" w:hAnsi="Arial" w:cs="Arial"/>
                <w:color w:val="auto"/>
                <w:spacing w:val="-5"/>
                <w:lang w:val="en-AU"/>
              </w:rPr>
              <w:t xml:space="preserve"> </w:t>
            </w:r>
            <w:r w:rsidRPr="00717BA5">
              <w:rPr>
                <w:rFonts w:ascii="Arial" w:eastAsia="Calibri" w:hAnsi="Arial" w:cs="Arial"/>
                <w:color w:val="auto"/>
                <w:lang w:val="en-AU"/>
              </w:rPr>
              <w:t>workers</w:t>
            </w:r>
            <w:r w:rsidRPr="00717BA5">
              <w:rPr>
                <w:rFonts w:ascii="Arial" w:eastAsia="Calibri" w:hAnsi="Arial" w:cs="Arial"/>
                <w:color w:val="auto"/>
                <w:spacing w:val="-6"/>
                <w:lang w:val="en-AU"/>
              </w:rPr>
              <w:t xml:space="preserve"> </w:t>
            </w:r>
            <w:r w:rsidRPr="00717BA5">
              <w:rPr>
                <w:rFonts w:ascii="Arial" w:eastAsia="Calibri" w:hAnsi="Arial" w:cs="Arial"/>
                <w:color w:val="auto"/>
                <w:lang w:val="en-AU"/>
              </w:rPr>
              <w:t>with different periods of service might take their benefit vary as</w:t>
            </w:r>
            <w:r w:rsidRPr="00717BA5">
              <w:rPr>
                <w:rFonts w:ascii="Arial" w:eastAsia="Calibri" w:hAnsi="Arial" w:cs="Arial"/>
                <w:color w:val="auto"/>
                <w:spacing w:val="-1"/>
                <w:lang w:val="en-AU"/>
              </w:rPr>
              <w:t xml:space="preserve"> follows:</w:t>
            </w:r>
          </w:p>
        </w:tc>
      </w:tr>
      <w:tr w:rsidR="00717BA5" w:rsidRPr="00717BA5" w14:paraId="58FBEC5E" w14:textId="77777777" w:rsidTr="00F0752D">
        <w:trPr>
          <w:trHeight w:val="315"/>
        </w:trPr>
        <w:tc>
          <w:tcPr>
            <w:tcW w:w="3424" w:type="pct"/>
            <w:tcBorders>
              <w:left w:val="nil"/>
              <w:bottom w:val="nil"/>
              <w:right w:val="nil"/>
            </w:tcBorders>
            <w:shd w:val="clear" w:color="000000" w:fill="FFFFFF"/>
            <w:vAlign w:val="bottom"/>
          </w:tcPr>
          <w:p w14:paraId="5F518CF1"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In Service Benefit Rate</w:t>
            </w:r>
          </w:p>
        </w:tc>
        <w:tc>
          <w:tcPr>
            <w:tcW w:w="633" w:type="pct"/>
            <w:tcBorders>
              <w:left w:val="nil"/>
              <w:right w:val="nil"/>
            </w:tcBorders>
            <w:shd w:val="clear" w:color="000000" w:fill="FFFFFF"/>
            <w:vAlign w:val="bottom"/>
          </w:tcPr>
          <w:p w14:paraId="5698D93C"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305" w:type="pct"/>
            <w:tcBorders>
              <w:left w:val="nil"/>
              <w:right w:val="nil"/>
            </w:tcBorders>
            <w:shd w:val="clear" w:color="000000" w:fill="FFFFFF"/>
            <w:vAlign w:val="bottom"/>
          </w:tcPr>
          <w:p w14:paraId="40D2AAEA"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left w:val="nil"/>
              <w:right w:val="nil"/>
            </w:tcBorders>
            <w:shd w:val="clear" w:color="000000" w:fill="FFFFFF"/>
            <w:noWrap/>
            <w:vAlign w:val="bottom"/>
          </w:tcPr>
          <w:p w14:paraId="6CF39DDC"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69D7C948" w14:textId="77777777" w:rsidTr="00F0752D">
        <w:trPr>
          <w:trHeight w:val="315"/>
        </w:trPr>
        <w:tc>
          <w:tcPr>
            <w:tcW w:w="3424" w:type="pct"/>
            <w:tcBorders>
              <w:left w:val="nil"/>
              <w:bottom w:val="nil"/>
              <w:right w:val="nil"/>
            </w:tcBorders>
            <w:shd w:val="clear" w:color="000000" w:fill="FFFFFF"/>
            <w:vAlign w:val="bottom"/>
          </w:tcPr>
          <w:p w14:paraId="53A7BE45"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less than 5 years of service</w:t>
            </w:r>
          </w:p>
        </w:tc>
        <w:tc>
          <w:tcPr>
            <w:tcW w:w="633" w:type="pct"/>
            <w:tcBorders>
              <w:left w:val="nil"/>
              <w:right w:val="nil"/>
            </w:tcBorders>
            <w:shd w:val="clear" w:color="000000" w:fill="FFFFFF"/>
            <w:vAlign w:val="bottom"/>
          </w:tcPr>
          <w:p w14:paraId="653B3B06"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0%</w:t>
            </w:r>
          </w:p>
        </w:tc>
        <w:tc>
          <w:tcPr>
            <w:tcW w:w="305" w:type="pct"/>
            <w:tcBorders>
              <w:left w:val="nil"/>
              <w:right w:val="nil"/>
            </w:tcBorders>
            <w:shd w:val="clear" w:color="000000" w:fill="FFFFFF"/>
            <w:vAlign w:val="bottom"/>
          </w:tcPr>
          <w:p w14:paraId="2C544CD7"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3914B104"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0%</w:t>
            </w:r>
          </w:p>
        </w:tc>
      </w:tr>
      <w:tr w:rsidR="00717BA5" w:rsidRPr="00717BA5" w14:paraId="79396B36" w14:textId="77777777" w:rsidTr="00F0752D">
        <w:trPr>
          <w:trHeight w:val="315"/>
        </w:trPr>
        <w:tc>
          <w:tcPr>
            <w:tcW w:w="3424" w:type="pct"/>
            <w:tcBorders>
              <w:left w:val="nil"/>
              <w:bottom w:val="nil"/>
              <w:right w:val="nil"/>
            </w:tcBorders>
            <w:shd w:val="clear" w:color="000000" w:fill="FFFFFF"/>
            <w:vAlign w:val="bottom"/>
          </w:tcPr>
          <w:p w14:paraId="1651BF67"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5 years of service</w:t>
            </w:r>
          </w:p>
        </w:tc>
        <w:tc>
          <w:tcPr>
            <w:tcW w:w="633" w:type="pct"/>
            <w:tcBorders>
              <w:left w:val="nil"/>
              <w:right w:val="nil"/>
            </w:tcBorders>
            <w:shd w:val="clear" w:color="000000" w:fill="FFFFFF"/>
            <w:vAlign w:val="bottom"/>
          </w:tcPr>
          <w:p w14:paraId="592889A4"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4%</w:t>
            </w:r>
          </w:p>
        </w:tc>
        <w:tc>
          <w:tcPr>
            <w:tcW w:w="305" w:type="pct"/>
            <w:tcBorders>
              <w:left w:val="nil"/>
              <w:right w:val="nil"/>
            </w:tcBorders>
            <w:shd w:val="clear" w:color="000000" w:fill="FFFFFF"/>
            <w:vAlign w:val="bottom"/>
          </w:tcPr>
          <w:p w14:paraId="03352D67"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2A1B6D36"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4%</w:t>
            </w:r>
          </w:p>
        </w:tc>
      </w:tr>
      <w:tr w:rsidR="00717BA5" w:rsidRPr="00717BA5" w14:paraId="2E2A195C" w14:textId="77777777" w:rsidTr="00F0752D">
        <w:trPr>
          <w:trHeight w:val="315"/>
        </w:trPr>
        <w:tc>
          <w:tcPr>
            <w:tcW w:w="3424" w:type="pct"/>
            <w:tcBorders>
              <w:left w:val="nil"/>
              <w:bottom w:val="nil"/>
              <w:right w:val="nil"/>
            </w:tcBorders>
            <w:shd w:val="clear" w:color="000000" w:fill="FFFFFF"/>
            <w:vAlign w:val="bottom"/>
          </w:tcPr>
          <w:p w14:paraId="2AD2E91C"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6 years of service</w:t>
            </w:r>
          </w:p>
        </w:tc>
        <w:tc>
          <w:tcPr>
            <w:tcW w:w="633" w:type="pct"/>
            <w:tcBorders>
              <w:left w:val="nil"/>
              <w:right w:val="nil"/>
            </w:tcBorders>
            <w:shd w:val="clear" w:color="000000" w:fill="FFFFFF"/>
            <w:vAlign w:val="bottom"/>
          </w:tcPr>
          <w:p w14:paraId="78459FA0"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6%</w:t>
            </w:r>
          </w:p>
        </w:tc>
        <w:tc>
          <w:tcPr>
            <w:tcW w:w="305" w:type="pct"/>
            <w:tcBorders>
              <w:left w:val="nil"/>
              <w:right w:val="nil"/>
            </w:tcBorders>
            <w:shd w:val="clear" w:color="000000" w:fill="FFFFFF"/>
            <w:vAlign w:val="bottom"/>
          </w:tcPr>
          <w:p w14:paraId="2209AFC4"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68A8C8BE"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6%</w:t>
            </w:r>
          </w:p>
        </w:tc>
      </w:tr>
      <w:tr w:rsidR="00717BA5" w:rsidRPr="00717BA5" w14:paraId="283DDE87" w14:textId="77777777" w:rsidTr="00F0752D">
        <w:trPr>
          <w:trHeight w:val="315"/>
        </w:trPr>
        <w:tc>
          <w:tcPr>
            <w:tcW w:w="3424" w:type="pct"/>
            <w:tcBorders>
              <w:left w:val="nil"/>
              <w:bottom w:val="nil"/>
              <w:right w:val="nil"/>
            </w:tcBorders>
            <w:shd w:val="clear" w:color="000000" w:fill="FFFFFF"/>
            <w:vAlign w:val="bottom"/>
          </w:tcPr>
          <w:p w14:paraId="201BAD53"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7 years of service</w:t>
            </w:r>
          </w:p>
        </w:tc>
        <w:tc>
          <w:tcPr>
            <w:tcW w:w="633" w:type="pct"/>
            <w:tcBorders>
              <w:left w:val="nil"/>
              <w:right w:val="nil"/>
            </w:tcBorders>
            <w:shd w:val="clear" w:color="000000" w:fill="FFFFFF"/>
            <w:vAlign w:val="bottom"/>
          </w:tcPr>
          <w:p w14:paraId="60D506E4"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7%</w:t>
            </w:r>
          </w:p>
        </w:tc>
        <w:tc>
          <w:tcPr>
            <w:tcW w:w="305" w:type="pct"/>
            <w:tcBorders>
              <w:left w:val="nil"/>
              <w:right w:val="nil"/>
            </w:tcBorders>
            <w:shd w:val="clear" w:color="000000" w:fill="FFFFFF"/>
            <w:vAlign w:val="bottom"/>
          </w:tcPr>
          <w:p w14:paraId="67764C71"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405F6F4E"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7%</w:t>
            </w:r>
          </w:p>
        </w:tc>
      </w:tr>
      <w:tr w:rsidR="00717BA5" w:rsidRPr="00717BA5" w14:paraId="65D577FB" w14:textId="77777777" w:rsidTr="00F0752D">
        <w:trPr>
          <w:trHeight w:val="315"/>
        </w:trPr>
        <w:tc>
          <w:tcPr>
            <w:tcW w:w="3424" w:type="pct"/>
            <w:tcBorders>
              <w:left w:val="nil"/>
              <w:bottom w:val="nil"/>
              <w:right w:val="nil"/>
            </w:tcBorders>
            <w:shd w:val="clear" w:color="000000" w:fill="FFFFFF"/>
            <w:vAlign w:val="bottom"/>
          </w:tcPr>
          <w:p w14:paraId="688E96B1"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8 or more years of service</w:t>
            </w:r>
          </w:p>
        </w:tc>
        <w:tc>
          <w:tcPr>
            <w:tcW w:w="633" w:type="pct"/>
            <w:tcBorders>
              <w:left w:val="nil"/>
              <w:right w:val="nil"/>
            </w:tcBorders>
            <w:shd w:val="clear" w:color="000000" w:fill="FFFFFF"/>
            <w:vAlign w:val="bottom"/>
          </w:tcPr>
          <w:p w14:paraId="4137E03D"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5%</w:t>
            </w:r>
          </w:p>
        </w:tc>
        <w:tc>
          <w:tcPr>
            <w:tcW w:w="305" w:type="pct"/>
            <w:tcBorders>
              <w:left w:val="nil"/>
              <w:right w:val="nil"/>
            </w:tcBorders>
            <w:shd w:val="clear" w:color="000000" w:fill="FFFFFF"/>
            <w:vAlign w:val="bottom"/>
          </w:tcPr>
          <w:p w14:paraId="17A25922"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4A422014"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5%</w:t>
            </w:r>
          </w:p>
        </w:tc>
      </w:tr>
      <w:tr w:rsidR="00717BA5" w:rsidRPr="00717BA5" w14:paraId="5648FB67" w14:textId="77777777" w:rsidTr="00F0752D">
        <w:trPr>
          <w:trHeight w:val="315"/>
        </w:trPr>
        <w:tc>
          <w:tcPr>
            <w:tcW w:w="3424" w:type="pct"/>
            <w:tcBorders>
              <w:left w:val="nil"/>
              <w:bottom w:val="nil"/>
              <w:right w:val="nil"/>
            </w:tcBorders>
            <w:shd w:val="clear" w:color="000000" w:fill="FFFFFF"/>
            <w:vAlign w:val="bottom"/>
          </w:tcPr>
          <w:p w14:paraId="4968B46C"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p>
        </w:tc>
        <w:tc>
          <w:tcPr>
            <w:tcW w:w="633" w:type="pct"/>
            <w:tcBorders>
              <w:left w:val="nil"/>
              <w:right w:val="nil"/>
            </w:tcBorders>
            <w:shd w:val="clear" w:color="000000" w:fill="FFFFFF"/>
            <w:vAlign w:val="bottom"/>
          </w:tcPr>
          <w:p w14:paraId="50DE5DB6"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305" w:type="pct"/>
            <w:tcBorders>
              <w:left w:val="nil"/>
              <w:right w:val="nil"/>
            </w:tcBorders>
            <w:shd w:val="clear" w:color="000000" w:fill="FFFFFF"/>
            <w:vAlign w:val="bottom"/>
          </w:tcPr>
          <w:p w14:paraId="7DBDFE15"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left w:val="nil"/>
              <w:right w:val="nil"/>
            </w:tcBorders>
            <w:shd w:val="clear" w:color="000000" w:fill="FFFFFF"/>
            <w:noWrap/>
            <w:vAlign w:val="bottom"/>
          </w:tcPr>
          <w:p w14:paraId="7CC96C34"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r>
      <w:tr w:rsidR="00717BA5" w:rsidRPr="00717BA5" w14:paraId="32CD3830" w14:textId="77777777" w:rsidTr="00F0752D">
        <w:trPr>
          <w:trHeight w:val="315"/>
        </w:trPr>
        <w:tc>
          <w:tcPr>
            <w:tcW w:w="3424" w:type="pct"/>
            <w:tcBorders>
              <w:left w:val="nil"/>
              <w:bottom w:val="nil"/>
              <w:right w:val="nil"/>
            </w:tcBorders>
            <w:shd w:val="clear" w:color="000000" w:fill="FFFFFF"/>
            <w:vAlign w:val="bottom"/>
          </w:tcPr>
          <w:p w14:paraId="48E189A4" w14:textId="77777777" w:rsidR="00717BA5" w:rsidRPr="00717BA5" w:rsidRDefault="00717BA5" w:rsidP="00717BA5">
            <w:pPr>
              <w:adjustRightInd w:val="0"/>
              <w:snapToGrid w:val="0"/>
              <w:rPr>
                <w:rFonts w:ascii="Arial" w:eastAsia="Calibri" w:hAnsi="Arial" w:cs="Arial"/>
                <w:b/>
                <w:bCs/>
                <w:color w:val="auto"/>
                <w:lang w:val="en-AU"/>
              </w:rPr>
            </w:pPr>
            <w:r w:rsidRPr="00717BA5">
              <w:rPr>
                <w:rFonts w:ascii="Arial" w:eastAsia="Calibri" w:hAnsi="Arial" w:cs="Arial"/>
                <w:b/>
                <w:bCs/>
                <w:color w:val="auto"/>
                <w:lang w:val="en-AU"/>
              </w:rPr>
              <w:t>Discount Rate</w:t>
            </w:r>
          </w:p>
        </w:tc>
        <w:tc>
          <w:tcPr>
            <w:tcW w:w="633" w:type="pct"/>
            <w:tcBorders>
              <w:left w:val="nil"/>
              <w:right w:val="nil"/>
            </w:tcBorders>
            <w:shd w:val="clear" w:color="000000" w:fill="FFFFFF"/>
            <w:vAlign w:val="bottom"/>
          </w:tcPr>
          <w:p w14:paraId="0F6A2FA6"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305" w:type="pct"/>
            <w:tcBorders>
              <w:left w:val="nil"/>
              <w:right w:val="nil"/>
            </w:tcBorders>
            <w:shd w:val="clear" w:color="000000" w:fill="FFFFFF"/>
            <w:vAlign w:val="bottom"/>
          </w:tcPr>
          <w:p w14:paraId="77B2A953"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left w:val="nil"/>
              <w:right w:val="nil"/>
            </w:tcBorders>
            <w:shd w:val="clear" w:color="000000" w:fill="FFFFFF"/>
            <w:noWrap/>
            <w:vAlign w:val="bottom"/>
          </w:tcPr>
          <w:p w14:paraId="1C16D3EF"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 </w:t>
            </w:r>
          </w:p>
        </w:tc>
      </w:tr>
      <w:tr w:rsidR="00717BA5" w:rsidRPr="00717BA5" w14:paraId="18A58A87" w14:textId="77777777" w:rsidTr="00F0752D">
        <w:trPr>
          <w:trHeight w:val="315"/>
        </w:trPr>
        <w:tc>
          <w:tcPr>
            <w:tcW w:w="5000" w:type="pct"/>
            <w:gridSpan w:val="4"/>
            <w:tcBorders>
              <w:left w:val="nil"/>
              <w:bottom w:val="nil"/>
              <w:right w:val="nil"/>
            </w:tcBorders>
            <w:shd w:val="clear" w:color="000000" w:fill="FFFFFF"/>
            <w:vAlign w:val="bottom"/>
          </w:tcPr>
          <w:p w14:paraId="05F16468" w14:textId="77777777" w:rsidR="00717BA5" w:rsidRPr="00717BA5" w:rsidRDefault="00717BA5" w:rsidP="00717BA5">
            <w:pPr>
              <w:adjustRightInd w:val="0"/>
              <w:snapToGrid w:val="0"/>
              <w:rPr>
                <w:rFonts w:ascii="Arial" w:eastAsia="Calibri" w:hAnsi="Arial" w:cs="Arial"/>
                <w:color w:val="auto"/>
                <w:lang w:val="en-AU"/>
              </w:rPr>
            </w:pPr>
            <w:r w:rsidRPr="00717BA5">
              <w:rPr>
                <w:rFonts w:ascii="Arial" w:eastAsia="Calibri" w:hAnsi="Arial" w:cs="Arial"/>
                <w:color w:val="auto"/>
                <w:spacing w:val="-1"/>
              </w:rPr>
              <w:t xml:space="preserve">The discount rate used to estimate the present value of long service leave provisions is the expected return on assets, which was also used in ACT Leave’s triennial actuarial valuations to determine contribution levies. ACT Leave and its’ actuary regarded the expected return on assets to be a reliable measure, according to AASB 137 </w:t>
            </w:r>
            <w:r w:rsidRPr="00717BA5">
              <w:rPr>
                <w:rFonts w:ascii="Arial" w:eastAsia="Calibri" w:hAnsi="Arial" w:cs="Arial"/>
                <w:i/>
                <w:iCs/>
                <w:color w:val="auto"/>
                <w:spacing w:val="-1"/>
              </w:rPr>
              <w:t>‘Provisions, Contingent Assets and Contingent Liabilities’</w:t>
            </w:r>
            <w:r w:rsidRPr="00717BA5">
              <w:rPr>
                <w:rFonts w:ascii="Arial" w:eastAsia="Calibri" w:hAnsi="Arial" w:cs="Arial"/>
                <w:color w:val="auto"/>
                <w:spacing w:val="-1"/>
              </w:rPr>
              <w:t>, of the time value of money for the long service leave liabilities. The expected return on assets used as a discount rate, 5.6% per annum at 30 June 2026 (30 June 2025: 6.0% per annum), is based on the long-term return rate of ACT Leave’s investments, with funds invested in accordance with the strategic asset allocation prescribed in ACT Leave’s Investment Plan, approved by the Treasurer. ACT Leave may, from time to time, vary the discount rate based on an assessment of investment conditions.</w:t>
            </w:r>
          </w:p>
        </w:tc>
      </w:tr>
      <w:tr w:rsidR="00717BA5" w:rsidRPr="00717BA5" w14:paraId="3F29AC7F" w14:textId="77777777" w:rsidTr="00F0752D">
        <w:trPr>
          <w:trHeight w:val="315"/>
        </w:trPr>
        <w:tc>
          <w:tcPr>
            <w:tcW w:w="3424" w:type="pct"/>
            <w:tcBorders>
              <w:left w:val="nil"/>
              <w:bottom w:val="nil"/>
              <w:right w:val="nil"/>
            </w:tcBorders>
            <w:shd w:val="clear" w:color="000000" w:fill="FFFFFF"/>
            <w:vAlign w:val="bottom"/>
          </w:tcPr>
          <w:p w14:paraId="21C01EFB" w14:textId="77777777" w:rsidR="00717BA5" w:rsidRPr="00717BA5" w:rsidRDefault="00717BA5" w:rsidP="00717BA5">
            <w:pPr>
              <w:adjustRightInd w:val="0"/>
              <w:snapToGrid w:val="0"/>
              <w:rPr>
                <w:rFonts w:ascii="Arial" w:eastAsia="Calibri" w:hAnsi="Arial" w:cs="Arial"/>
                <w:b/>
                <w:bCs/>
                <w:color w:val="auto"/>
                <w:lang w:val="en-AU"/>
              </w:rPr>
            </w:pPr>
            <w:r w:rsidRPr="00717BA5">
              <w:rPr>
                <w:rFonts w:ascii="Arial" w:eastAsia="Calibri" w:hAnsi="Arial" w:cs="Arial"/>
                <w:b/>
                <w:bCs/>
                <w:color w:val="auto"/>
                <w:lang w:val="en-AU"/>
              </w:rPr>
              <w:t>Increase in future wages</w:t>
            </w:r>
          </w:p>
        </w:tc>
        <w:tc>
          <w:tcPr>
            <w:tcW w:w="633" w:type="pct"/>
            <w:tcBorders>
              <w:left w:val="nil"/>
              <w:right w:val="nil"/>
            </w:tcBorders>
            <w:shd w:val="clear" w:color="000000" w:fill="FFFFFF"/>
            <w:vAlign w:val="bottom"/>
          </w:tcPr>
          <w:p w14:paraId="62715707"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305" w:type="pct"/>
            <w:tcBorders>
              <w:left w:val="nil"/>
              <w:right w:val="nil"/>
            </w:tcBorders>
            <w:shd w:val="clear" w:color="000000" w:fill="FFFFFF"/>
            <w:vAlign w:val="bottom"/>
          </w:tcPr>
          <w:p w14:paraId="31248B33"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left w:val="nil"/>
              <w:right w:val="nil"/>
            </w:tcBorders>
            <w:shd w:val="clear" w:color="000000" w:fill="FFFFFF"/>
            <w:noWrap/>
            <w:vAlign w:val="bottom"/>
          </w:tcPr>
          <w:p w14:paraId="61FCED54"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 </w:t>
            </w:r>
          </w:p>
        </w:tc>
      </w:tr>
      <w:tr w:rsidR="00717BA5" w:rsidRPr="00717BA5" w14:paraId="60BE930B" w14:textId="77777777" w:rsidTr="00F0752D">
        <w:trPr>
          <w:trHeight w:val="315"/>
        </w:trPr>
        <w:tc>
          <w:tcPr>
            <w:tcW w:w="5000" w:type="pct"/>
            <w:gridSpan w:val="4"/>
            <w:tcBorders>
              <w:left w:val="nil"/>
              <w:bottom w:val="nil"/>
              <w:right w:val="nil"/>
            </w:tcBorders>
            <w:shd w:val="clear" w:color="000000" w:fill="FFFFFF"/>
            <w:vAlign w:val="bottom"/>
          </w:tcPr>
          <w:p w14:paraId="3CCB5D14" w14:textId="77777777" w:rsidR="00717BA5" w:rsidRPr="00717BA5" w:rsidRDefault="00717BA5" w:rsidP="00717BA5">
            <w:pPr>
              <w:adjustRightInd w:val="0"/>
              <w:snapToGrid w:val="0"/>
              <w:rPr>
                <w:rFonts w:ascii="Arial" w:eastAsia="Calibri" w:hAnsi="Arial" w:cs="Arial"/>
                <w:color w:val="auto"/>
                <w:spacing w:val="-1"/>
              </w:rPr>
            </w:pPr>
            <w:r w:rsidRPr="00717BA5">
              <w:rPr>
                <w:rFonts w:ascii="Arial" w:eastAsia="Calibri" w:hAnsi="Arial" w:cs="Arial"/>
                <w:color w:val="auto"/>
                <w:spacing w:val="-1"/>
              </w:rPr>
              <w:t>Increases in future wages due to inflation of 2.5% per annum at 30 June 2026 (30 June 2025: 3.0% for the next year and 2.5% per annum thereafter).</w:t>
            </w:r>
          </w:p>
        </w:tc>
      </w:tr>
      <w:tr w:rsidR="00717BA5" w:rsidRPr="00717BA5" w14:paraId="1DF633C1" w14:textId="77777777" w:rsidTr="00F0752D">
        <w:trPr>
          <w:trHeight w:val="315"/>
        </w:trPr>
        <w:tc>
          <w:tcPr>
            <w:tcW w:w="3424" w:type="pct"/>
            <w:tcBorders>
              <w:left w:val="nil"/>
              <w:bottom w:val="nil"/>
              <w:right w:val="nil"/>
            </w:tcBorders>
            <w:shd w:val="clear" w:color="000000" w:fill="FFFFFF"/>
            <w:vAlign w:val="bottom"/>
          </w:tcPr>
          <w:p w14:paraId="0A1BF17B" w14:textId="77777777" w:rsidR="00717BA5" w:rsidRPr="00717BA5" w:rsidRDefault="00717BA5" w:rsidP="00717BA5">
            <w:pPr>
              <w:widowControl w:val="0"/>
              <w:tabs>
                <w:tab w:val="left" w:pos="833"/>
              </w:tabs>
              <w:spacing w:before="38" w:after="0" w:line="240" w:lineRule="auto"/>
              <w:jc w:val="both"/>
              <w:rPr>
                <w:rFonts w:ascii="Arial" w:eastAsia="Calibri" w:hAnsi="Arial" w:cs="Arial"/>
                <w:b/>
                <w:bCs/>
                <w:color w:val="auto"/>
                <w:sz w:val="18"/>
                <w:szCs w:val="18"/>
                <w:lang w:val="en-AU" w:eastAsia="en-US"/>
              </w:rPr>
            </w:pPr>
            <w:r w:rsidRPr="00717BA5">
              <w:rPr>
                <w:rFonts w:ascii="Arial" w:eastAsia="Calibri" w:hAnsi="Arial" w:cs="Arial"/>
                <w:b/>
                <w:bCs/>
                <w:color w:val="auto"/>
                <w:sz w:val="18"/>
                <w:szCs w:val="18"/>
                <w:lang w:eastAsia="en-US"/>
              </w:rPr>
              <w:t>Increases in future wages (per annum) based on a service-based wage progression scale over and above inflation</w:t>
            </w:r>
          </w:p>
        </w:tc>
        <w:tc>
          <w:tcPr>
            <w:tcW w:w="633" w:type="pct"/>
            <w:tcBorders>
              <w:left w:val="nil"/>
              <w:right w:val="nil"/>
            </w:tcBorders>
            <w:shd w:val="clear" w:color="000000" w:fill="FFFFFF"/>
            <w:vAlign w:val="bottom"/>
          </w:tcPr>
          <w:p w14:paraId="6D0B9F0C"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305" w:type="pct"/>
            <w:tcBorders>
              <w:left w:val="nil"/>
              <w:right w:val="nil"/>
            </w:tcBorders>
            <w:shd w:val="clear" w:color="000000" w:fill="FFFFFF"/>
            <w:vAlign w:val="bottom"/>
          </w:tcPr>
          <w:p w14:paraId="71E1855E"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p>
        </w:tc>
        <w:tc>
          <w:tcPr>
            <w:tcW w:w="638" w:type="pct"/>
            <w:tcBorders>
              <w:left w:val="nil"/>
              <w:right w:val="nil"/>
            </w:tcBorders>
            <w:shd w:val="clear" w:color="000000" w:fill="FFFFFF"/>
            <w:noWrap/>
            <w:vAlign w:val="bottom"/>
          </w:tcPr>
          <w:p w14:paraId="73C66AA5"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0E866F7A" w14:textId="77777777" w:rsidTr="00F0752D">
        <w:trPr>
          <w:trHeight w:val="315"/>
        </w:trPr>
        <w:tc>
          <w:tcPr>
            <w:tcW w:w="3424" w:type="pct"/>
            <w:tcBorders>
              <w:left w:val="nil"/>
              <w:right w:val="nil"/>
            </w:tcBorders>
            <w:shd w:val="clear" w:color="000000" w:fill="FFFFFF"/>
            <w:vAlign w:val="bottom"/>
          </w:tcPr>
          <w:p w14:paraId="092C37AD"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less than 1 year of service</w:t>
            </w:r>
          </w:p>
        </w:tc>
        <w:tc>
          <w:tcPr>
            <w:tcW w:w="633" w:type="pct"/>
            <w:tcBorders>
              <w:left w:val="nil"/>
              <w:right w:val="nil"/>
            </w:tcBorders>
            <w:shd w:val="clear" w:color="000000" w:fill="FFFFFF"/>
            <w:vAlign w:val="bottom"/>
          </w:tcPr>
          <w:p w14:paraId="0060A30C"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25%</w:t>
            </w:r>
          </w:p>
        </w:tc>
        <w:tc>
          <w:tcPr>
            <w:tcW w:w="305" w:type="pct"/>
            <w:tcBorders>
              <w:left w:val="nil"/>
              <w:right w:val="nil"/>
            </w:tcBorders>
            <w:shd w:val="clear" w:color="000000" w:fill="FFFFFF"/>
            <w:vAlign w:val="bottom"/>
          </w:tcPr>
          <w:p w14:paraId="165BA382"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549C62C8"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25%</w:t>
            </w:r>
          </w:p>
        </w:tc>
      </w:tr>
      <w:tr w:rsidR="00717BA5" w:rsidRPr="00717BA5" w14:paraId="4456C3F4" w14:textId="77777777" w:rsidTr="00F0752D">
        <w:trPr>
          <w:trHeight w:val="315"/>
        </w:trPr>
        <w:tc>
          <w:tcPr>
            <w:tcW w:w="3424" w:type="pct"/>
            <w:tcBorders>
              <w:left w:val="nil"/>
              <w:right w:val="nil"/>
            </w:tcBorders>
            <w:shd w:val="clear" w:color="000000" w:fill="FFFFFF"/>
            <w:vAlign w:val="bottom"/>
          </w:tcPr>
          <w:p w14:paraId="566F58AF"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1 year of service</w:t>
            </w:r>
          </w:p>
        </w:tc>
        <w:tc>
          <w:tcPr>
            <w:tcW w:w="633" w:type="pct"/>
            <w:tcBorders>
              <w:left w:val="nil"/>
              <w:right w:val="nil"/>
            </w:tcBorders>
            <w:shd w:val="clear" w:color="000000" w:fill="FFFFFF"/>
            <w:vAlign w:val="bottom"/>
          </w:tcPr>
          <w:p w14:paraId="08AA28B7"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15%</w:t>
            </w:r>
          </w:p>
        </w:tc>
        <w:tc>
          <w:tcPr>
            <w:tcW w:w="305" w:type="pct"/>
            <w:tcBorders>
              <w:left w:val="nil"/>
              <w:right w:val="nil"/>
            </w:tcBorders>
            <w:shd w:val="clear" w:color="000000" w:fill="FFFFFF"/>
            <w:vAlign w:val="bottom"/>
          </w:tcPr>
          <w:p w14:paraId="02E8A09E"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3166805A"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15%</w:t>
            </w:r>
          </w:p>
        </w:tc>
      </w:tr>
      <w:tr w:rsidR="00717BA5" w:rsidRPr="00717BA5" w14:paraId="513CA352" w14:textId="77777777" w:rsidTr="00F0752D">
        <w:trPr>
          <w:trHeight w:val="315"/>
        </w:trPr>
        <w:tc>
          <w:tcPr>
            <w:tcW w:w="3424" w:type="pct"/>
            <w:tcBorders>
              <w:left w:val="nil"/>
              <w:right w:val="nil"/>
            </w:tcBorders>
            <w:shd w:val="clear" w:color="000000" w:fill="FFFFFF"/>
            <w:vAlign w:val="bottom"/>
          </w:tcPr>
          <w:p w14:paraId="4FA84E84"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2 years of service</w:t>
            </w:r>
          </w:p>
        </w:tc>
        <w:tc>
          <w:tcPr>
            <w:tcW w:w="633" w:type="pct"/>
            <w:tcBorders>
              <w:left w:val="nil"/>
              <w:right w:val="nil"/>
            </w:tcBorders>
            <w:shd w:val="clear" w:color="000000" w:fill="FFFFFF"/>
            <w:vAlign w:val="bottom"/>
          </w:tcPr>
          <w:p w14:paraId="06D906DB"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8%</w:t>
            </w:r>
          </w:p>
        </w:tc>
        <w:tc>
          <w:tcPr>
            <w:tcW w:w="305" w:type="pct"/>
            <w:tcBorders>
              <w:left w:val="nil"/>
              <w:right w:val="nil"/>
            </w:tcBorders>
            <w:shd w:val="clear" w:color="000000" w:fill="FFFFFF"/>
            <w:vAlign w:val="bottom"/>
          </w:tcPr>
          <w:p w14:paraId="4EE8BE6C"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51DE1E48"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8%</w:t>
            </w:r>
          </w:p>
        </w:tc>
      </w:tr>
      <w:tr w:rsidR="00717BA5" w:rsidRPr="00717BA5" w14:paraId="29155075" w14:textId="77777777" w:rsidTr="00F0752D">
        <w:trPr>
          <w:trHeight w:val="315"/>
        </w:trPr>
        <w:tc>
          <w:tcPr>
            <w:tcW w:w="3424" w:type="pct"/>
            <w:tcBorders>
              <w:left w:val="nil"/>
              <w:right w:val="nil"/>
            </w:tcBorders>
            <w:shd w:val="clear" w:color="000000" w:fill="FFFFFF"/>
            <w:vAlign w:val="bottom"/>
          </w:tcPr>
          <w:p w14:paraId="1E526199"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3 - 4 years of service</w:t>
            </w:r>
          </w:p>
        </w:tc>
        <w:tc>
          <w:tcPr>
            <w:tcW w:w="633" w:type="pct"/>
            <w:tcBorders>
              <w:left w:val="nil"/>
              <w:right w:val="nil"/>
            </w:tcBorders>
            <w:shd w:val="clear" w:color="000000" w:fill="FFFFFF"/>
            <w:vAlign w:val="bottom"/>
          </w:tcPr>
          <w:p w14:paraId="5976F822"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6%</w:t>
            </w:r>
          </w:p>
        </w:tc>
        <w:tc>
          <w:tcPr>
            <w:tcW w:w="305" w:type="pct"/>
            <w:tcBorders>
              <w:left w:val="nil"/>
              <w:right w:val="nil"/>
            </w:tcBorders>
            <w:shd w:val="clear" w:color="000000" w:fill="FFFFFF"/>
            <w:vAlign w:val="bottom"/>
          </w:tcPr>
          <w:p w14:paraId="441A0A1E"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3602EB9A"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6%</w:t>
            </w:r>
          </w:p>
        </w:tc>
      </w:tr>
      <w:tr w:rsidR="00717BA5" w:rsidRPr="00717BA5" w14:paraId="1FA87581" w14:textId="77777777" w:rsidTr="00F0752D">
        <w:trPr>
          <w:trHeight w:val="315"/>
        </w:trPr>
        <w:tc>
          <w:tcPr>
            <w:tcW w:w="3424" w:type="pct"/>
            <w:tcBorders>
              <w:left w:val="nil"/>
              <w:right w:val="nil"/>
            </w:tcBorders>
            <w:shd w:val="clear" w:color="000000" w:fill="FFFFFF"/>
            <w:vAlign w:val="bottom"/>
          </w:tcPr>
          <w:p w14:paraId="31BC665B"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5 - 8 years of service</w:t>
            </w:r>
          </w:p>
        </w:tc>
        <w:tc>
          <w:tcPr>
            <w:tcW w:w="633" w:type="pct"/>
            <w:tcBorders>
              <w:left w:val="nil"/>
              <w:right w:val="nil"/>
            </w:tcBorders>
            <w:shd w:val="clear" w:color="000000" w:fill="FFFFFF"/>
            <w:vAlign w:val="bottom"/>
          </w:tcPr>
          <w:p w14:paraId="23AF8056"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5%</w:t>
            </w:r>
          </w:p>
        </w:tc>
        <w:tc>
          <w:tcPr>
            <w:tcW w:w="305" w:type="pct"/>
            <w:tcBorders>
              <w:left w:val="nil"/>
              <w:right w:val="nil"/>
            </w:tcBorders>
            <w:shd w:val="clear" w:color="000000" w:fill="FFFFFF"/>
            <w:vAlign w:val="bottom"/>
          </w:tcPr>
          <w:p w14:paraId="1EDB1D77"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570616E0"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5%</w:t>
            </w:r>
          </w:p>
        </w:tc>
      </w:tr>
      <w:tr w:rsidR="00717BA5" w:rsidRPr="00717BA5" w14:paraId="356E9DA8" w14:textId="77777777" w:rsidTr="00F0752D">
        <w:trPr>
          <w:trHeight w:val="315"/>
        </w:trPr>
        <w:tc>
          <w:tcPr>
            <w:tcW w:w="3424" w:type="pct"/>
            <w:tcBorders>
              <w:left w:val="nil"/>
              <w:right w:val="nil"/>
            </w:tcBorders>
            <w:shd w:val="clear" w:color="000000" w:fill="FFFFFF"/>
            <w:vAlign w:val="bottom"/>
          </w:tcPr>
          <w:p w14:paraId="1CB09F72"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9 -11 years of service</w:t>
            </w:r>
          </w:p>
        </w:tc>
        <w:tc>
          <w:tcPr>
            <w:tcW w:w="633" w:type="pct"/>
            <w:tcBorders>
              <w:left w:val="nil"/>
              <w:right w:val="nil"/>
            </w:tcBorders>
            <w:shd w:val="clear" w:color="000000" w:fill="FFFFFF"/>
            <w:vAlign w:val="bottom"/>
          </w:tcPr>
          <w:p w14:paraId="3EE19A20"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3%</w:t>
            </w:r>
          </w:p>
        </w:tc>
        <w:tc>
          <w:tcPr>
            <w:tcW w:w="305" w:type="pct"/>
            <w:tcBorders>
              <w:left w:val="nil"/>
              <w:right w:val="nil"/>
            </w:tcBorders>
            <w:shd w:val="clear" w:color="000000" w:fill="FFFFFF"/>
            <w:vAlign w:val="bottom"/>
          </w:tcPr>
          <w:p w14:paraId="6FE2A2ED"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64914E1D"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3%</w:t>
            </w:r>
          </w:p>
        </w:tc>
      </w:tr>
      <w:tr w:rsidR="00717BA5" w:rsidRPr="00717BA5" w14:paraId="51CF5933" w14:textId="77777777" w:rsidTr="00F0752D">
        <w:trPr>
          <w:trHeight w:val="315"/>
        </w:trPr>
        <w:tc>
          <w:tcPr>
            <w:tcW w:w="3424" w:type="pct"/>
            <w:tcBorders>
              <w:left w:val="nil"/>
              <w:bottom w:val="nil"/>
              <w:right w:val="nil"/>
            </w:tcBorders>
            <w:shd w:val="clear" w:color="000000" w:fill="FFFFFF"/>
            <w:vAlign w:val="bottom"/>
          </w:tcPr>
          <w:p w14:paraId="6FA2F7D1"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12 or more years of service</w:t>
            </w:r>
          </w:p>
        </w:tc>
        <w:tc>
          <w:tcPr>
            <w:tcW w:w="633" w:type="pct"/>
            <w:tcBorders>
              <w:left w:val="nil"/>
              <w:right w:val="nil"/>
            </w:tcBorders>
            <w:shd w:val="clear" w:color="000000" w:fill="FFFFFF"/>
            <w:vAlign w:val="bottom"/>
          </w:tcPr>
          <w:p w14:paraId="5A09F932"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0%</w:t>
            </w:r>
          </w:p>
        </w:tc>
        <w:tc>
          <w:tcPr>
            <w:tcW w:w="305" w:type="pct"/>
            <w:tcBorders>
              <w:left w:val="nil"/>
              <w:right w:val="nil"/>
            </w:tcBorders>
            <w:shd w:val="clear" w:color="000000" w:fill="FFFFFF"/>
            <w:vAlign w:val="bottom"/>
          </w:tcPr>
          <w:p w14:paraId="4BA9DF23"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638" w:type="pct"/>
            <w:tcBorders>
              <w:left w:val="nil"/>
              <w:right w:val="nil"/>
            </w:tcBorders>
            <w:shd w:val="clear" w:color="000000" w:fill="FFFFFF"/>
            <w:noWrap/>
            <w:vAlign w:val="bottom"/>
          </w:tcPr>
          <w:p w14:paraId="4EE211BD"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0%</w:t>
            </w:r>
          </w:p>
        </w:tc>
      </w:tr>
      <w:tr w:rsidR="00717BA5" w:rsidRPr="00717BA5" w14:paraId="1372C4E2" w14:textId="77777777" w:rsidTr="00F0752D">
        <w:trPr>
          <w:trHeight w:val="315"/>
        </w:trPr>
        <w:tc>
          <w:tcPr>
            <w:tcW w:w="3424" w:type="pct"/>
            <w:tcBorders>
              <w:left w:val="nil"/>
              <w:bottom w:val="nil"/>
              <w:right w:val="nil"/>
            </w:tcBorders>
            <w:shd w:val="clear" w:color="000000" w:fill="FFFFFF"/>
            <w:vAlign w:val="bottom"/>
          </w:tcPr>
          <w:p w14:paraId="1A9DD5B1"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p>
        </w:tc>
        <w:tc>
          <w:tcPr>
            <w:tcW w:w="633" w:type="pct"/>
            <w:tcBorders>
              <w:left w:val="nil"/>
              <w:right w:val="nil"/>
            </w:tcBorders>
            <w:shd w:val="clear" w:color="000000" w:fill="FFFFFF"/>
            <w:vAlign w:val="bottom"/>
          </w:tcPr>
          <w:p w14:paraId="341BAAD0"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p>
        </w:tc>
        <w:tc>
          <w:tcPr>
            <w:tcW w:w="305" w:type="pct"/>
            <w:tcBorders>
              <w:left w:val="nil"/>
              <w:right w:val="nil"/>
            </w:tcBorders>
            <w:shd w:val="clear" w:color="000000" w:fill="FFFFFF"/>
            <w:vAlign w:val="bottom"/>
          </w:tcPr>
          <w:p w14:paraId="2474BA4B"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p>
        </w:tc>
        <w:tc>
          <w:tcPr>
            <w:tcW w:w="638" w:type="pct"/>
            <w:tcBorders>
              <w:left w:val="nil"/>
              <w:right w:val="nil"/>
            </w:tcBorders>
            <w:shd w:val="clear" w:color="000000" w:fill="FFFFFF"/>
            <w:noWrap/>
            <w:vAlign w:val="bottom"/>
          </w:tcPr>
          <w:p w14:paraId="2D1B82B9"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p>
        </w:tc>
      </w:tr>
      <w:tr w:rsidR="00717BA5" w:rsidRPr="00717BA5" w14:paraId="43D61C50" w14:textId="77777777" w:rsidTr="00F0752D">
        <w:trPr>
          <w:trHeight w:val="315"/>
        </w:trPr>
        <w:tc>
          <w:tcPr>
            <w:tcW w:w="3424" w:type="pct"/>
            <w:tcBorders>
              <w:left w:val="nil"/>
              <w:bottom w:val="nil"/>
              <w:right w:val="nil"/>
            </w:tcBorders>
            <w:shd w:val="clear" w:color="000000" w:fill="FFFFFF"/>
            <w:vAlign w:val="bottom"/>
          </w:tcPr>
          <w:p w14:paraId="34F7C521" w14:textId="77777777" w:rsidR="00717BA5" w:rsidRPr="00717BA5" w:rsidRDefault="00717BA5" w:rsidP="00717BA5">
            <w:pPr>
              <w:adjustRightInd w:val="0"/>
              <w:snapToGrid w:val="0"/>
              <w:rPr>
                <w:rFonts w:ascii="Arial" w:eastAsia="Calibri" w:hAnsi="Arial" w:cs="Arial"/>
                <w:b/>
                <w:bCs/>
                <w:color w:val="auto"/>
                <w:lang w:val="en-AU"/>
              </w:rPr>
            </w:pPr>
            <w:r w:rsidRPr="00717BA5">
              <w:rPr>
                <w:rFonts w:ascii="Arial" w:eastAsia="Times New Roman" w:hAnsi="Arial" w:cs="Arial"/>
                <w:b/>
                <w:bCs/>
                <w:color w:val="auto"/>
                <w:lang w:val="en-AU"/>
              </w:rPr>
              <w:t>Other demographic assumptions</w:t>
            </w:r>
          </w:p>
        </w:tc>
        <w:tc>
          <w:tcPr>
            <w:tcW w:w="633" w:type="pct"/>
            <w:tcBorders>
              <w:left w:val="nil"/>
              <w:right w:val="nil"/>
            </w:tcBorders>
            <w:shd w:val="clear" w:color="000000" w:fill="FFFFFF"/>
            <w:vAlign w:val="bottom"/>
          </w:tcPr>
          <w:p w14:paraId="20525137"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p>
        </w:tc>
        <w:tc>
          <w:tcPr>
            <w:tcW w:w="305" w:type="pct"/>
            <w:tcBorders>
              <w:left w:val="nil"/>
              <w:right w:val="nil"/>
            </w:tcBorders>
            <w:shd w:val="clear" w:color="000000" w:fill="FFFFFF"/>
            <w:vAlign w:val="bottom"/>
          </w:tcPr>
          <w:p w14:paraId="110276BC"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p>
        </w:tc>
        <w:tc>
          <w:tcPr>
            <w:tcW w:w="638" w:type="pct"/>
            <w:tcBorders>
              <w:left w:val="nil"/>
              <w:right w:val="nil"/>
            </w:tcBorders>
            <w:shd w:val="clear" w:color="000000" w:fill="FFFFFF"/>
            <w:noWrap/>
            <w:vAlign w:val="bottom"/>
          </w:tcPr>
          <w:p w14:paraId="2691D647"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p>
        </w:tc>
      </w:tr>
      <w:tr w:rsidR="00717BA5" w:rsidRPr="00717BA5" w14:paraId="6BBC9DC2" w14:textId="77777777" w:rsidTr="00F0752D">
        <w:trPr>
          <w:trHeight w:val="727"/>
        </w:trPr>
        <w:tc>
          <w:tcPr>
            <w:tcW w:w="5000" w:type="pct"/>
            <w:gridSpan w:val="4"/>
            <w:tcBorders>
              <w:left w:val="nil"/>
              <w:bottom w:val="nil"/>
              <w:right w:val="nil"/>
            </w:tcBorders>
            <w:shd w:val="clear" w:color="000000" w:fill="FFFFFF"/>
          </w:tcPr>
          <w:p w14:paraId="0808FD96" w14:textId="77777777" w:rsidR="00717BA5" w:rsidRPr="00717BA5" w:rsidRDefault="00717BA5" w:rsidP="00717BA5">
            <w:pPr>
              <w:adjustRightInd w:val="0"/>
              <w:snapToGrid w:val="0"/>
              <w:rPr>
                <w:rFonts w:ascii="Arial" w:eastAsia="Calibri" w:hAnsi="Arial" w:cs="Arial"/>
                <w:color w:val="auto"/>
                <w:spacing w:val="-1"/>
              </w:rPr>
            </w:pPr>
            <w:r w:rsidRPr="00717BA5">
              <w:rPr>
                <w:rFonts w:ascii="Arial" w:eastAsia="Calibri" w:hAnsi="Arial" w:cs="Arial"/>
                <w:color w:val="auto"/>
                <w:spacing w:val="-1"/>
              </w:rPr>
              <w:t>It was also assumed that 10% of registered workers who do not have any service credits in the previous year will re-commence receiving service credits (30 June 2025: same assumption applied).</w:t>
            </w:r>
          </w:p>
          <w:p w14:paraId="5BF512C5" w14:textId="77777777" w:rsidR="00717BA5" w:rsidRPr="00717BA5" w:rsidRDefault="00717BA5" w:rsidP="00717BA5">
            <w:pPr>
              <w:adjustRightInd w:val="0"/>
              <w:snapToGrid w:val="0"/>
              <w:rPr>
                <w:rFonts w:ascii="Arial" w:eastAsia="Calibri" w:hAnsi="Arial" w:cs="Arial"/>
                <w:color w:val="auto"/>
                <w:spacing w:val="-1"/>
              </w:rPr>
            </w:pPr>
          </w:p>
          <w:p w14:paraId="63DE0102" w14:textId="77777777" w:rsidR="00717BA5" w:rsidRPr="00717BA5" w:rsidRDefault="00717BA5" w:rsidP="00717BA5">
            <w:pPr>
              <w:adjustRightInd w:val="0"/>
              <w:snapToGrid w:val="0"/>
              <w:rPr>
                <w:rFonts w:ascii="Arial" w:eastAsia="Calibri" w:hAnsi="Arial" w:cs="Arial"/>
                <w:color w:val="auto"/>
                <w:spacing w:val="-1"/>
              </w:rPr>
            </w:pPr>
          </w:p>
          <w:p w14:paraId="56D983B7" w14:textId="77777777" w:rsidR="00717BA5" w:rsidRPr="00717BA5" w:rsidRDefault="00717BA5" w:rsidP="00717BA5">
            <w:pPr>
              <w:adjustRightInd w:val="0"/>
              <w:snapToGrid w:val="0"/>
              <w:rPr>
                <w:rFonts w:ascii="Arial" w:eastAsia="Calibri" w:hAnsi="Arial" w:cs="Arial"/>
                <w:color w:val="auto"/>
                <w:spacing w:val="-1"/>
              </w:rPr>
            </w:pPr>
          </w:p>
          <w:p w14:paraId="719EE316" w14:textId="77777777" w:rsidR="00717BA5" w:rsidRPr="00717BA5" w:rsidRDefault="00717BA5" w:rsidP="00717BA5">
            <w:pPr>
              <w:adjustRightInd w:val="0"/>
              <w:snapToGrid w:val="0"/>
              <w:rPr>
                <w:rFonts w:ascii="Arial" w:eastAsia="Calibri" w:hAnsi="Arial" w:cs="Arial"/>
                <w:color w:val="auto"/>
                <w:spacing w:val="-1"/>
              </w:rPr>
            </w:pPr>
          </w:p>
          <w:p w14:paraId="777ABA80" w14:textId="77777777" w:rsidR="00717BA5" w:rsidRPr="00717BA5" w:rsidRDefault="00717BA5" w:rsidP="00717BA5">
            <w:pPr>
              <w:keepNext/>
              <w:spacing w:after="120" w:line="240" w:lineRule="auto"/>
              <w:outlineLvl w:val="1"/>
              <w:rPr>
                <w:rFonts w:ascii="Arial" w:eastAsia="Times New Roman" w:hAnsi="Arial" w:cs="Arial"/>
                <w:b/>
                <w:bCs/>
                <w:color w:val="auto"/>
                <w:sz w:val="24"/>
                <w:szCs w:val="24"/>
                <w:lang w:val="en-AU"/>
              </w:rPr>
            </w:pPr>
          </w:p>
          <w:p w14:paraId="3A51B5EA" w14:textId="77777777" w:rsidR="00717BA5" w:rsidRPr="00717BA5" w:rsidRDefault="00717BA5" w:rsidP="00341E60">
            <w:pPr>
              <w:keepNext/>
              <w:spacing w:after="120" w:line="240" w:lineRule="auto"/>
              <w:jc w:val="both"/>
              <w:outlineLvl w:val="1"/>
              <w:rPr>
                <w:rFonts w:ascii="Arial" w:eastAsia="Times New Roman" w:hAnsi="Arial" w:cs="Arial"/>
                <w:b/>
                <w:bCs/>
                <w:iCs/>
                <w:color w:val="auto"/>
                <w:sz w:val="24"/>
                <w:szCs w:val="24"/>
                <w:lang w:val="en-AU"/>
              </w:rPr>
            </w:pPr>
            <w:bookmarkStart w:id="112" w:name="_Toc240533526"/>
            <w:r w:rsidRPr="00717BA5">
              <w:rPr>
                <w:rFonts w:ascii="Arial" w:eastAsia="Times New Roman" w:hAnsi="Arial" w:cs="Arial"/>
                <w:b/>
                <w:bCs/>
                <w:color w:val="auto"/>
                <w:sz w:val="24"/>
                <w:szCs w:val="24"/>
                <w:lang w:val="en-AU"/>
              </w:rPr>
              <w:t xml:space="preserve">NOTE 15. </w:t>
            </w:r>
            <w:r w:rsidRPr="00717BA5" w:rsidDel="008B0B4B">
              <w:rPr>
                <w:rFonts w:ascii="Arial" w:eastAsia="Times New Roman" w:hAnsi="Arial" w:cs="Arial"/>
                <w:b/>
                <w:bCs/>
                <w:color w:val="auto"/>
                <w:sz w:val="24"/>
                <w:szCs w:val="24"/>
                <w:lang w:val="en-AU"/>
              </w:rPr>
              <w:t xml:space="preserve"> </w:t>
            </w:r>
            <w:r w:rsidRPr="00717BA5">
              <w:rPr>
                <w:rFonts w:ascii="Arial" w:eastAsia="Times New Roman" w:hAnsi="Arial" w:cs="Arial"/>
                <w:b/>
                <w:bCs/>
                <w:color w:val="auto"/>
                <w:sz w:val="24"/>
                <w:szCs w:val="24"/>
                <w:lang w:val="en-AU"/>
              </w:rPr>
              <w:t>PROVISION FOR LONG SERVICE LEAVE BENEFITS - CONTINUED</w:t>
            </w:r>
            <w:bookmarkEnd w:id="112"/>
          </w:p>
        </w:tc>
      </w:tr>
      <w:tr w:rsidR="00717BA5" w:rsidRPr="00717BA5" w14:paraId="6B37E6E4" w14:textId="77777777" w:rsidTr="00F0752D">
        <w:trPr>
          <w:trHeight w:val="315"/>
        </w:trPr>
        <w:tc>
          <w:tcPr>
            <w:tcW w:w="3424" w:type="pct"/>
            <w:tcBorders>
              <w:left w:val="nil"/>
              <w:bottom w:val="nil"/>
              <w:right w:val="nil"/>
            </w:tcBorders>
            <w:shd w:val="clear" w:color="000000" w:fill="FFFFFF"/>
            <w:vAlign w:val="bottom"/>
          </w:tcPr>
          <w:p w14:paraId="3DFD0DD1" w14:textId="77777777" w:rsidR="00717BA5" w:rsidRPr="00717BA5" w:rsidRDefault="00717BA5" w:rsidP="00717BA5">
            <w:pPr>
              <w:adjustRightInd w:val="0"/>
              <w:snapToGrid w:val="0"/>
              <w:rPr>
                <w:rFonts w:ascii="Arial" w:eastAsia="Calibri" w:hAnsi="Arial" w:cs="Arial"/>
                <w:b/>
                <w:bCs/>
                <w:color w:val="auto"/>
                <w:lang w:val="en-AU"/>
              </w:rPr>
            </w:pPr>
            <w:r w:rsidRPr="00717BA5">
              <w:rPr>
                <w:rFonts w:ascii="Arial" w:eastAsia="Calibri" w:hAnsi="Arial" w:cs="Arial"/>
                <w:b/>
                <w:bCs/>
                <w:color w:val="auto"/>
                <w:lang w:val="en-AU"/>
              </w:rPr>
              <w:lastRenderedPageBreak/>
              <w:t>Processing and settling accrued liabilities</w:t>
            </w:r>
          </w:p>
        </w:tc>
        <w:tc>
          <w:tcPr>
            <w:tcW w:w="633" w:type="pct"/>
            <w:tcBorders>
              <w:left w:val="nil"/>
              <w:right w:val="nil"/>
            </w:tcBorders>
            <w:shd w:val="clear" w:color="000000" w:fill="FFFFFF"/>
            <w:vAlign w:val="bottom"/>
          </w:tcPr>
          <w:p w14:paraId="3007EBF6"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p>
        </w:tc>
        <w:tc>
          <w:tcPr>
            <w:tcW w:w="305" w:type="pct"/>
            <w:tcBorders>
              <w:left w:val="nil"/>
              <w:right w:val="nil"/>
            </w:tcBorders>
            <w:shd w:val="clear" w:color="000000" w:fill="FFFFFF"/>
            <w:vAlign w:val="bottom"/>
          </w:tcPr>
          <w:p w14:paraId="3AF3F876"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p>
        </w:tc>
        <w:tc>
          <w:tcPr>
            <w:tcW w:w="638" w:type="pct"/>
            <w:tcBorders>
              <w:left w:val="nil"/>
              <w:right w:val="nil"/>
            </w:tcBorders>
            <w:shd w:val="clear" w:color="000000" w:fill="FFFFFF"/>
            <w:noWrap/>
            <w:vAlign w:val="bottom"/>
          </w:tcPr>
          <w:p w14:paraId="3C8F9445"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 </w:t>
            </w:r>
          </w:p>
        </w:tc>
      </w:tr>
      <w:tr w:rsidR="00717BA5" w:rsidRPr="00717BA5" w14:paraId="083BC58E" w14:textId="77777777" w:rsidTr="00F0752D">
        <w:trPr>
          <w:trHeight w:val="614"/>
        </w:trPr>
        <w:tc>
          <w:tcPr>
            <w:tcW w:w="5000" w:type="pct"/>
            <w:gridSpan w:val="4"/>
            <w:tcBorders>
              <w:left w:val="nil"/>
              <w:bottom w:val="nil"/>
              <w:right w:val="nil"/>
            </w:tcBorders>
            <w:shd w:val="clear" w:color="000000" w:fill="FFFFFF"/>
            <w:vAlign w:val="bottom"/>
          </w:tcPr>
          <w:p w14:paraId="5AA1B223" w14:textId="77777777" w:rsidR="00717BA5" w:rsidRPr="00717BA5" w:rsidRDefault="00717BA5" w:rsidP="00717BA5">
            <w:pPr>
              <w:adjustRightInd w:val="0"/>
              <w:snapToGrid w:val="0"/>
              <w:rPr>
                <w:rFonts w:ascii="Arial" w:eastAsia="Calibri" w:hAnsi="Arial" w:cs="Arial"/>
                <w:color w:val="auto"/>
                <w:lang w:val="en-AU"/>
              </w:rPr>
            </w:pPr>
            <w:r w:rsidRPr="00717BA5">
              <w:rPr>
                <w:rFonts w:ascii="Arial" w:eastAsia="Calibri" w:hAnsi="Arial" w:cs="Arial"/>
                <w:color w:val="auto"/>
              </w:rPr>
              <w:t>ACT Leave has also made an allowance for the cost of processing and settling the accrued liabilities in addition to the value of the liability determined by the actuary and reviewed by management. The method used for this allowance was to determine the estimated cost to process and pay a benefit as a percentage of average benefit paid and apply this percentage to the total long service leave liability to determine the liability for the cost of processing and settling the obligation.</w:t>
            </w:r>
          </w:p>
        </w:tc>
      </w:tr>
      <w:tr w:rsidR="00717BA5" w:rsidRPr="00717BA5" w14:paraId="6854389D" w14:textId="77777777" w:rsidTr="00F0752D">
        <w:trPr>
          <w:trHeight w:val="315"/>
        </w:trPr>
        <w:tc>
          <w:tcPr>
            <w:tcW w:w="3424" w:type="pct"/>
            <w:tcBorders>
              <w:left w:val="nil"/>
              <w:right w:val="nil"/>
            </w:tcBorders>
            <w:shd w:val="clear" w:color="000000" w:fill="FFFFFF"/>
            <w:vAlign w:val="bottom"/>
          </w:tcPr>
          <w:p w14:paraId="78168E15"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p>
        </w:tc>
        <w:tc>
          <w:tcPr>
            <w:tcW w:w="633" w:type="pct"/>
            <w:tcBorders>
              <w:left w:val="nil"/>
              <w:right w:val="nil"/>
            </w:tcBorders>
            <w:shd w:val="clear" w:color="000000" w:fill="FFFFFF"/>
            <w:vAlign w:val="bottom"/>
          </w:tcPr>
          <w:p w14:paraId="1455AFFF"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305" w:type="pct"/>
            <w:tcBorders>
              <w:left w:val="nil"/>
              <w:right w:val="nil"/>
            </w:tcBorders>
            <w:shd w:val="clear" w:color="000000" w:fill="FFFFFF"/>
            <w:vAlign w:val="bottom"/>
          </w:tcPr>
          <w:p w14:paraId="364D808F"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p>
        </w:tc>
        <w:tc>
          <w:tcPr>
            <w:tcW w:w="638" w:type="pct"/>
            <w:tcBorders>
              <w:left w:val="nil"/>
              <w:right w:val="nil"/>
            </w:tcBorders>
            <w:shd w:val="clear" w:color="000000" w:fill="FFFFFF"/>
            <w:noWrap/>
            <w:vAlign w:val="bottom"/>
          </w:tcPr>
          <w:p w14:paraId="5649CD42"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6BAAEEB1" w14:textId="77777777" w:rsidTr="00F0752D">
        <w:trPr>
          <w:trHeight w:val="315"/>
        </w:trPr>
        <w:tc>
          <w:tcPr>
            <w:tcW w:w="3424" w:type="pct"/>
            <w:tcBorders>
              <w:left w:val="nil"/>
              <w:bottom w:val="nil"/>
              <w:right w:val="nil"/>
            </w:tcBorders>
            <w:shd w:val="clear" w:color="000000" w:fill="FFFFFF"/>
            <w:vAlign w:val="bottom"/>
          </w:tcPr>
          <w:p w14:paraId="020CBE7F"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eastAsia="en-US"/>
              </w:rPr>
              <w:t>Estimated cost to process and pay a benefit</w:t>
            </w:r>
          </w:p>
        </w:tc>
        <w:tc>
          <w:tcPr>
            <w:tcW w:w="633" w:type="pct"/>
            <w:tcBorders>
              <w:left w:val="nil"/>
              <w:right w:val="nil"/>
            </w:tcBorders>
            <w:shd w:val="clear" w:color="000000" w:fill="FFFFFF"/>
            <w:vAlign w:val="bottom"/>
          </w:tcPr>
          <w:p w14:paraId="3DF4D159"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2.6%</w:t>
            </w:r>
          </w:p>
        </w:tc>
        <w:tc>
          <w:tcPr>
            <w:tcW w:w="305" w:type="pct"/>
            <w:tcBorders>
              <w:left w:val="nil"/>
              <w:right w:val="nil"/>
            </w:tcBorders>
            <w:shd w:val="clear" w:color="000000" w:fill="FFFFFF"/>
            <w:vAlign w:val="bottom"/>
          </w:tcPr>
          <w:p w14:paraId="74101A8C"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638" w:type="pct"/>
            <w:tcBorders>
              <w:left w:val="nil"/>
              <w:right w:val="nil"/>
            </w:tcBorders>
            <w:shd w:val="clear" w:color="000000" w:fill="FFFFFF"/>
            <w:noWrap/>
            <w:vAlign w:val="bottom"/>
          </w:tcPr>
          <w:p w14:paraId="28D76E30"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2.4%</w:t>
            </w:r>
          </w:p>
        </w:tc>
      </w:tr>
    </w:tbl>
    <w:p w14:paraId="1793F28A"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eastAsia="en-US"/>
        </w:rPr>
      </w:pPr>
    </w:p>
    <w:bookmarkEnd w:id="110"/>
    <w:p w14:paraId="21CC63E3" w14:textId="77777777" w:rsidR="00717BA5" w:rsidRPr="00717BA5" w:rsidRDefault="00717BA5" w:rsidP="00717BA5">
      <w:pPr>
        <w:widowControl w:val="0"/>
        <w:numPr>
          <w:ilvl w:val="0"/>
          <w:numId w:val="105"/>
        </w:numPr>
        <w:tabs>
          <w:tab w:val="left" w:pos="323"/>
        </w:tabs>
        <w:spacing w:before="120" w:after="0" w:line="240" w:lineRule="auto"/>
        <w:ind w:hanging="322"/>
        <w:jc w:val="both"/>
        <w:rPr>
          <w:rFonts w:ascii="Arial" w:eastAsia="Calibri" w:hAnsi="Arial" w:cs="Arial"/>
          <w:b/>
          <w:bCs/>
          <w:i/>
          <w:color w:val="auto"/>
          <w:szCs w:val="22"/>
          <w:lang w:eastAsia="en-US"/>
        </w:rPr>
      </w:pPr>
      <w:r w:rsidRPr="00717BA5">
        <w:rPr>
          <w:rFonts w:ascii="Arial" w:eastAsia="Calibri" w:hAnsi="Arial" w:cs="Arial"/>
          <w:b/>
          <w:bCs/>
          <w:i/>
          <w:color w:val="auto"/>
          <w:szCs w:val="22"/>
          <w:lang w:eastAsia="en-US"/>
        </w:rPr>
        <w:t>Accrued Long Service Leave Benefits – Security Industry</w:t>
      </w:r>
    </w:p>
    <w:p w14:paraId="3920C771" w14:textId="77777777" w:rsidR="00717BA5" w:rsidRPr="00717BA5" w:rsidRDefault="00717BA5" w:rsidP="00717BA5">
      <w:pPr>
        <w:adjustRightInd w:val="0"/>
        <w:snapToGrid w:val="0"/>
        <w:spacing w:before="60"/>
        <w:rPr>
          <w:rFonts w:ascii="Arial" w:eastAsia="Calibri" w:hAnsi="Arial" w:cs="Arial"/>
          <w:b/>
          <w:bCs/>
          <w:color w:val="auto"/>
          <w:lang w:val="en-AU"/>
        </w:rPr>
      </w:pPr>
      <w:r w:rsidRPr="00717BA5">
        <w:rPr>
          <w:rFonts w:ascii="Arial" w:eastAsia="Calibri" w:hAnsi="Arial" w:cs="Arial"/>
          <w:b/>
          <w:bCs/>
          <w:color w:val="auto"/>
          <w:lang w:val="en-AU"/>
        </w:rPr>
        <w:t>Exit rates</w:t>
      </w:r>
    </w:p>
    <w:p w14:paraId="39901AEF" w14:textId="5AA1E2FC" w:rsidR="00717BA5" w:rsidRPr="00717BA5" w:rsidRDefault="00717BA5" w:rsidP="00717BA5">
      <w:pPr>
        <w:adjustRightInd w:val="0"/>
        <w:snapToGrid w:val="0"/>
        <w:rPr>
          <w:rFonts w:ascii="Arial" w:eastAsia="Calibri" w:hAnsi="Arial" w:cs="Arial"/>
          <w:color w:val="auto"/>
        </w:rPr>
      </w:pPr>
      <w:r w:rsidRPr="00717BA5">
        <w:rPr>
          <w:rFonts w:ascii="Arial" w:eastAsia="Calibri" w:hAnsi="Arial" w:cs="Arial"/>
          <w:color w:val="auto"/>
        </w:rPr>
        <w:t>The</w:t>
      </w:r>
      <w:r w:rsidRPr="00717BA5">
        <w:rPr>
          <w:rFonts w:ascii="Arial" w:eastAsia="Calibri" w:hAnsi="Arial" w:cs="Arial"/>
          <w:color w:val="auto"/>
          <w:spacing w:val="-6"/>
        </w:rPr>
        <w:t xml:space="preserve"> </w:t>
      </w:r>
      <w:r w:rsidRPr="00717BA5">
        <w:rPr>
          <w:rFonts w:ascii="Arial" w:eastAsia="Calibri" w:hAnsi="Arial" w:cs="Arial"/>
          <w:color w:val="auto"/>
        </w:rPr>
        <w:t>rates</w:t>
      </w:r>
      <w:r w:rsidRPr="00717BA5">
        <w:rPr>
          <w:rFonts w:ascii="Arial" w:eastAsia="Calibri" w:hAnsi="Arial" w:cs="Arial"/>
          <w:color w:val="auto"/>
          <w:spacing w:val="-6"/>
        </w:rPr>
        <w:t xml:space="preserve"> </w:t>
      </w:r>
      <w:r w:rsidRPr="00717BA5">
        <w:rPr>
          <w:rFonts w:ascii="Arial" w:eastAsia="Calibri" w:hAnsi="Arial" w:cs="Arial"/>
          <w:color w:val="auto"/>
        </w:rPr>
        <w:t>at</w:t>
      </w:r>
      <w:r w:rsidRPr="00717BA5">
        <w:rPr>
          <w:rFonts w:ascii="Arial" w:eastAsia="Calibri" w:hAnsi="Arial" w:cs="Arial"/>
          <w:color w:val="auto"/>
          <w:spacing w:val="-4"/>
        </w:rPr>
        <w:t xml:space="preserve"> </w:t>
      </w:r>
      <w:r w:rsidRPr="00717BA5">
        <w:rPr>
          <w:rFonts w:ascii="Arial" w:eastAsia="Calibri" w:hAnsi="Arial" w:cs="Arial"/>
          <w:color w:val="auto"/>
          <w:spacing w:val="-1"/>
        </w:rPr>
        <w:t>which</w:t>
      </w:r>
      <w:r w:rsidRPr="00717BA5">
        <w:rPr>
          <w:rFonts w:ascii="Arial" w:eastAsia="Calibri" w:hAnsi="Arial" w:cs="Arial"/>
          <w:color w:val="auto"/>
          <w:spacing w:val="-5"/>
        </w:rPr>
        <w:t xml:space="preserve"> </w:t>
      </w:r>
      <w:r w:rsidRPr="00717BA5">
        <w:rPr>
          <w:rFonts w:ascii="Arial" w:eastAsia="Calibri" w:hAnsi="Arial" w:cs="Arial"/>
          <w:color w:val="auto"/>
        </w:rPr>
        <w:t>workers</w:t>
      </w:r>
      <w:r w:rsidRPr="00717BA5">
        <w:rPr>
          <w:rFonts w:ascii="Arial" w:eastAsia="Calibri" w:hAnsi="Arial" w:cs="Arial"/>
          <w:color w:val="auto"/>
          <w:spacing w:val="-6"/>
        </w:rPr>
        <w:t xml:space="preserve"> </w:t>
      </w:r>
      <w:r w:rsidRPr="00717BA5">
        <w:rPr>
          <w:rFonts w:ascii="Arial" w:eastAsia="Calibri" w:hAnsi="Arial" w:cs="Arial"/>
          <w:color w:val="auto"/>
        </w:rPr>
        <w:t>of</w:t>
      </w:r>
      <w:r w:rsidRPr="00717BA5">
        <w:rPr>
          <w:rFonts w:ascii="Arial" w:eastAsia="Calibri" w:hAnsi="Arial" w:cs="Arial"/>
          <w:color w:val="auto"/>
          <w:spacing w:val="-3"/>
        </w:rPr>
        <w:t xml:space="preserve"> </w:t>
      </w:r>
      <w:r w:rsidRPr="00717BA5">
        <w:rPr>
          <w:rFonts w:ascii="Arial" w:eastAsia="Calibri" w:hAnsi="Arial" w:cs="Arial"/>
          <w:color w:val="auto"/>
          <w:spacing w:val="-1"/>
        </w:rPr>
        <w:t>different</w:t>
      </w:r>
      <w:r w:rsidRPr="00717BA5">
        <w:rPr>
          <w:rFonts w:ascii="Arial" w:eastAsia="Calibri" w:hAnsi="Arial" w:cs="Arial"/>
          <w:color w:val="auto"/>
          <w:spacing w:val="-5"/>
        </w:rPr>
        <w:t xml:space="preserve"> </w:t>
      </w:r>
      <w:r w:rsidRPr="00717BA5">
        <w:rPr>
          <w:rFonts w:ascii="Arial" w:eastAsia="Calibri" w:hAnsi="Arial" w:cs="Arial"/>
          <w:color w:val="auto"/>
        </w:rPr>
        <w:t>membership groups</w:t>
      </w:r>
      <w:r w:rsidRPr="00717BA5">
        <w:rPr>
          <w:rFonts w:ascii="Arial" w:eastAsia="Calibri" w:hAnsi="Arial" w:cs="Arial"/>
          <w:color w:val="auto"/>
          <w:spacing w:val="-6"/>
        </w:rPr>
        <w:t xml:space="preserve"> </w:t>
      </w:r>
      <w:r w:rsidRPr="00717BA5">
        <w:rPr>
          <w:rFonts w:ascii="Arial" w:eastAsia="Calibri" w:hAnsi="Arial" w:cs="Arial"/>
          <w:color w:val="auto"/>
          <w:spacing w:val="-1"/>
        </w:rPr>
        <w:t>might</w:t>
      </w:r>
      <w:r w:rsidRPr="00717BA5">
        <w:rPr>
          <w:rFonts w:ascii="Arial" w:eastAsia="Calibri" w:hAnsi="Arial" w:cs="Arial"/>
          <w:color w:val="auto"/>
          <w:spacing w:val="-4"/>
        </w:rPr>
        <w:t xml:space="preserve"> </w:t>
      </w:r>
      <w:r w:rsidRPr="00717BA5">
        <w:rPr>
          <w:rFonts w:ascii="Arial" w:eastAsia="Calibri" w:hAnsi="Arial" w:cs="Arial"/>
          <w:color w:val="auto"/>
          <w:spacing w:val="-1"/>
        </w:rPr>
        <w:t>leave</w:t>
      </w:r>
      <w:r w:rsidRPr="00717BA5">
        <w:rPr>
          <w:rFonts w:ascii="Arial" w:eastAsia="Calibri" w:hAnsi="Arial" w:cs="Arial"/>
          <w:color w:val="auto"/>
          <w:spacing w:val="-5"/>
        </w:rPr>
        <w:t xml:space="preserve"> </w:t>
      </w:r>
      <w:r w:rsidRPr="00717BA5">
        <w:rPr>
          <w:rFonts w:ascii="Arial" w:eastAsia="Calibri" w:hAnsi="Arial" w:cs="Arial"/>
          <w:color w:val="auto"/>
        </w:rPr>
        <w:t>the</w:t>
      </w:r>
      <w:r w:rsidRPr="00717BA5">
        <w:rPr>
          <w:rFonts w:ascii="Arial" w:eastAsia="Calibri" w:hAnsi="Arial" w:cs="Arial"/>
          <w:color w:val="auto"/>
          <w:spacing w:val="-4"/>
        </w:rPr>
        <w:t xml:space="preserve"> </w:t>
      </w:r>
      <w:r w:rsidRPr="00717BA5">
        <w:rPr>
          <w:rFonts w:ascii="Arial" w:eastAsia="Calibri" w:hAnsi="Arial" w:cs="Arial"/>
          <w:color w:val="auto"/>
          <w:spacing w:val="-1"/>
        </w:rPr>
        <w:t>scheme are based on past experience and vary by years of service as follows:</w:t>
      </w:r>
    </w:p>
    <w:tbl>
      <w:tblPr>
        <w:tblW w:w="5322" w:type="pct"/>
        <w:tblLook w:val="04A0" w:firstRow="1" w:lastRow="0" w:firstColumn="1" w:lastColumn="0" w:noHBand="0" w:noVBand="1"/>
      </w:tblPr>
      <w:tblGrid>
        <w:gridCol w:w="6643"/>
        <w:gridCol w:w="1093"/>
        <w:gridCol w:w="443"/>
        <w:gridCol w:w="1745"/>
        <w:gridCol w:w="222"/>
        <w:gridCol w:w="222"/>
        <w:gridCol w:w="222"/>
      </w:tblGrid>
      <w:tr w:rsidR="00717BA5" w:rsidRPr="00717BA5" w14:paraId="74DE6049" w14:textId="77777777" w:rsidTr="00F0752D">
        <w:trPr>
          <w:gridAfter w:val="3"/>
          <w:wAfter w:w="314" w:type="pct"/>
          <w:trHeight w:val="315"/>
        </w:trPr>
        <w:tc>
          <w:tcPr>
            <w:tcW w:w="3137" w:type="pct"/>
            <w:tcBorders>
              <w:top w:val="nil"/>
              <w:left w:val="nil"/>
              <w:bottom w:val="nil"/>
              <w:right w:val="nil"/>
            </w:tcBorders>
            <w:shd w:val="clear" w:color="000000" w:fill="FFFFFF"/>
            <w:vAlign w:val="bottom"/>
          </w:tcPr>
          <w:p w14:paraId="68661757"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Exit Rate - Service in last year</w:t>
            </w:r>
          </w:p>
        </w:tc>
        <w:tc>
          <w:tcPr>
            <w:tcW w:w="516" w:type="pct"/>
            <w:tcBorders>
              <w:top w:val="nil"/>
              <w:left w:val="nil"/>
              <w:bottom w:val="nil"/>
              <w:right w:val="nil"/>
            </w:tcBorders>
            <w:shd w:val="clear" w:color="000000" w:fill="FFFFFF"/>
            <w:vAlign w:val="bottom"/>
          </w:tcPr>
          <w:p w14:paraId="2F9A609D"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209" w:type="pct"/>
            <w:tcBorders>
              <w:top w:val="nil"/>
              <w:left w:val="nil"/>
              <w:bottom w:val="nil"/>
              <w:right w:val="nil"/>
            </w:tcBorders>
            <w:shd w:val="clear" w:color="000000" w:fill="FFFFFF"/>
            <w:vAlign w:val="bottom"/>
          </w:tcPr>
          <w:p w14:paraId="5079321D"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top w:val="nil"/>
              <w:left w:val="nil"/>
              <w:bottom w:val="nil"/>
              <w:right w:val="nil"/>
            </w:tcBorders>
            <w:shd w:val="clear" w:color="000000" w:fill="FFFFFF"/>
            <w:vAlign w:val="bottom"/>
          </w:tcPr>
          <w:p w14:paraId="54845C86"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6F23DE21" w14:textId="77777777" w:rsidTr="00F0752D">
        <w:trPr>
          <w:gridAfter w:val="3"/>
          <w:wAfter w:w="314" w:type="pct"/>
          <w:trHeight w:val="315"/>
        </w:trPr>
        <w:tc>
          <w:tcPr>
            <w:tcW w:w="3137" w:type="pct"/>
            <w:tcBorders>
              <w:top w:val="nil"/>
              <w:left w:val="nil"/>
              <w:bottom w:val="nil"/>
              <w:right w:val="nil"/>
            </w:tcBorders>
            <w:shd w:val="clear" w:color="000000" w:fill="FFFFFF"/>
            <w:vAlign w:val="bottom"/>
          </w:tcPr>
          <w:p w14:paraId="1220C809"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less than 5 years of service</w:t>
            </w:r>
          </w:p>
        </w:tc>
        <w:tc>
          <w:tcPr>
            <w:tcW w:w="516" w:type="pct"/>
            <w:tcBorders>
              <w:top w:val="nil"/>
              <w:left w:val="nil"/>
              <w:bottom w:val="nil"/>
              <w:right w:val="nil"/>
            </w:tcBorders>
            <w:shd w:val="clear" w:color="000000" w:fill="FFFFFF"/>
            <w:vAlign w:val="bottom"/>
          </w:tcPr>
          <w:p w14:paraId="0EA6A9F5"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0%</w:t>
            </w:r>
          </w:p>
        </w:tc>
        <w:tc>
          <w:tcPr>
            <w:tcW w:w="209" w:type="pct"/>
            <w:tcBorders>
              <w:top w:val="nil"/>
              <w:left w:val="nil"/>
              <w:bottom w:val="nil"/>
              <w:right w:val="nil"/>
            </w:tcBorders>
            <w:shd w:val="clear" w:color="000000" w:fill="FFFFFF"/>
            <w:vAlign w:val="bottom"/>
          </w:tcPr>
          <w:p w14:paraId="2AD2E7AF"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top w:val="nil"/>
              <w:left w:val="nil"/>
              <w:bottom w:val="nil"/>
              <w:right w:val="nil"/>
            </w:tcBorders>
            <w:shd w:val="clear" w:color="000000" w:fill="FFFFFF"/>
            <w:noWrap/>
            <w:vAlign w:val="bottom"/>
          </w:tcPr>
          <w:p w14:paraId="780EE995"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0%</w:t>
            </w:r>
          </w:p>
        </w:tc>
      </w:tr>
      <w:tr w:rsidR="00717BA5" w:rsidRPr="00717BA5" w14:paraId="13DB65AE" w14:textId="77777777" w:rsidTr="00F0752D">
        <w:trPr>
          <w:gridAfter w:val="3"/>
          <w:wAfter w:w="314" w:type="pct"/>
          <w:trHeight w:val="315"/>
        </w:trPr>
        <w:tc>
          <w:tcPr>
            <w:tcW w:w="3137" w:type="pct"/>
            <w:tcBorders>
              <w:top w:val="nil"/>
              <w:left w:val="nil"/>
              <w:bottom w:val="nil"/>
              <w:right w:val="nil"/>
            </w:tcBorders>
            <w:shd w:val="clear" w:color="000000" w:fill="FFFFFF"/>
            <w:vAlign w:val="bottom"/>
          </w:tcPr>
          <w:p w14:paraId="4E0D927F"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5-6 years of service</w:t>
            </w:r>
          </w:p>
        </w:tc>
        <w:tc>
          <w:tcPr>
            <w:tcW w:w="516" w:type="pct"/>
            <w:tcBorders>
              <w:top w:val="nil"/>
              <w:left w:val="nil"/>
              <w:right w:val="nil"/>
            </w:tcBorders>
            <w:shd w:val="clear" w:color="000000" w:fill="FFFFFF"/>
            <w:vAlign w:val="bottom"/>
          </w:tcPr>
          <w:p w14:paraId="79B9EB60"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3%</w:t>
            </w:r>
          </w:p>
        </w:tc>
        <w:tc>
          <w:tcPr>
            <w:tcW w:w="209" w:type="pct"/>
            <w:tcBorders>
              <w:top w:val="nil"/>
              <w:left w:val="nil"/>
              <w:right w:val="nil"/>
            </w:tcBorders>
            <w:shd w:val="clear" w:color="000000" w:fill="FFFFFF"/>
            <w:vAlign w:val="bottom"/>
          </w:tcPr>
          <w:p w14:paraId="6C87A886"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top w:val="nil"/>
              <w:left w:val="nil"/>
              <w:right w:val="nil"/>
            </w:tcBorders>
            <w:shd w:val="clear" w:color="000000" w:fill="FFFFFF"/>
            <w:noWrap/>
            <w:vAlign w:val="bottom"/>
          </w:tcPr>
          <w:p w14:paraId="2B591730"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3%</w:t>
            </w:r>
          </w:p>
        </w:tc>
      </w:tr>
      <w:tr w:rsidR="00717BA5" w:rsidRPr="00717BA5" w14:paraId="26A5B17C" w14:textId="77777777" w:rsidTr="00F0752D">
        <w:trPr>
          <w:gridAfter w:val="3"/>
          <w:wAfter w:w="314" w:type="pct"/>
          <w:trHeight w:val="315"/>
        </w:trPr>
        <w:tc>
          <w:tcPr>
            <w:tcW w:w="3137" w:type="pct"/>
            <w:tcBorders>
              <w:top w:val="nil"/>
              <w:left w:val="nil"/>
              <w:bottom w:val="nil"/>
              <w:right w:val="nil"/>
            </w:tcBorders>
            <w:shd w:val="clear" w:color="000000" w:fill="FFFFFF"/>
            <w:vAlign w:val="bottom"/>
          </w:tcPr>
          <w:p w14:paraId="62D8847F"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7 or more years of service</w:t>
            </w:r>
          </w:p>
        </w:tc>
        <w:tc>
          <w:tcPr>
            <w:tcW w:w="516" w:type="pct"/>
            <w:tcBorders>
              <w:top w:val="nil"/>
              <w:left w:val="nil"/>
              <w:right w:val="nil"/>
            </w:tcBorders>
            <w:shd w:val="clear" w:color="000000" w:fill="FFFFFF"/>
            <w:vAlign w:val="bottom"/>
          </w:tcPr>
          <w:p w14:paraId="275FF67F"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4%</w:t>
            </w:r>
          </w:p>
        </w:tc>
        <w:tc>
          <w:tcPr>
            <w:tcW w:w="209" w:type="pct"/>
            <w:tcBorders>
              <w:top w:val="nil"/>
              <w:left w:val="nil"/>
              <w:right w:val="nil"/>
            </w:tcBorders>
            <w:shd w:val="clear" w:color="000000" w:fill="FFFFFF"/>
            <w:vAlign w:val="bottom"/>
          </w:tcPr>
          <w:p w14:paraId="2780315E"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top w:val="nil"/>
              <w:left w:val="nil"/>
              <w:right w:val="nil"/>
            </w:tcBorders>
            <w:shd w:val="clear" w:color="000000" w:fill="FFFFFF"/>
            <w:noWrap/>
            <w:vAlign w:val="bottom"/>
          </w:tcPr>
          <w:p w14:paraId="7BF2A4B5"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4%</w:t>
            </w:r>
          </w:p>
        </w:tc>
      </w:tr>
      <w:tr w:rsidR="00717BA5" w:rsidRPr="00717BA5" w14:paraId="128489A6" w14:textId="77777777" w:rsidTr="00F0752D">
        <w:trPr>
          <w:gridAfter w:val="3"/>
          <w:wAfter w:w="314" w:type="pct"/>
          <w:trHeight w:val="176"/>
        </w:trPr>
        <w:tc>
          <w:tcPr>
            <w:tcW w:w="3137" w:type="pct"/>
            <w:tcBorders>
              <w:top w:val="nil"/>
              <w:left w:val="nil"/>
              <w:bottom w:val="nil"/>
              <w:right w:val="nil"/>
            </w:tcBorders>
            <w:shd w:val="clear" w:color="000000" w:fill="FFFFFF"/>
            <w:vAlign w:val="bottom"/>
          </w:tcPr>
          <w:p w14:paraId="3D96B418"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Exit Rate - No service in last year and vested.</w:t>
            </w:r>
          </w:p>
        </w:tc>
        <w:tc>
          <w:tcPr>
            <w:tcW w:w="516" w:type="pct"/>
            <w:tcBorders>
              <w:left w:val="nil"/>
              <w:bottom w:val="nil"/>
              <w:right w:val="nil"/>
            </w:tcBorders>
            <w:shd w:val="clear" w:color="000000" w:fill="FFFFFF"/>
            <w:vAlign w:val="bottom"/>
          </w:tcPr>
          <w:p w14:paraId="5987D296"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209" w:type="pct"/>
            <w:tcBorders>
              <w:top w:val="nil"/>
              <w:left w:val="nil"/>
              <w:bottom w:val="nil"/>
              <w:right w:val="nil"/>
            </w:tcBorders>
            <w:shd w:val="clear" w:color="000000" w:fill="FFFFFF"/>
            <w:vAlign w:val="bottom"/>
          </w:tcPr>
          <w:p w14:paraId="4AA6A47A"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left w:val="nil"/>
              <w:bottom w:val="nil"/>
              <w:right w:val="nil"/>
            </w:tcBorders>
            <w:shd w:val="clear" w:color="000000" w:fill="FFFFFF"/>
            <w:noWrap/>
            <w:vAlign w:val="bottom"/>
          </w:tcPr>
          <w:p w14:paraId="7600A9F1"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3F56DC97" w14:textId="77777777" w:rsidTr="00F0752D">
        <w:trPr>
          <w:gridAfter w:val="3"/>
          <w:wAfter w:w="314" w:type="pct"/>
          <w:trHeight w:val="315"/>
        </w:trPr>
        <w:tc>
          <w:tcPr>
            <w:tcW w:w="3137" w:type="pct"/>
            <w:tcBorders>
              <w:top w:val="nil"/>
              <w:left w:val="nil"/>
              <w:bottom w:val="nil"/>
              <w:right w:val="nil"/>
            </w:tcBorders>
            <w:shd w:val="clear" w:color="000000" w:fill="FFFFFF"/>
            <w:vAlign w:val="bottom"/>
          </w:tcPr>
          <w:p w14:paraId="01A16BF7"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less than 2 years of service</w:t>
            </w:r>
          </w:p>
        </w:tc>
        <w:tc>
          <w:tcPr>
            <w:tcW w:w="516" w:type="pct"/>
            <w:tcBorders>
              <w:top w:val="nil"/>
              <w:left w:val="nil"/>
              <w:bottom w:val="nil"/>
              <w:right w:val="nil"/>
            </w:tcBorders>
            <w:shd w:val="clear" w:color="000000" w:fill="FFFFFF"/>
            <w:vAlign w:val="bottom"/>
          </w:tcPr>
          <w:p w14:paraId="28B7A139"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1%</w:t>
            </w:r>
          </w:p>
        </w:tc>
        <w:tc>
          <w:tcPr>
            <w:tcW w:w="209" w:type="pct"/>
            <w:tcBorders>
              <w:top w:val="nil"/>
              <w:left w:val="nil"/>
              <w:bottom w:val="nil"/>
              <w:right w:val="nil"/>
            </w:tcBorders>
            <w:shd w:val="clear" w:color="000000" w:fill="FFFFFF"/>
            <w:vAlign w:val="bottom"/>
          </w:tcPr>
          <w:p w14:paraId="27B0CDEB"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top w:val="nil"/>
              <w:left w:val="nil"/>
              <w:bottom w:val="nil"/>
              <w:right w:val="nil"/>
            </w:tcBorders>
            <w:shd w:val="clear" w:color="000000" w:fill="FFFFFF"/>
            <w:noWrap/>
            <w:vAlign w:val="bottom"/>
          </w:tcPr>
          <w:p w14:paraId="44D876EB"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1%</w:t>
            </w:r>
          </w:p>
        </w:tc>
      </w:tr>
      <w:tr w:rsidR="00717BA5" w:rsidRPr="00717BA5" w14:paraId="64B603BA" w14:textId="77777777" w:rsidTr="00F0752D">
        <w:trPr>
          <w:gridAfter w:val="3"/>
          <w:wAfter w:w="314" w:type="pct"/>
          <w:trHeight w:val="315"/>
        </w:trPr>
        <w:tc>
          <w:tcPr>
            <w:tcW w:w="3137" w:type="pct"/>
            <w:tcBorders>
              <w:top w:val="nil"/>
              <w:left w:val="nil"/>
              <w:bottom w:val="nil"/>
              <w:right w:val="nil"/>
            </w:tcBorders>
            <w:shd w:val="clear" w:color="000000" w:fill="FFFFFF"/>
            <w:vAlign w:val="bottom"/>
          </w:tcPr>
          <w:p w14:paraId="02596C78"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2-4 years of service</w:t>
            </w:r>
          </w:p>
        </w:tc>
        <w:tc>
          <w:tcPr>
            <w:tcW w:w="516" w:type="pct"/>
            <w:tcBorders>
              <w:top w:val="nil"/>
              <w:left w:val="nil"/>
              <w:bottom w:val="nil"/>
              <w:right w:val="nil"/>
            </w:tcBorders>
            <w:shd w:val="clear" w:color="000000" w:fill="FFFFFF"/>
            <w:vAlign w:val="bottom"/>
          </w:tcPr>
          <w:p w14:paraId="3BA2E261"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2%</w:t>
            </w:r>
          </w:p>
        </w:tc>
        <w:tc>
          <w:tcPr>
            <w:tcW w:w="209" w:type="pct"/>
            <w:tcBorders>
              <w:top w:val="nil"/>
              <w:left w:val="nil"/>
              <w:bottom w:val="nil"/>
              <w:right w:val="nil"/>
            </w:tcBorders>
            <w:shd w:val="clear" w:color="000000" w:fill="FFFFFF"/>
            <w:vAlign w:val="bottom"/>
          </w:tcPr>
          <w:p w14:paraId="72D37236"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top w:val="nil"/>
              <w:left w:val="nil"/>
              <w:bottom w:val="nil"/>
              <w:right w:val="nil"/>
            </w:tcBorders>
            <w:shd w:val="clear" w:color="000000" w:fill="FFFFFF"/>
            <w:noWrap/>
            <w:vAlign w:val="bottom"/>
          </w:tcPr>
          <w:p w14:paraId="34D183B2"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2%</w:t>
            </w:r>
          </w:p>
        </w:tc>
      </w:tr>
      <w:tr w:rsidR="00717BA5" w:rsidRPr="00717BA5" w14:paraId="5CE4199D" w14:textId="77777777" w:rsidTr="00F0752D">
        <w:trPr>
          <w:gridAfter w:val="3"/>
          <w:wAfter w:w="314" w:type="pct"/>
          <w:trHeight w:val="315"/>
        </w:trPr>
        <w:tc>
          <w:tcPr>
            <w:tcW w:w="3137" w:type="pct"/>
            <w:tcBorders>
              <w:top w:val="nil"/>
              <w:left w:val="nil"/>
              <w:right w:val="nil"/>
            </w:tcBorders>
            <w:shd w:val="clear" w:color="000000" w:fill="FFFFFF"/>
            <w:vAlign w:val="bottom"/>
          </w:tcPr>
          <w:p w14:paraId="35B9DC06"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5-6 years of service</w:t>
            </w:r>
          </w:p>
        </w:tc>
        <w:tc>
          <w:tcPr>
            <w:tcW w:w="516" w:type="pct"/>
            <w:tcBorders>
              <w:top w:val="nil"/>
              <w:left w:val="nil"/>
              <w:right w:val="nil"/>
            </w:tcBorders>
            <w:shd w:val="clear" w:color="000000" w:fill="FFFFFF"/>
            <w:vAlign w:val="bottom"/>
          </w:tcPr>
          <w:p w14:paraId="363AA9C6"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3%</w:t>
            </w:r>
          </w:p>
        </w:tc>
        <w:tc>
          <w:tcPr>
            <w:tcW w:w="209" w:type="pct"/>
            <w:tcBorders>
              <w:top w:val="nil"/>
              <w:left w:val="nil"/>
              <w:right w:val="nil"/>
            </w:tcBorders>
            <w:shd w:val="clear" w:color="000000" w:fill="FFFFFF"/>
            <w:vAlign w:val="bottom"/>
          </w:tcPr>
          <w:p w14:paraId="038FD15F"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top w:val="nil"/>
              <w:left w:val="nil"/>
              <w:right w:val="nil"/>
            </w:tcBorders>
            <w:shd w:val="clear" w:color="000000" w:fill="FFFFFF"/>
            <w:noWrap/>
            <w:vAlign w:val="bottom"/>
          </w:tcPr>
          <w:p w14:paraId="3F5FE515"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3%</w:t>
            </w:r>
          </w:p>
        </w:tc>
      </w:tr>
      <w:tr w:rsidR="00717BA5" w:rsidRPr="00717BA5" w14:paraId="17EF3DA3" w14:textId="77777777" w:rsidTr="00F0752D">
        <w:trPr>
          <w:gridAfter w:val="3"/>
          <w:wAfter w:w="314" w:type="pct"/>
          <w:trHeight w:val="315"/>
        </w:trPr>
        <w:tc>
          <w:tcPr>
            <w:tcW w:w="3137" w:type="pct"/>
            <w:tcBorders>
              <w:left w:val="nil"/>
              <w:right w:val="nil"/>
            </w:tcBorders>
            <w:shd w:val="clear" w:color="000000" w:fill="FFFFFF"/>
            <w:vAlign w:val="bottom"/>
          </w:tcPr>
          <w:p w14:paraId="35B784B6"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Workers with 7 or more years of service</w:t>
            </w:r>
          </w:p>
        </w:tc>
        <w:tc>
          <w:tcPr>
            <w:tcW w:w="516" w:type="pct"/>
            <w:tcBorders>
              <w:left w:val="nil"/>
              <w:right w:val="nil"/>
            </w:tcBorders>
            <w:shd w:val="clear" w:color="000000" w:fill="FFFFFF"/>
            <w:vAlign w:val="bottom"/>
          </w:tcPr>
          <w:p w14:paraId="5C6B0A70"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color w:val="auto"/>
                <w:sz w:val="18"/>
                <w:szCs w:val="18"/>
                <w:lang w:val="en-AU" w:eastAsia="en-US"/>
              </w:rPr>
              <w:t>4%</w:t>
            </w:r>
          </w:p>
        </w:tc>
        <w:tc>
          <w:tcPr>
            <w:tcW w:w="209" w:type="pct"/>
            <w:tcBorders>
              <w:left w:val="nil"/>
              <w:right w:val="nil"/>
            </w:tcBorders>
            <w:shd w:val="clear" w:color="000000" w:fill="FFFFFF"/>
            <w:vAlign w:val="bottom"/>
          </w:tcPr>
          <w:p w14:paraId="117C601A"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p>
        </w:tc>
        <w:tc>
          <w:tcPr>
            <w:tcW w:w="823" w:type="pct"/>
            <w:tcBorders>
              <w:left w:val="nil"/>
              <w:right w:val="nil"/>
            </w:tcBorders>
            <w:shd w:val="clear" w:color="000000" w:fill="FFFFFF"/>
            <w:noWrap/>
            <w:vAlign w:val="bottom"/>
          </w:tcPr>
          <w:p w14:paraId="6B7F911F"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4%</w:t>
            </w:r>
          </w:p>
        </w:tc>
      </w:tr>
      <w:tr w:rsidR="00717BA5" w:rsidRPr="00717BA5" w14:paraId="71F0E08C"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501C54EE"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Exit Rate - No service in last year and not vested.</w:t>
            </w:r>
          </w:p>
        </w:tc>
        <w:tc>
          <w:tcPr>
            <w:tcW w:w="516" w:type="pct"/>
            <w:tcBorders>
              <w:left w:val="nil"/>
              <w:right w:val="nil"/>
            </w:tcBorders>
            <w:shd w:val="clear" w:color="000000" w:fill="FFFFFF"/>
            <w:vAlign w:val="bottom"/>
          </w:tcPr>
          <w:p w14:paraId="69F30992"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209" w:type="pct"/>
            <w:tcBorders>
              <w:left w:val="nil"/>
              <w:right w:val="nil"/>
            </w:tcBorders>
            <w:shd w:val="clear" w:color="000000" w:fill="FFFFFF"/>
            <w:vAlign w:val="bottom"/>
          </w:tcPr>
          <w:p w14:paraId="2BC32173"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left w:val="nil"/>
              <w:right w:val="nil"/>
            </w:tcBorders>
            <w:shd w:val="clear" w:color="000000" w:fill="FFFFFF"/>
            <w:noWrap/>
            <w:vAlign w:val="bottom"/>
          </w:tcPr>
          <w:p w14:paraId="77E6F278"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7CC15EFB"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40E35DE9"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less than 1 year of service</w:t>
            </w:r>
          </w:p>
        </w:tc>
        <w:tc>
          <w:tcPr>
            <w:tcW w:w="516" w:type="pct"/>
            <w:tcBorders>
              <w:left w:val="nil"/>
              <w:right w:val="nil"/>
            </w:tcBorders>
            <w:shd w:val="clear" w:color="000000" w:fill="FFFFFF"/>
            <w:vAlign w:val="bottom"/>
          </w:tcPr>
          <w:p w14:paraId="6D9681A4"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28%</w:t>
            </w:r>
          </w:p>
        </w:tc>
        <w:tc>
          <w:tcPr>
            <w:tcW w:w="209" w:type="pct"/>
            <w:tcBorders>
              <w:left w:val="nil"/>
              <w:right w:val="nil"/>
            </w:tcBorders>
            <w:shd w:val="clear" w:color="000000" w:fill="FFFFFF"/>
            <w:vAlign w:val="bottom"/>
          </w:tcPr>
          <w:p w14:paraId="41F87427"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823" w:type="pct"/>
            <w:tcBorders>
              <w:left w:val="nil"/>
              <w:right w:val="nil"/>
            </w:tcBorders>
            <w:shd w:val="clear" w:color="000000" w:fill="FFFFFF"/>
            <w:noWrap/>
            <w:vAlign w:val="bottom"/>
          </w:tcPr>
          <w:p w14:paraId="738CD481"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28%</w:t>
            </w:r>
          </w:p>
        </w:tc>
      </w:tr>
      <w:tr w:rsidR="00717BA5" w:rsidRPr="00717BA5" w14:paraId="57BC344A" w14:textId="77777777" w:rsidTr="00F0752D">
        <w:trPr>
          <w:gridAfter w:val="3"/>
          <w:wAfter w:w="314" w:type="pct"/>
          <w:trHeight w:val="317"/>
        </w:trPr>
        <w:tc>
          <w:tcPr>
            <w:tcW w:w="3137" w:type="pct"/>
            <w:tcBorders>
              <w:left w:val="nil"/>
              <w:bottom w:val="nil"/>
              <w:right w:val="nil"/>
            </w:tcBorders>
            <w:shd w:val="clear" w:color="000000" w:fill="FFFFFF"/>
            <w:vAlign w:val="bottom"/>
          </w:tcPr>
          <w:p w14:paraId="2165C8C8"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eastAsia="en-US"/>
              </w:rPr>
            </w:pPr>
            <w:r w:rsidRPr="00717BA5">
              <w:rPr>
                <w:rFonts w:ascii="Arial" w:eastAsia="Calibri" w:hAnsi="Arial" w:cs="Arial"/>
                <w:bCs/>
                <w:color w:val="auto"/>
                <w:sz w:val="18"/>
                <w:szCs w:val="18"/>
                <w:lang w:val="en-AU" w:eastAsia="en-US"/>
              </w:rPr>
              <w:t>Workers with 1 or more years of service</w:t>
            </w:r>
          </w:p>
          <w:p w14:paraId="58D47566" w14:textId="77777777" w:rsidR="00717BA5" w:rsidRPr="00717BA5" w:rsidRDefault="00717BA5" w:rsidP="00717BA5">
            <w:pPr>
              <w:widowControl w:val="0"/>
              <w:tabs>
                <w:tab w:val="left" w:pos="833"/>
              </w:tabs>
              <w:spacing w:before="38" w:after="0" w:line="240" w:lineRule="auto"/>
              <w:ind w:left="405"/>
              <w:jc w:val="both"/>
              <w:rPr>
                <w:rFonts w:ascii="Arial" w:eastAsia="Calibri" w:hAnsi="Arial" w:cs="Arial"/>
                <w:bCs/>
                <w:color w:val="auto"/>
                <w:sz w:val="18"/>
                <w:szCs w:val="18"/>
                <w:lang w:eastAsia="en-US"/>
              </w:rPr>
            </w:pPr>
          </w:p>
        </w:tc>
        <w:tc>
          <w:tcPr>
            <w:tcW w:w="516" w:type="pct"/>
            <w:tcBorders>
              <w:left w:val="nil"/>
              <w:right w:val="nil"/>
            </w:tcBorders>
            <w:shd w:val="clear" w:color="000000" w:fill="FFFFFF"/>
          </w:tcPr>
          <w:p w14:paraId="69A8B49A"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32%</w:t>
            </w:r>
          </w:p>
        </w:tc>
        <w:tc>
          <w:tcPr>
            <w:tcW w:w="209" w:type="pct"/>
            <w:tcBorders>
              <w:left w:val="nil"/>
              <w:right w:val="nil"/>
            </w:tcBorders>
            <w:shd w:val="clear" w:color="000000" w:fill="FFFFFF"/>
          </w:tcPr>
          <w:p w14:paraId="08255D07"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823" w:type="pct"/>
            <w:tcBorders>
              <w:left w:val="nil"/>
              <w:right w:val="nil"/>
            </w:tcBorders>
            <w:shd w:val="clear" w:color="000000" w:fill="FFFFFF"/>
            <w:noWrap/>
          </w:tcPr>
          <w:p w14:paraId="1C6E8A4C"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32%</w:t>
            </w:r>
          </w:p>
        </w:tc>
      </w:tr>
      <w:tr w:rsidR="00717BA5" w:rsidRPr="00717BA5" w14:paraId="19EC3C5D"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6A2EDAF0"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r w:rsidRPr="00717BA5">
              <w:rPr>
                <w:rFonts w:ascii="Arial" w:eastAsia="SimSun" w:hAnsi="Arial" w:cs="Arial"/>
                <w:b/>
                <w:bCs/>
                <w:color w:val="auto"/>
                <w:sz w:val="18"/>
                <w:szCs w:val="18"/>
                <w:lang w:val="en-AU"/>
              </w:rPr>
              <w:t>In Service Benefit Rates</w:t>
            </w:r>
          </w:p>
        </w:tc>
        <w:tc>
          <w:tcPr>
            <w:tcW w:w="516" w:type="pct"/>
            <w:tcBorders>
              <w:left w:val="nil"/>
              <w:right w:val="nil"/>
            </w:tcBorders>
            <w:shd w:val="clear" w:color="000000" w:fill="FFFFFF"/>
            <w:vAlign w:val="bottom"/>
          </w:tcPr>
          <w:p w14:paraId="22922426"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209" w:type="pct"/>
            <w:tcBorders>
              <w:left w:val="nil"/>
              <w:right w:val="nil"/>
            </w:tcBorders>
            <w:shd w:val="clear" w:color="000000" w:fill="FFFFFF"/>
            <w:vAlign w:val="bottom"/>
          </w:tcPr>
          <w:p w14:paraId="5B817C0D"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left w:val="nil"/>
              <w:right w:val="nil"/>
            </w:tcBorders>
            <w:shd w:val="clear" w:color="000000" w:fill="FFFFFF"/>
            <w:noWrap/>
            <w:vAlign w:val="bottom"/>
          </w:tcPr>
          <w:p w14:paraId="1180EC0C"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r>
      <w:tr w:rsidR="00717BA5" w:rsidRPr="00717BA5" w14:paraId="55433656"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16D47183"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r w:rsidRPr="00717BA5">
              <w:rPr>
                <w:rFonts w:ascii="Arial" w:eastAsia="SimSun" w:hAnsi="Arial" w:cs="Arial"/>
                <w:color w:val="auto"/>
                <w:lang w:val="en-AU"/>
              </w:rPr>
              <w:t xml:space="preserve">The rates </w:t>
            </w:r>
            <w:r w:rsidRPr="00717BA5">
              <w:rPr>
                <w:rFonts w:ascii="Arial" w:eastAsia="Calibri" w:hAnsi="Arial" w:cs="Arial"/>
                <w:color w:val="auto"/>
                <w:sz w:val="18"/>
                <w:szCs w:val="18"/>
                <w:lang w:eastAsia="en-US"/>
              </w:rPr>
              <w:t>at</w:t>
            </w:r>
            <w:r w:rsidRPr="00717BA5">
              <w:rPr>
                <w:rFonts w:ascii="Arial" w:eastAsia="Calibri" w:hAnsi="Arial" w:cs="Arial"/>
                <w:color w:val="auto"/>
                <w:spacing w:val="-4"/>
                <w:sz w:val="18"/>
                <w:szCs w:val="18"/>
                <w:lang w:eastAsia="en-US"/>
              </w:rPr>
              <w:t xml:space="preserve"> </w:t>
            </w:r>
            <w:r w:rsidRPr="00717BA5">
              <w:rPr>
                <w:rFonts w:ascii="Arial" w:eastAsia="Calibri" w:hAnsi="Arial" w:cs="Arial"/>
                <w:color w:val="auto"/>
                <w:spacing w:val="-1"/>
                <w:sz w:val="18"/>
                <w:szCs w:val="18"/>
                <w:lang w:eastAsia="en-US"/>
              </w:rPr>
              <w:t>which</w:t>
            </w:r>
            <w:r w:rsidRPr="00717BA5">
              <w:rPr>
                <w:rFonts w:ascii="Arial" w:eastAsia="Calibri" w:hAnsi="Arial" w:cs="Arial"/>
                <w:color w:val="auto"/>
                <w:spacing w:val="-5"/>
                <w:sz w:val="18"/>
                <w:szCs w:val="18"/>
                <w:lang w:eastAsia="en-US"/>
              </w:rPr>
              <w:t xml:space="preserve"> </w:t>
            </w:r>
            <w:r w:rsidRPr="00717BA5">
              <w:rPr>
                <w:rFonts w:ascii="Arial" w:eastAsia="Calibri" w:hAnsi="Arial" w:cs="Arial"/>
                <w:color w:val="auto"/>
                <w:sz w:val="18"/>
                <w:szCs w:val="18"/>
                <w:lang w:eastAsia="en-US"/>
              </w:rPr>
              <w:t>workers</w:t>
            </w:r>
            <w:r w:rsidRPr="00717BA5">
              <w:rPr>
                <w:rFonts w:ascii="Arial" w:eastAsia="Calibri" w:hAnsi="Arial" w:cs="Arial"/>
                <w:color w:val="auto"/>
                <w:spacing w:val="-6"/>
                <w:sz w:val="18"/>
                <w:szCs w:val="18"/>
                <w:lang w:eastAsia="en-US"/>
              </w:rPr>
              <w:t xml:space="preserve"> </w:t>
            </w:r>
            <w:r w:rsidRPr="00717BA5">
              <w:rPr>
                <w:rFonts w:ascii="Arial" w:eastAsia="Calibri" w:hAnsi="Arial" w:cs="Arial"/>
                <w:color w:val="auto"/>
                <w:sz w:val="18"/>
                <w:szCs w:val="18"/>
                <w:lang w:eastAsia="en-US"/>
              </w:rPr>
              <w:t>with different periods of service might take their benefit vary as</w:t>
            </w:r>
            <w:r w:rsidRPr="00717BA5">
              <w:rPr>
                <w:rFonts w:ascii="Arial" w:eastAsia="Calibri" w:hAnsi="Arial" w:cs="Arial"/>
                <w:color w:val="auto"/>
                <w:spacing w:val="-1"/>
                <w:sz w:val="18"/>
                <w:szCs w:val="18"/>
                <w:lang w:eastAsia="en-US"/>
              </w:rPr>
              <w:t xml:space="preserve"> follows:</w:t>
            </w:r>
          </w:p>
        </w:tc>
        <w:tc>
          <w:tcPr>
            <w:tcW w:w="516" w:type="pct"/>
            <w:tcBorders>
              <w:left w:val="nil"/>
              <w:right w:val="nil"/>
            </w:tcBorders>
            <w:shd w:val="clear" w:color="000000" w:fill="FFFFFF"/>
            <w:vAlign w:val="bottom"/>
          </w:tcPr>
          <w:p w14:paraId="6F136B21"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209" w:type="pct"/>
            <w:tcBorders>
              <w:left w:val="nil"/>
              <w:right w:val="nil"/>
            </w:tcBorders>
            <w:shd w:val="clear" w:color="000000" w:fill="FFFFFF"/>
            <w:vAlign w:val="bottom"/>
          </w:tcPr>
          <w:p w14:paraId="5701C833"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left w:val="nil"/>
              <w:right w:val="nil"/>
            </w:tcBorders>
            <w:shd w:val="clear" w:color="000000" w:fill="FFFFFF"/>
            <w:noWrap/>
            <w:vAlign w:val="bottom"/>
          </w:tcPr>
          <w:p w14:paraId="7A6A2610"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r>
      <w:tr w:rsidR="00717BA5" w:rsidRPr="00717BA5" w14:paraId="5721D58B"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0E886B45"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In Service Benefit Rate</w:t>
            </w:r>
          </w:p>
        </w:tc>
        <w:tc>
          <w:tcPr>
            <w:tcW w:w="516" w:type="pct"/>
            <w:tcBorders>
              <w:left w:val="nil"/>
              <w:right w:val="nil"/>
            </w:tcBorders>
            <w:shd w:val="clear" w:color="000000" w:fill="FFFFFF"/>
            <w:vAlign w:val="bottom"/>
          </w:tcPr>
          <w:p w14:paraId="2287EA5E"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209" w:type="pct"/>
            <w:tcBorders>
              <w:left w:val="nil"/>
              <w:right w:val="nil"/>
            </w:tcBorders>
            <w:shd w:val="clear" w:color="000000" w:fill="FFFFFF"/>
            <w:vAlign w:val="bottom"/>
          </w:tcPr>
          <w:p w14:paraId="5336E9BF"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left w:val="nil"/>
              <w:right w:val="nil"/>
            </w:tcBorders>
            <w:shd w:val="clear" w:color="000000" w:fill="FFFFFF"/>
            <w:noWrap/>
            <w:vAlign w:val="bottom"/>
          </w:tcPr>
          <w:p w14:paraId="7CB216CE"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6B83A3FC"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480A2750"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less than 7 years of service</w:t>
            </w:r>
          </w:p>
        </w:tc>
        <w:tc>
          <w:tcPr>
            <w:tcW w:w="516" w:type="pct"/>
            <w:tcBorders>
              <w:left w:val="nil"/>
              <w:right w:val="nil"/>
            </w:tcBorders>
            <w:shd w:val="clear" w:color="000000" w:fill="FFFFFF"/>
            <w:vAlign w:val="bottom"/>
          </w:tcPr>
          <w:p w14:paraId="4892FE88"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0%</w:t>
            </w:r>
          </w:p>
        </w:tc>
        <w:tc>
          <w:tcPr>
            <w:tcW w:w="209" w:type="pct"/>
            <w:tcBorders>
              <w:left w:val="nil"/>
              <w:right w:val="nil"/>
            </w:tcBorders>
            <w:shd w:val="clear" w:color="000000" w:fill="FFFFFF"/>
            <w:vAlign w:val="bottom"/>
          </w:tcPr>
          <w:p w14:paraId="4A3B7269"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823" w:type="pct"/>
            <w:tcBorders>
              <w:left w:val="nil"/>
              <w:right w:val="nil"/>
            </w:tcBorders>
            <w:shd w:val="clear" w:color="000000" w:fill="FFFFFF"/>
            <w:noWrap/>
            <w:vAlign w:val="bottom"/>
          </w:tcPr>
          <w:p w14:paraId="65A0F92A"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0%</w:t>
            </w:r>
          </w:p>
        </w:tc>
      </w:tr>
      <w:tr w:rsidR="00717BA5" w:rsidRPr="00717BA5" w14:paraId="7CAD1A34"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3436F1AF"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7 or more years of service</w:t>
            </w:r>
          </w:p>
        </w:tc>
        <w:tc>
          <w:tcPr>
            <w:tcW w:w="516" w:type="pct"/>
            <w:tcBorders>
              <w:left w:val="nil"/>
              <w:right w:val="nil"/>
            </w:tcBorders>
            <w:shd w:val="clear" w:color="000000" w:fill="FFFFFF"/>
            <w:vAlign w:val="bottom"/>
          </w:tcPr>
          <w:p w14:paraId="3AE29939"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6%</w:t>
            </w:r>
          </w:p>
        </w:tc>
        <w:tc>
          <w:tcPr>
            <w:tcW w:w="209" w:type="pct"/>
            <w:tcBorders>
              <w:left w:val="nil"/>
              <w:right w:val="nil"/>
            </w:tcBorders>
            <w:shd w:val="clear" w:color="000000" w:fill="FFFFFF"/>
            <w:vAlign w:val="bottom"/>
          </w:tcPr>
          <w:p w14:paraId="221CE099"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823" w:type="pct"/>
            <w:tcBorders>
              <w:left w:val="nil"/>
              <w:right w:val="nil"/>
            </w:tcBorders>
            <w:shd w:val="clear" w:color="000000" w:fill="FFFFFF"/>
            <w:noWrap/>
            <w:vAlign w:val="bottom"/>
          </w:tcPr>
          <w:p w14:paraId="48E10C99"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6%</w:t>
            </w:r>
          </w:p>
        </w:tc>
      </w:tr>
      <w:tr w:rsidR="00717BA5" w:rsidRPr="00717BA5" w14:paraId="293B3AB4"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17D327D1"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p>
        </w:tc>
        <w:tc>
          <w:tcPr>
            <w:tcW w:w="516" w:type="pct"/>
            <w:tcBorders>
              <w:left w:val="nil"/>
              <w:right w:val="nil"/>
            </w:tcBorders>
            <w:shd w:val="clear" w:color="000000" w:fill="FFFFFF"/>
            <w:vAlign w:val="bottom"/>
          </w:tcPr>
          <w:p w14:paraId="1AAB3832"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209" w:type="pct"/>
            <w:tcBorders>
              <w:left w:val="nil"/>
              <w:right w:val="nil"/>
            </w:tcBorders>
            <w:shd w:val="clear" w:color="000000" w:fill="FFFFFF"/>
            <w:vAlign w:val="bottom"/>
          </w:tcPr>
          <w:p w14:paraId="3597A3A4"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left w:val="nil"/>
              <w:right w:val="nil"/>
            </w:tcBorders>
            <w:shd w:val="clear" w:color="000000" w:fill="FFFFFF"/>
            <w:noWrap/>
            <w:vAlign w:val="bottom"/>
          </w:tcPr>
          <w:p w14:paraId="156D9D60"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r>
      <w:tr w:rsidR="00717BA5" w:rsidRPr="00717BA5" w14:paraId="3C4B7BFE" w14:textId="77777777" w:rsidTr="00F0752D">
        <w:trPr>
          <w:gridAfter w:val="3"/>
          <w:wAfter w:w="314" w:type="pct"/>
          <w:trHeight w:val="315"/>
        </w:trPr>
        <w:tc>
          <w:tcPr>
            <w:tcW w:w="4686" w:type="pct"/>
            <w:gridSpan w:val="4"/>
            <w:tcBorders>
              <w:left w:val="nil"/>
              <w:bottom w:val="nil"/>
            </w:tcBorders>
            <w:shd w:val="clear" w:color="000000" w:fill="FFFFFF"/>
            <w:vAlign w:val="bottom"/>
          </w:tcPr>
          <w:p w14:paraId="6047C229" w14:textId="77777777" w:rsidR="00717BA5" w:rsidRPr="00717BA5" w:rsidRDefault="00717BA5" w:rsidP="00717BA5">
            <w:pPr>
              <w:adjustRightInd w:val="0"/>
              <w:snapToGrid w:val="0"/>
              <w:rPr>
                <w:rFonts w:ascii="Arial" w:eastAsia="Times New Roman" w:hAnsi="Arial" w:cs="Arial"/>
                <w:b/>
                <w:bCs/>
                <w:color w:val="auto"/>
                <w:sz w:val="24"/>
                <w:szCs w:val="24"/>
                <w:lang w:val="en-AU"/>
              </w:rPr>
            </w:pPr>
          </w:p>
          <w:p w14:paraId="3BF096A1" w14:textId="77777777" w:rsidR="00717BA5" w:rsidRPr="00717BA5" w:rsidRDefault="00717BA5" w:rsidP="00717BA5">
            <w:pPr>
              <w:adjustRightInd w:val="0"/>
              <w:snapToGrid w:val="0"/>
              <w:rPr>
                <w:rFonts w:ascii="Arial" w:eastAsia="Times New Roman" w:hAnsi="Arial" w:cs="Arial"/>
                <w:b/>
                <w:bCs/>
                <w:color w:val="auto"/>
                <w:sz w:val="24"/>
                <w:szCs w:val="24"/>
                <w:lang w:val="en-AU"/>
              </w:rPr>
            </w:pPr>
          </w:p>
          <w:p w14:paraId="17CF825F" w14:textId="77777777" w:rsidR="00717BA5" w:rsidRPr="00717BA5" w:rsidRDefault="00717BA5" w:rsidP="00717BA5">
            <w:pPr>
              <w:adjustRightInd w:val="0"/>
              <w:snapToGrid w:val="0"/>
              <w:rPr>
                <w:rFonts w:ascii="Arial" w:eastAsia="Times New Roman" w:hAnsi="Arial" w:cs="Arial"/>
                <w:b/>
                <w:bCs/>
                <w:color w:val="auto"/>
                <w:sz w:val="24"/>
                <w:szCs w:val="24"/>
                <w:lang w:val="en-AU"/>
              </w:rPr>
            </w:pPr>
          </w:p>
          <w:p w14:paraId="0EC92EDC" w14:textId="77777777" w:rsidR="00717BA5" w:rsidRPr="00717BA5" w:rsidRDefault="00717BA5" w:rsidP="00717BA5">
            <w:pPr>
              <w:adjustRightInd w:val="0"/>
              <w:snapToGrid w:val="0"/>
              <w:rPr>
                <w:rFonts w:ascii="Arial" w:eastAsia="Times New Roman" w:hAnsi="Arial" w:cs="Arial"/>
                <w:b/>
                <w:bCs/>
                <w:color w:val="auto"/>
                <w:sz w:val="24"/>
                <w:szCs w:val="24"/>
                <w:lang w:val="en-AU"/>
              </w:rPr>
            </w:pPr>
          </w:p>
          <w:p w14:paraId="5717782D" w14:textId="77777777" w:rsidR="00717BA5" w:rsidRPr="00717BA5" w:rsidRDefault="00717BA5" w:rsidP="00717BA5">
            <w:pPr>
              <w:adjustRightInd w:val="0"/>
              <w:snapToGrid w:val="0"/>
              <w:rPr>
                <w:rFonts w:ascii="Arial" w:eastAsia="Times New Roman" w:hAnsi="Arial" w:cs="Arial"/>
                <w:b/>
                <w:bCs/>
                <w:color w:val="auto"/>
                <w:sz w:val="24"/>
                <w:szCs w:val="24"/>
                <w:lang w:val="en-AU"/>
              </w:rPr>
            </w:pPr>
          </w:p>
          <w:p w14:paraId="3A6A306A" w14:textId="77777777" w:rsidR="00717BA5" w:rsidRPr="00717BA5" w:rsidRDefault="00717BA5" w:rsidP="00717BA5">
            <w:pPr>
              <w:adjustRightInd w:val="0"/>
              <w:snapToGrid w:val="0"/>
              <w:rPr>
                <w:rFonts w:ascii="Arial" w:eastAsia="Times New Roman" w:hAnsi="Arial" w:cs="Arial"/>
                <w:b/>
                <w:bCs/>
                <w:color w:val="auto"/>
                <w:sz w:val="24"/>
                <w:szCs w:val="24"/>
                <w:lang w:val="en-AU"/>
              </w:rPr>
            </w:pPr>
          </w:p>
          <w:p w14:paraId="16D012B9" w14:textId="77777777" w:rsidR="00717BA5" w:rsidRPr="00717BA5" w:rsidRDefault="00717BA5" w:rsidP="00717BA5">
            <w:pPr>
              <w:adjustRightInd w:val="0"/>
              <w:snapToGrid w:val="0"/>
              <w:rPr>
                <w:rFonts w:ascii="Arial" w:eastAsia="Times New Roman" w:hAnsi="Arial" w:cs="Arial"/>
                <w:b/>
                <w:bCs/>
                <w:color w:val="auto"/>
                <w:sz w:val="24"/>
                <w:szCs w:val="24"/>
                <w:lang w:val="en-AU"/>
              </w:rPr>
            </w:pPr>
          </w:p>
          <w:p w14:paraId="476B103C" w14:textId="77777777" w:rsidR="00717BA5" w:rsidRPr="00341E60" w:rsidRDefault="00717BA5" w:rsidP="00341E60">
            <w:pPr>
              <w:keepNext/>
              <w:spacing w:after="120" w:line="240" w:lineRule="auto"/>
              <w:jc w:val="both"/>
              <w:outlineLvl w:val="1"/>
              <w:rPr>
                <w:rFonts w:ascii="Arial" w:eastAsia="Times New Roman" w:hAnsi="Arial" w:cs="Arial"/>
                <w:b/>
                <w:bCs/>
                <w:color w:val="auto"/>
                <w:sz w:val="24"/>
                <w:szCs w:val="24"/>
                <w:lang w:val="en-AU"/>
              </w:rPr>
            </w:pPr>
            <w:bookmarkStart w:id="113" w:name="_Toc240533527"/>
            <w:r w:rsidRPr="00717BA5">
              <w:rPr>
                <w:rFonts w:ascii="Arial" w:eastAsia="Times New Roman" w:hAnsi="Arial" w:cs="Arial"/>
                <w:b/>
                <w:bCs/>
                <w:color w:val="auto"/>
                <w:sz w:val="24"/>
                <w:szCs w:val="24"/>
                <w:lang w:val="en-AU"/>
              </w:rPr>
              <w:t xml:space="preserve">NOTE 15. </w:t>
            </w:r>
            <w:r w:rsidRPr="00341E60">
              <w:rPr>
                <w:rFonts w:ascii="Arial" w:eastAsia="Times New Roman" w:hAnsi="Arial" w:cs="Arial"/>
                <w:b/>
                <w:bCs/>
                <w:color w:val="auto"/>
                <w:sz w:val="24"/>
                <w:szCs w:val="24"/>
                <w:lang w:val="en-AU"/>
              </w:rPr>
              <w:t xml:space="preserve"> </w:t>
            </w:r>
            <w:r w:rsidRPr="00717BA5">
              <w:rPr>
                <w:rFonts w:ascii="Arial" w:eastAsia="Times New Roman" w:hAnsi="Arial" w:cs="Arial"/>
                <w:b/>
                <w:bCs/>
                <w:color w:val="auto"/>
                <w:sz w:val="24"/>
                <w:szCs w:val="24"/>
                <w:lang w:val="en-AU"/>
              </w:rPr>
              <w:t>PROVISION FOR LONG SERVICE LEAVE BENEFITS - CONTINUED</w:t>
            </w:r>
            <w:bookmarkEnd w:id="113"/>
          </w:p>
          <w:p w14:paraId="715A9D25"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 </w:t>
            </w:r>
          </w:p>
        </w:tc>
      </w:tr>
      <w:tr w:rsidR="00717BA5" w:rsidRPr="00717BA5" w14:paraId="618CBD23" w14:textId="77777777" w:rsidTr="00F0752D">
        <w:trPr>
          <w:gridAfter w:val="3"/>
          <w:wAfter w:w="314" w:type="pct"/>
          <w:trHeight w:val="315"/>
        </w:trPr>
        <w:tc>
          <w:tcPr>
            <w:tcW w:w="4686" w:type="pct"/>
            <w:gridSpan w:val="4"/>
            <w:tcBorders>
              <w:left w:val="nil"/>
              <w:bottom w:val="nil"/>
              <w:right w:val="nil"/>
            </w:tcBorders>
            <w:shd w:val="clear" w:color="000000" w:fill="FFFFFF"/>
            <w:vAlign w:val="bottom"/>
          </w:tcPr>
          <w:p w14:paraId="36E09A50" w14:textId="77777777" w:rsidR="00717BA5" w:rsidRPr="00717BA5" w:rsidRDefault="00717BA5" w:rsidP="00717BA5">
            <w:pPr>
              <w:adjustRightInd w:val="0"/>
              <w:snapToGrid w:val="0"/>
              <w:rPr>
                <w:rFonts w:ascii="Arial" w:eastAsia="Calibri" w:hAnsi="Arial" w:cs="Arial"/>
                <w:color w:val="auto"/>
                <w:lang w:val="en-AU"/>
              </w:rPr>
            </w:pPr>
            <w:r w:rsidRPr="00717BA5">
              <w:rPr>
                <w:rFonts w:ascii="Arial" w:eastAsia="Calibri" w:hAnsi="Arial" w:cs="Arial"/>
                <w:color w:val="auto"/>
                <w:spacing w:val="-1"/>
              </w:rPr>
              <w:lastRenderedPageBreak/>
              <w:t xml:space="preserve">The discount rate used to estimate the present value of long service leave provisions is the expected return on assets, which was also used in ACT Leave’s triennial actuarial valuations to determine contribution levies. ACT Leave and its’ actuary regarded the expected return on assets to be a reliable measure, according to AASB 137 </w:t>
            </w:r>
            <w:r w:rsidRPr="00717BA5">
              <w:rPr>
                <w:rFonts w:ascii="Arial" w:eastAsia="Calibri" w:hAnsi="Arial" w:cs="Arial"/>
                <w:i/>
                <w:iCs/>
                <w:color w:val="auto"/>
                <w:spacing w:val="-1"/>
              </w:rPr>
              <w:t>‘Provisions, Contingent Assets and Contingent Liabilities’</w:t>
            </w:r>
            <w:r w:rsidRPr="00717BA5">
              <w:rPr>
                <w:rFonts w:ascii="Arial" w:eastAsia="Calibri" w:hAnsi="Arial" w:cs="Arial"/>
                <w:color w:val="auto"/>
                <w:spacing w:val="-1"/>
              </w:rPr>
              <w:t>, of the time value of money for the long service leave liabilities. The expected return on assets used as a discount rate, 5.6% per annum at 30 June 2026 (30 June 2025: 6.0% per annum), is based on the long-term return rate of ACT Leave’s investments, with funds invested in accordance with the strategic asset allocation prescribed in ACT Leave’s Investment Plan, approved by the Treasurer. ACT Leave may, from time to time, vary the discount rate based on an assessment of investment conditions.</w:t>
            </w:r>
          </w:p>
        </w:tc>
      </w:tr>
      <w:tr w:rsidR="00717BA5" w:rsidRPr="00717BA5" w14:paraId="23DAE46A" w14:textId="77777777" w:rsidTr="00F0752D">
        <w:trPr>
          <w:gridAfter w:val="3"/>
          <w:wAfter w:w="314" w:type="pct"/>
          <w:trHeight w:val="315"/>
        </w:trPr>
        <w:tc>
          <w:tcPr>
            <w:tcW w:w="4686" w:type="pct"/>
            <w:gridSpan w:val="4"/>
            <w:tcBorders>
              <w:left w:val="nil"/>
              <w:bottom w:val="nil"/>
              <w:right w:val="nil"/>
            </w:tcBorders>
            <w:shd w:val="clear" w:color="000000" w:fill="FFFFFF"/>
            <w:vAlign w:val="bottom"/>
          </w:tcPr>
          <w:p w14:paraId="6F40CBE4" w14:textId="77777777" w:rsidR="00717BA5" w:rsidRPr="00717BA5" w:rsidRDefault="00717BA5" w:rsidP="00717BA5">
            <w:pPr>
              <w:adjustRightInd w:val="0"/>
              <w:snapToGrid w:val="0"/>
              <w:rPr>
                <w:rFonts w:ascii="Arial" w:eastAsia="Times New Roman" w:hAnsi="Arial" w:cs="Arial"/>
                <w:b/>
                <w:bCs/>
                <w:i/>
                <w:iCs/>
                <w:color w:val="auto"/>
                <w:sz w:val="24"/>
                <w:szCs w:val="24"/>
                <w:lang w:val="en-AU"/>
              </w:rPr>
            </w:pPr>
            <w:r w:rsidRPr="00717BA5">
              <w:rPr>
                <w:rFonts w:ascii="Arial" w:eastAsia="Calibri" w:hAnsi="Arial" w:cs="Arial"/>
                <w:b/>
                <w:bCs/>
                <w:color w:val="auto"/>
                <w:lang w:val="en-AU"/>
              </w:rPr>
              <w:t>Increase in future wages</w:t>
            </w:r>
          </w:p>
        </w:tc>
      </w:tr>
      <w:tr w:rsidR="00717BA5" w:rsidRPr="00717BA5" w14:paraId="10D52F5C" w14:textId="77777777" w:rsidTr="00F0752D">
        <w:trPr>
          <w:gridAfter w:val="3"/>
          <w:wAfter w:w="314" w:type="pct"/>
          <w:trHeight w:val="684"/>
        </w:trPr>
        <w:tc>
          <w:tcPr>
            <w:tcW w:w="4686" w:type="pct"/>
            <w:gridSpan w:val="4"/>
            <w:tcBorders>
              <w:left w:val="nil"/>
              <w:bottom w:val="nil"/>
              <w:right w:val="nil"/>
            </w:tcBorders>
            <w:shd w:val="clear" w:color="000000" w:fill="FFFFFF"/>
          </w:tcPr>
          <w:p w14:paraId="1F797048" w14:textId="77777777" w:rsidR="00717BA5" w:rsidRPr="00717BA5" w:rsidRDefault="00717BA5" w:rsidP="00717BA5">
            <w:pPr>
              <w:adjustRightInd w:val="0"/>
              <w:snapToGrid w:val="0"/>
              <w:rPr>
                <w:rFonts w:ascii="Arial" w:eastAsia="Calibri" w:hAnsi="Arial" w:cs="Arial"/>
                <w:color w:val="auto"/>
                <w:spacing w:val="-1"/>
              </w:rPr>
            </w:pPr>
            <w:r w:rsidRPr="00717BA5">
              <w:rPr>
                <w:rFonts w:ascii="Arial" w:eastAsia="Calibri" w:hAnsi="Arial" w:cs="Arial"/>
                <w:color w:val="auto"/>
                <w:spacing w:val="-1"/>
              </w:rPr>
              <w:t>Increases in future wages due to inflation of 2.5% per annum at 30 June 2026 (30 June 2025: 3.0% for the next year and 2.5% per annum thereafter).</w:t>
            </w:r>
          </w:p>
        </w:tc>
      </w:tr>
      <w:tr w:rsidR="00717BA5" w:rsidRPr="00717BA5" w14:paraId="27862ED5"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5D868E8C" w14:textId="77777777" w:rsidR="00717BA5" w:rsidRPr="00717BA5" w:rsidRDefault="00717BA5" w:rsidP="00717BA5">
            <w:pPr>
              <w:widowControl w:val="0"/>
              <w:tabs>
                <w:tab w:val="left" w:pos="833"/>
              </w:tabs>
              <w:spacing w:before="38" w:after="0" w:line="240" w:lineRule="auto"/>
              <w:jc w:val="both"/>
              <w:rPr>
                <w:rFonts w:ascii="Arial" w:eastAsia="Calibri" w:hAnsi="Arial" w:cs="Arial"/>
                <w:b/>
                <w:bCs/>
                <w:color w:val="auto"/>
                <w:sz w:val="18"/>
                <w:szCs w:val="18"/>
                <w:lang w:val="en-AU" w:eastAsia="en-US"/>
              </w:rPr>
            </w:pPr>
            <w:r w:rsidRPr="00717BA5">
              <w:rPr>
                <w:rFonts w:ascii="Arial" w:eastAsia="Calibri" w:hAnsi="Arial" w:cs="Arial"/>
                <w:b/>
                <w:bCs/>
                <w:color w:val="auto"/>
                <w:sz w:val="18"/>
                <w:szCs w:val="18"/>
                <w:lang w:eastAsia="en-US"/>
              </w:rPr>
              <w:t>Increases in future wages (per annum) based on a service-based wage progression scale over and above inflation</w:t>
            </w:r>
          </w:p>
        </w:tc>
        <w:tc>
          <w:tcPr>
            <w:tcW w:w="516" w:type="pct"/>
            <w:tcBorders>
              <w:left w:val="nil"/>
              <w:right w:val="nil"/>
            </w:tcBorders>
            <w:shd w:val="clear" w:color="000000" w:fill="FFFFFF"/>
            <w:vAlign w:val="bottom"/>
          </w:tcPr>
          <w:p w14:paraId="0E177E8F"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209" w:type="pct"/>
            <w:tcBorders>
              <w:left w:val="nil"/>
              <w:right w:val="nil"/>
            </w:tcBorders>
            <w:shd w:val="clear" w:color="000000" w:fill="FFFFFF"/>
            <w:vAlign w:val="bottom"/>
          </w:tcPr>
          <w:p w14:paraId="365EE46E"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p>
        </w:tc>
        <w:tc>
          <w:tcPr>
            <w:tcW w:w="823" w:type="pct"/>
            <w:tcBorders>
              <w:left w:val="nil"/>
              <w:right w:val="nil"/>
            </w:tcBorders>
            <w:shd w:val="clear" w:color="000000" w:fill="FFFFFF"/>
            <w:noWrap/>
            <w:vAlign w:val="bottom"/>
          </w:tcPr>
          <w:p w14:paraId="716E1771"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10D19EF2" w14:textId="77777777" w:rsidTr="00F0752D">
        <w:trPr>
          <w:gridAfter w:val="3"/>
          <w:wAfter w:w="314" w:type="pct"/>
          <w:trHeight w:val="315"/>
        </w:trPr>
        <w:tc>
          <w:tcPr>
            <w:tcW w:w="3137" w:type="pct"/>
            <w:tcBorders>
              <w:left w:val="nil"/>
              <w:right w:val="nil"/>
            </w:tcBorders>
            <w:shd w:val="clear" w:color="000000" w:fill="FFFFFF"/>
            <w:vAlign w:val="bottom"/>
          </w:tcPr>
          <w:p w14:paraId="61BF60B1"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less than 1 year of service</w:t>
            </w:r>
          </w:p>
        </w:tc>
        <w:tc>
          <w:tcPr>
            <w:tcW w:w="516" w:type="pct"/>
            <w:tcBorders>
              <w:left w:val="nil"/>
              <w:right w:val="nil"/>
            </w:tcBorders>
            <w:shd w:val="clear" w:color="000000" w:fill="FFFFFF"/>
            <w:vAlign w:val="bottom"/>
          </w:tcPr>
          <w:p w14:paraId="05ED52CD"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24%</w:t>
            </w:r>
          </w:p>
        </w:tc>
        <w:tc>
          <w:tcPr>
            <w:tcW w:w="209" w:type="pct"/>
            <w:tcBorders>
              <w:left w:val="nil"/>
              <w:right w:val="nil"/>
            </w:tcBorders>
            <w:shd w:val="clear" w:color="000000" w:fill="FFFFFF"/>
            <w:vAlign w:val="bottom"/>
          </w:tcPr>
          <w:p w14:paraId="7C8E368B"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823" w:type="pct"/>
            <w:tcBorders>
              <w:left w:val="nil"/>
              <w:right w:val="nil"/>
            </w:tcBorders>
            <w:shd w:val="clear" w:color="000000" w:fill="FFFFFF"/>
            <w:noWrap/>
            <w:vAlign w:val="bottom"/>
          </w:tcPr>
          <w:p w14:paraId="76CF7BE9"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24%</w:t>
            </w:r>
          </w:p>
        </w:tc>
      </w:tr>
      <w:tr w:rsidR="00717BA5" w:rsidRPr="00717BA5" w14:paraId="48AB5BE8" w14:textId="77777777" w:rsidTr="00F0752D">
        <w:trPr>
          <w:gridAfter w:val="3"/>
          <w:wAfter w:w="314" w:type="pct"/>
          <w:trHeight w:val="315"/>
        </w:trPr>
        <w:tc>
          <w:tcPr>
            <w:tcW w:w="3137" w:type="pct"/>
            <w:tcBorders>
              <w:left w:val="nil"/>
              <w:right w:val="nil"/>
            </w:tcBorders>
            <w:shd w:val="clear" w:color="000000" w:fill="FFFFFF"/>
            <w:vAlign w:val="bottom"/>
          </w:tcPr>
          <w:p w14:paraId="54CB62C9"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1 year of service</w:t>
            </w:r>
          </w:p>
        </w:tc>
        <w:tc>
          <w:tcPr>
            <w:tcW w:w="516" w:type="pct"/>
            <w:tcBorders>
              <w:left w:val="nil"/>
              <w:right w:val="nil"/>
            </w:tcBorders>
            <w:shd w:val="clear" w:color="000000" w:fill="FFFFFF"/>
            <w:vAlign w:val="bottom"/>
          </w:tcPr>
          <w:p w14:paraId="19998DB1"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9%</w:t>
            </w:r>
          </w:p>
        </w:tc>
        <w:tc>
          <w:tcPr>
            <w:tcW w:w="209" w:type="pct"/>
            <w:tcBorders>
              <w:left w:val="nil"/>
              <w:right w:val="nil"/>
            </w:tcBorders>
            <w:shd w:val="clear" w:color="000000" w:fill="FFFFFF"/>
            <w:vAlign w:val="bottom"/>
          </w:tcPr>
          <w:p w14:paraId="32DD7C85"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823" w:type="pct"/>
            <w:tcBorders>
              <w:left w:val="nil"/>
              <w:right w:val="nil"/>
            </w:tcBorders>
            <w:shd w:val="clear" w:color="000000" w:fill="FFFFFF"/>
            <w:noWrap/>
            <w:vAlign w:val="bottom"/>
          </w:tcPr>
          <w:p w14:paraId="75FEBD26"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9%</w:t>
            </w:r>
          </w:p>
        </w:tc>
      </w:tr>
      <w:tr w:rsidR="00717BA5" w:rsidRPr="00717BA5" w14:paraId="202992E4" w14:textId="77777777" w:rsidTr="00F0752D">
        <w:trPr>
          <w:gridAfter w:val="3"/>
          <w:wAfter w:w="314" w:type="pct"/>
          <w:trHeight w:val="315"/>
        </w:trPr>
        <w:tc>
          <w:tcPr>
            <w:tcW w:w="3137" w:type="pct"/>
            <w:tcBorders>
              <w:left w:val="nil"/>
              <w:right w:val="nil"/>
            </w:tcBorders>
            <w:shd w:val="clear" w:color="000000" w:fill="FFFFFF"/>
            <w:vAlign w:val="bottom"/>
          </w:tcPr>
          <w:p w14:paraId="70F1ABEB"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2-3 years of service</w:t>
            </w:r>
          </w:p>
        </w:tc>
        <w:tc>
          <w:tcPr>
            <w:tcW w:w="516" w:type="pct"/>
            <w:tcBorders>
              <w:left w:val="nil"/>
              <w:right w:val="nil"/>
            </w:tcBorders>
            <w:shd w:val="clear" w:color="000000" w:fill="FFFFFF"/>
            <w:vAlign w:val="bottom"/>
          </w:tcPr>
          <w:p w14:paraId="025D5202"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5%</w:t>
            </w:r>
          </w:p>
        </w:tc>
        <w:tc>
          <w:tcPr>
            <w:tcW w:w="209" w:type="pct"/>
            <w:tcBorders>
              <w:left w:val="nil"/>
              <w:right w:val="nil"/>
            </w:tcBorders>
            <w:shd w:val="clear" w:color="000000" w:fill="FFFFFF"/>
            <w:vAlign w:val="bottom"/>
          </w:tcPr>
          <w:p w14:paraId="511FBF1D"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823" w:type="pct"/>
            <w:tcBorders>
              <w:left w:val="nil"/>
              <w:right w:val="nil"/>
            </w:tcBorders>
            <w:shd w:val="clear" w:color="000000" w:fill="FFFFFF"/>
            <w:noWrap/>
            <w:vAlign w:val="bottom"/>
          </w:tcPr>
          <w:p w14:paraId="49F391B4"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5%</w:t>
            </w:r>
          </w:p>
        </w:tc>
      </w:tr>
      <w:tr w:rsidR="00717BA5" w:rsidRPr="00717BA5" w14:paraId="0910E71D" w14:textId="77777777" w:rsidTr="00F0752D">
        <w:trPr>
          <w:gridAfter w:val="3"/>
          <w:wAfter w:w="314" w:type="pct"/>
          <w:trHeight w:val="315"/>
        </w:trPr>
        <w:tc>
          <w:tcPr>
            <w:tcW w:w="3137" w:type="pct"/>
            <w:tcBorders>
              <w:left w:val="nil"/>
              <w:right w:val="nil"/>
            </w:tcBorders>
            <w:shd w:val="clear" w:color="000000" w:fill="FFFFFF"/>
            <w:vAlign w:val="bottom"/>
          </w:tcPr>
          <w:p w14:paraId="75F4E8E6"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4-6 years of service</w:t>
            </w:r>
          </w:p>
        </w:tc>
        <w:tc>
          <w:tcPr>
            <w:tcW w:w="516" w:type="pct"/>
            <w:tcBorders>
              <w:left w:val="nil"/>
              <w:right w:val="nil"/>
            </w:tcBorders>
            <w:shd w:val="clear" w:color="000000" w:fill="FFFFFF"/>
            <w:vAlign w:val="bottom"/>
          </w:tcPr>
          <w:p w14:paraId="4F97C8F9"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3%</w:t>
            </w:r>
          </w:p>
        </w:tc>
        <w:tc>
          <w:tcPr>
            <w:tcW w:w="209" w:type="pct"/>
            <w:tcBorders>
              <w:left w:val="nil"/>
              <w:right w:val="nil"/>
            </w:tcBorders>
            <w:shd w:val="clear" w:color="000000" w:fill="FFFFFF"/>
            <w:vAlign w:val="bottom"/>
          </w:tcPr>
          <w:p w14:paraId="0D05D765"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823" w:type="pct"/>
            <w:tcBorders>
              <w:left w:val="nil"/>
              <w:right w:val="nil"/>
            </w:tcBorders>
            <w:shd w:val="clear" w:color="000000" w:fill="FFFFFF"/>
            <w:noWrap/>
            <w:vAlign w:val="bottom"/>
          </w:tcPr>
          <w:p w14:paraId="3424F67D"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3%</w:t>
            </w:r>
          </w:p>
        </w:tc>
      </w:tr>
      <w:tr w:rsidR="00717BA5" w:rsidRPr="00717BA5" w14:paraId="797F9026" w14:textId="77777777" w:rsidTr="00F0752D">
        <w:trPr>
          <w:gridAfter w:val="3"/>
          <w:wAfter w:w="314" w:type="pct"/>
          <w:trHeight w:val="315"/>
        </w:trPr>
        <w:tc>
          <w:tcPr>
            <w:tcW w:w="3137" w:type="pct"/>
            <w:tcBorders>
              <w:left w:val="nil"/>
              <w:right w:val="nil"/>
            </w:tcBorders>
            <w:shd w:val="clear" w:color="000000" w:fill="FFFFFF"/>
            <w:vAlign w:val="bottom"/>
          </w:tcPr>
          <w:p w14:paraId="687F04DF"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7-10 years of service</w:t>
            </w:r>
          </w:p>
        </w:tc>
        <w:tc>
          <w:tcPr>
            <w:tcW w:w="516" w:type="pct"/>
            <w:tcBorders>
              <w:left w:val="nil"/>
              <w:right w:val="nil"/>
            </w:tcBorders>
            <w:shd w:val="clear" w:color="000000" w:fill="FFFFFF"/>
            <w:vAlign w:val="bottom"/>
          </w:tcPr>
          <w:p w14:paraId="6BEAC7D6"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1%</w:t>
            </w:r>
          </w:p>
        </w:tc>
        <w:tc>
          <w:tcPr>
            <w:tcW w:w="209" w:type="pct"/>
            <w:tcBorders>
              <w:left w:val="nil"/>
              <w:right w:val="nil"/>
            </w:tcBorders>
            <w:shd w:val="clear" w:color="000000" w:fill="FFFFFF"/>
            <w:vAlign w:val="bottom"/>
          </w:tcPr>
          <w:p w14:paraId="29013B01"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823" w:type="pct"/>
            <w:tcBorders>
              <w:left w:val="nil"/>
              <w:right w:val="nil"/>
            </w:tcBorders>
            <w:shd w:val="clear" w:color="000000" w:fill="FFFFFF"/>
            <w:noWrap/>
            <w:vAlign w:val="bottom"/>
          </w:tcPr>
          <w:p w14:paraId="2F415C52"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1%</w:t>
            </w:r>
          </w:p>
        </w:tc>
      </w:tr>
      <w:tr w:rsidR="00717BA5" w:rsidRPr="00717BA5" w14:paraId="04744D9B"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2DCA0442" w14:textId="77777777" w:rsidR="00717BA5" w:rsidRPr="00717BA5" w:rsidRDefault="00717BA5" w:rsidP="00717BA5">
            <w:pPr>
              <w:widowControl w:val="0"/>
              <w:numPr>
                <w:ilvl w:val="0"/>
                <w:numId w:val="74"/>
              </w:numPr>
              <w:tabs>
                <w:tab w:val="left" w:pos="833"/>
              </w:tabs>
              <w:spacing w:before="38" w:after="0" w:line="240" w:lineRule="auto"/>
              <w:jc w:val="both"/>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Workers with 11 or more years of service</w:t>
            </w:r>
          </w:p>
        </w:tc>
        <w:tc>
          <w:tcPr>
            <w:tcW w:w="516" w:type="pct"/>
            <w:tcBorders>
              <w:left w:val="nil"/>
              <w:right w:val="nil"/>
            </w:tcBorders>
            <w:shd w:val="clear" w:color="000000" w:fill="FFFFFF"/>
            <w:vAlign w:val="bottom"/>
          </w:tcPr>
          <w:p w14:paraId="3A121498"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0%</w:t>
            </w:r>
          </w:p>
        </w:tc>
        <w:tc>
          <w:tcPr>
            <w:tcW w:w="209" w:type="pct"/>
            <w:tcBorders>
              <w:left w:val="nil"/>
              <w:right w:val="nil"/>
            </w:tcBorders>
            <w:shd w:val="clear" w:color="000000" w:fill="FFFFFF"/>
            <w:vAlign w:val="bottom"/>
          </w:tcPr>
          <w:p w14:paraId="62ACE308"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p>
        </w:tc>
        <w:tc>
          <w:tcPr>
            <w:tcW w:w="823" w:type="pct"/>
            <w:tcBorders>
              <w:left w:val="nil"/>
              <w:right w:val="nil"/>
            </w:tcBorders>
            <w:shd w:val="clear" w:color="000000" w:fill="FFFFFF"/>
            <w:noWrap/>
            <w:vAlign w:val="bottom"/>
          </w:tcPr>
          <w:p w14:paraId="1D8EA59E" w14:textId="77777777" w:rsidR="00717BA5" w:rsidRPr="00717BA5" w:rsidRDefault="00717BA5" w:rsidP="00717BA5">
            <w:pPr>
              <w:widowControl w:val="0"/>
              <w:tabs>
                <w:tab w:val="left" w:pos="833"/>
              </w:tabs>
              <w:spacing w:before="38" w:after="0" w:line="240" w:lineRule="auto"/>
              <w:jc w:val="right"/>
              <w:rPr>
                <w:rFonts w:ascii="Arial" w:eastAsia="Calibri" w:hAnsi="Arial" w:cs="Arial"/>
                <w:bCs/>
                <w:color w:val="auto"/>
                <w:sz w:val="18"/>
                <w:szCs w:val="18"/>
                <w:lang w:val="en-AU" w:eastAsia="en-US"/>
              </w:rPr>
            </w:pPr>
            <w:r w:rsidRPr="00717BA5">
              <w:rPr>
                <w:rFonts w:ascii="Arial" w:eastAsia="Calibri" w:hAnsi="Arial" w:cs="Arial"/>
                <w:bCs/>
                <w:color w:val="auto"/>
                <w:sz w:val="18"/>
                <w:szCs w:val="18"/>
                <w:lang w:val="en-AU" w:eastAsia="en-US"/>
              </w:rPr>
              <w:t>0%</w:t>
            </w:r>
          </w:p>
        </w:tc>
      </w:tr>
      <w:tr w:rsidR="00717BA5" w:rsidRPr="00717BA5" w14:paraId="50A75BB6"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7CD1F76A"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p>
        </w:tc>
        <w:tc>
          <w:tcPr>
            <w:tcW w:w="516" w:type="pct"/>
            <w:tcBorders>
              <w:left w:val="nil"/>
              <w:right w:val="nil"/>
            </w:tcBorders>
            <w:shd w:val="clear" w:color="000000" w:fill="FFFFFF"/>
            <w:vAlign w:val="bottom"/>
          </w:tcPr>
          <w:p w14:paraId="1E0DA1FC"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209" w:type="pct"/>
            <w:tcBorders>
              <w:left w:val="nil"/>
              <w:right w:val="nil"/>
            </w:tcBorders>
            <w:shd w:val="clear" w:color="000000" w:fill="FFFFFF"/>
            <w:vAlign w:val="bottom"/>
          </w:tcPr>
          <w:p w14:paraId="0C0BF96C"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left w:val="nil"/>
              <w:right w:val="nil"/>
            </w:tcBorders>
            <w:shd w:val="clear" w:color="000000" w:fill="FFFFFF"/>
            <w:noWrap/>
            <w:vAlign w:val="bottom"/>
          </w:tcPr>
          <w:p w14:paraId="426C528A"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r>
      <w:tr w:rsidR="00717BA5" w:rsidRPr="00717BA5" w14:paraId="1CA1AE5D" w14:textId="77777777" w:rsidTr="00F0752D">
        <w:trPr>
          <w:trHeight w:val="315"/>
        </w:trPr>
        <w:tc>
          <w:tcPr>
            <w:tcW w:w="4686" w:type="pct"/>
            <w:gridSpan w:val="4"/>
            <w:tcBorders>
              <w:left w:val="nil"/>
              <w:bottom w:val="nil"/>
              <w:right w:val="nil"/>
            </w:tcBorders>
            <w:shd w:val="clear" w:color="000000" w:fill="FFFFFF"/>
            <w:vAlign w:val="bottom"/>
          </w:tcPr>
          <w:p w14:paraId="3F763E51" w14:textId="77777777" w:rsidR="00717BA5" w:rsidRPr="00717BA5" w:rsidRDefault="00717BA5" w:rsidP="00717BA5">
            <w:pPr>
              <w:adjustRightInd w:val="0"/>
              <w:snapToGrid w:val="0"/>
              <w:rPr>
                <w:rFonts w:ascii="Arial" w:eastAsia="Calibri" w:hAnsi="Arial" w:cs="Arial"/>
                <w:b/>
                <w:bCs/>
                <w:color w:val="auto"/>
                <w:lang w:val="en-AU"/>
              </w:rPr>
            </w:pPr>
            <w:r w:rsidRPr="00717BA5">
              <w:rPr>
                <w:rFonts w:ascii="Arial" w:eastAsia="Times New Roman" w:hAnsi="Arial" w:cs="Arial"/>
                <w:b/>
                <w:bCs/>
                <w:color w:val="auto"/>
                <w:lang w:val="en-AU"/>
              </w:rPr>
              <w:t>Other demographic assumptions</w:t>
            </w:r>
          </w:p>
        </w:tc>
        <w:tc>
          <w:tcPr>
            <w:tcW w:w="105" w:type="pct"/>
            <w:vAlign w:val="bottom"/>
          </w:tcPr>
          <w:p w14:paraId="3641842A" w14:textId="77777777" w:rsidR="00717BA5" w:rsidRPr="00717BA5" w:rsidRDefault="00717BA5" w:rsidP="00717BA5">
            <w:pPr>
              <w:spacing w:after="0" w:line="240" w:lineRule="auto"/>
              <w:rPr>
                <w:rFonts w:ascii="Arial" w:eastAsia="SimSun" w:hAnsi="Arial" w:cs="Arial"/>
                <w:color w:val="auto"/>
                <w:lang w:val="en-AU" w:eastAsia="en-US"/>
              </w:rPr>
            </w:pPr>
          </w:p>
        </w:tc>
        <w:tc>
          <w:tcPr>
            <w:tcW w:w="105" w:type="pct"/>
            <w:vAlign w:val="bottom"/>
          </w:tcPr>
          <w:p w14:paraId="0A7817D4" w14:textId="77777777" w:rsidR="00717BA5" w:rsidRPr="00717BA5" w:rsidRDefault="00717BA5" w:rsidP="00717BA5">
            <w:pPr>
              <w:spacing w:after="0" w:line="240" w:lineRule="auto"/>
              <w:rPr>
                <w:rFonts w:ascii="Arial" w:eastAsia="SimSun" w:hAnsi="Arial" w:cs="Arial"/>
                <w:color w:val="auto"/>
                <w:lang w:val="en-AU" w:eastAsia="en-US"/>
              </w:rPr>
            </w:pPr>
          </w:p>
        </w:tc>
        <w:tc>
          <w:tcPr>
            <w:tcW w:w="105" w:type="pct"/>
            <w:vAlign w:val="bottom"/>
          </w:tcPr>
          <w:p w14:paraId="3C36C7F4" w14:textId="77777777" w:rsidR="00717BA5" w:rsidRPr="00717BA5" w:rsidRDefault="00717BA5" w:rsidP="00717BA5">
            <w:pPr>
              <w:spacing w:after="0" w:line="240" w:lineRule="auto"/>
              <w:rPr>
                <w:rFonts w:ascii="Arial" w:eastAsia="SimSun" w:hAnsi="Arial" w:cs="Arial"/>
                <w:color w:val="auto"/>
                <w:lang w:val="en-AU" w:eastAsia="en-US"/>
              </w:rPr>
            </w:pPr>
          </w:p>
        </w:tc>
      </w:tr>
      <w:tr w:rsidR="00717BA5" w:rsidRPr="00717BA5" w14:paraId="156B8DD7" w14:textId="77777777" w:rsidTr="00F0752D">
        <w:trPr>
          <w:gridAfter w:val="3"/>
          <w:wAfter w:w="314" w:type="pct"/>
          <w:trHeight w:val="315"/>
        </w:trPr>
        <w:tc>
          <w:tcPr>
            <w:tcW w:w="4686" w:type="pct"/>
            <w:gridSpan w:val="4"/>
            <w:tcBorders>
              <w:left w:val="nil"/>
              <w:bottom w:val="nil"/>
              <w:right w:val="nil"/>
            </w:tcBorders>
            <w:shd w:val="clear" w:color="000000" w:fill="FFFFFF"/>
            <w:vAlign w:val="bottom"/>
          </w:tcPr>
          <w:p w14:paraId="01AAEDA5" w14:textId="77777777" w:rsidR="00717BA5" w:rsidRPr="00717BA5" w:rsidRDefault="00717BA5" w:rsidP="00717BA5">
            <w:pPr>
              <w:adjustRightInd w:val="0"/>
              <w:snapToGrid w:val="0"/>
              <w:rPr>
                <w:rFonts w:ascii="Arial" w:eastAsia="Calibri" w:hAnsi="Arial" w:cs="Arial"/>
                <w:color w:val="auto"/>
                <w:spacing w:val="-1"/>
              </w:rPr>
            </w:pPr>
            <w:r w:rsidRPr="00717BA5">
              <w:rPr>
                <w:rFonts w:ascii="Arial" w:eastAsia="Calibri" w:hAnsi="Arial" w:cs="Arial"/>
                <w:color w:val="auto"/>
                <w:spacing w:val="-1"/>
              </w:rPr>
              <w:t>It was also assumed that 0% of registered workers who do not have any service credits in the previous year will re-commence receiving service credits (30 June 2025: same assumption applied).</w:t>
            </w:r>
          </w:p>
        </w:tc>
      </w:tr>
      <w:tr w:rsidR="00717BA5" w:rsidRPr="00717BA5" w14:paraId="0F8E2011" w14:textId="77777777" w:rsidTr="00F0752D">
        <w:trPr>
          <w:gridAfter w:val="3"/>
          <w:wAfter w:w="314" w:type="pct"/>
          <w:trHeight w:val="315"/>
        </w:trPr>
        <w:tc>
          <w:tcPr>
            <w:tcW w:w="4686" w:type="pct"/>
            <w:gridSpan w:val="4"/>
            <w:tcBorders>
              <w:left w:val="nil"/>
              <w:bottom w:val="nil"/>
              <w:right w:val="nil"/>
            </w:tcBorders>
            <w:shd w:val="clear" w:color="000000" w:fill="FFFFFF"/>
            <w:vAlign w:val="bottom"/>
          </w:tcPr>
          <w:p w14:paraId="5A2D1BBE" w14:textId="77777777" w:rsidR="00717BA5" w:rsidRPr="00717BA5" w:rsidRDefault="00717BA5" w:rsidP="00717BA5">
            <w:pPr>
              <w:adjustRightInd w:val="0"/>
              <w:snapToGrid w:val="0"/>
              <w:rPr>
                <w:rFonts w:ascii="Arial" w:eastAsia="Calibri" w:hAnsi="Arial" w:cs="Arial"/>
                <w:b/>
                <w:bCs/>
                <w:color w:val="auto"/>
                <w:spacing w:val="-1"/>
              </w:rPr>
            </w:pPr>
            <w:r w:rsidRPr="00717BA5">
              <w:rPr>
                <w:rFonts w:ascii="Arial" w:eastAsia="Calibri" w:hAnsi="Arial" w:cs="Arial"/>
                <w:b/>
                <w:bCs/>
                <w:color w:val="auto"/>
                <w:lang w:val="en-AU"/>
              </w:rPr>
              <w:t>Processing and settling accrued liabilities</w:t>
            </w:r>
          </w:p>
        </w:tc>
      </w:tr>
      <w:tr w:rsidR="00717BA5" w:rsidRPr="00717BA5" w14:paraId="39B65F05" w14:textId="77777777" w:rsidTr="00F0752D">
        <w:trPr>
          <w:gridAfter w:val="3"/>
          <w:wAfter w:w="314" w:type="pct"/>
          <w:trHeight w:val="315"/>
        </w:trPr>
        <w:tc>
          <w:tcPr>
            <w:tcW w:w="4686" w:type="pct"/>
            <w:gridSpan w:val="4"/>
            <w:tcBorders>
              <w:left w:val="nil"/>
              <w:bottom w:val="nil"/>
              <w:right w:val="nil"/>
            </w:tcBorders>
            <w:shd w:val="clear" w:color="000000" w:fill="FFFFFF"/>
            <w:vAlign w:val="bottom"/>
          </w:tcPr>
          <w:p w14:paraId="5A70F00F" w14:textId="77777777" w:rsidR="00717BA5" w:rsidRPr="00717BA5" w:rsidRDefault="00717BA5" w:rsidP="00717BA5">
            <w:pPr>
              <w:adjustRightInd w:val="0"/>
              <w:snapToGrid w:val="0"/>
              <w:rPr>
                <w:rFonts w:ascii="Arial" w:eastAsia="Calibri" w:hAnsi="Arial" w:cs="Arial"/>
                <w:color w:val="auto"/>
                <w:lang w:val="en-AU"/>
              </w:rPr>
            </w:pPr>
            <w:r w:rsidRPr="00717BA5">
              <w:rPr>
                <w:rFonts w:ascii="Arial" w:eastAsia="Calibri" w:hAnsi="Arial" w:cs="Arial"/>
                <w:color w:val="auto"/>
              </w:rPr>
              <w:t>ACT Leave has also made an allowance for the cost of processing and settling the accrued liabilities in addition to the value of the liability determined by the actuary and reviewed by management. The method used for this allowance was to determine the estimated cost to process and pay a benefit as a percentage of average benefit paid and apply this percentage to the total long service leave liability to determine the liability for the cost of processing and settling the obligation.</w:t>
            </w:r>
          </w:p>
        </w:tc>
      </w:tr>
      <w:tr w:rsidR="00717BA5" w:rsidRPr="00717BA5" w14:paraId="4713F175" w14:textId="77777777" w:rsidTr="00F0752D">
        <w:trPr>
          <w:gridAfter w:val="3"/>
          <w:wAfter w:w="314" w:type="pct"/>
          <w:trHeight w:val="315"/>
        </w:trPr>
        <w:tc>
          <w:tcPr>
            <w:tcW w:w="3137" w:type="pct"/>
            <w:tcBorders>
              <w:left w:val="nil"/>
              <w:right w:val="nil"/>
            </w:tcBorders>
            <w:shd w:val="clear" w:color="000000" w:fill="FFFFFF"/>
            <w:vAlign w:val="bottom"/>
          </w:tcPr>
          <w:p w14:paraId="2468080D" w14:textId="77777777" w:rsidR="00717BA5" w:rsidRPr="00717BA5" w:rsidRDefault="00717BA5" w:rsidP="00717BA5">
            <w:pPr>
              <w:widowControl w:val="0"/>
              <w:tabs>
                <w:tab w:val="left" w:pos="833"/>
              </w:tabs>
              <w:spacing w:before="38" w:after="0" w:line="240" w:lineRule="auto"/>
              <w:jc w:val="both"/>
              <w:rPr>
                <w:rFonts w:ascii="Arial" w:eastAsia="Calibri" w:hAnsi="Arial" w:cs="Arial"/>
                <w:b/>
                <w:color w:val="auto"/>
                <w:sz w:val="18"/>
                <w:szCs w:val="18"/>
                <w:lang w:val="en-AU" w:eastAsia="en-US"/>
              </w:rPr>
            </w:pPr>
          </w:p>
        </w:tc>
        <w:tc>
          <w:tcPr>
            <w:tcW w:w="516" w:type="pct"/>
            <w:tcBorders>
              <w:left w:val="nil"/>
              <w:right w:val="nil"/>
            </w:tcBorders>
            <w:shd w:val="clear" w:color="000000" w:fill="FFFFFF"/>
            <w:vAlign w:val="bottom"/>
          </w:tcPr>
          <w:p w14:paraId="4609AE45"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2026</w:t>
            </w:r>
          </w:p>
        </w:tc>
        <w:tc>
          <w:tcPr>
            <w:tcW w:w="209" w:type="pct"/>
            <w:tcBorders>
              <w:left w:val="nil"/>
              <w:right w:val="nil"/>
            </w:tcBorders>
            <w:shd w:val="clear" w:color="000000" w:fill="FFFFFF"/>
            <w:vAlign w:val="bottom"/>
          </w:tcPr>
          <w:p w14:paraId="7C6F54D8"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p>
        </w:tc>
        <w:tc>
          <w:tcPr>
            <w:tcW w:w="823" w:type="pct"/>
            <w:tcBorders>
              <w:left w:val="nil"/>
              <w:right w:val="nil"/>
            </w:tcBorders>
            <w:shd w:val="clear" w:color="000000" w:fill="FFFFFF"/>
            <w:noWrap/>
            <w:vAlign w:val="bottom"/>
          </w:tcPr>
          <w:p w14:paraId="5616E31F" w14:textId="77777777" w:rsidR="00717BA5" w:rsidRPr="00717BA5" w:rsidRDefault="00717BA5" w:rsidP="00717BA5">
            <w:pPr>
              <w:widowControl w:val="0"/>
              <w:tabs>
                <w:tab w:val="left" w:pos="833"/>
              </w:tabs>
              <w:spacing w:before="38"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2025</w:t>
            </w:r>
          </w:p>
        </w:tc>
      </w:tr>
      <w:tr w:rsidR="00717BA5" w:rsidRPr="00717BA5" w14:paraId="2A79AEE1" w14:textId="77777777" w:rsidTr="00F0752D">
        <w:trPr>
          <w:gridAfter w:val="3"/>
          <w:wAfter w:w="314" w:type="pct"/>
          <w:trHeight w:val="315"/>
        </w:trPr>
        <w:tc>
          <w:tcPr>
            <w:tcW w:w="3137" w:type="pct"/>
            <w:tcBorders>
              <w:left w:val="nil"/>
              <w:bottom w:val="nil"/>
              <w:right w:val="nil"/>
            </w:tcBorders>
            <w:shd w:val="clear" w:color="000000" w:fill="FFFFFF"/>
            <w:vAlign w:val="bottom"/>
          </w:tcPr>
          <w:p w14:paraId="6322DD22"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val="en-AU" w:eastAsia="en-US"/>
              </w:rPr>
            </w:pPr>
            <w:r w:rsidRPr="00717BA5">
              <w:rPr>
                <w:rFonts w:ascii="Arial" w:eastAsia="Calibri" w:hAnsi="Arial" w:cs="Arial"/>
                <w:color w:val="auto"/>
                <w:sz w:val="18"/>
                <w:szCs w:val="18"/>
                <w:lang w:eastAsia="en-US"/>
              </w:rPr>
              <w:t>Estimated cost to process and pay a benefit</w:t>
            </w:r>
          </w:p>
        </w:tc>
        <w:tc>
          <w:tcPr>
            <w:tcW w:w="516" w:type="pct"/>
            <w:tcBorders>
              <w:left w:val="nil"/>
              <w:right w:val="nil"/>
            </w:tcBorders>
            <w:shd w:val="clear" w:color="000000" w:fill="FFFFFF"/>
            <w:vAlign w:val="bottom"/>
          </w:tcPr>
          <w:p w14:paraId="4B8A5411"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2.6%</w:t>
            </w:r>
          </w:p>
        </w:tc>
        <w:tc>
          <w:tcPr>
            <w:tcW w:w="209" w:type="pct"/>
            <w:tcBorders>
              <w:left w:val="nil"/>
              <w:right w:val="nil"/>
            </w:tcBorders>
            <w:shd w:val="clear" w:color="000000" w:fill="FFFFFF"/>
            <w:vAlign w:val="bottom"/>
          </w:tcPr>
          <w:p w14:paraId="14C7ED8A"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p>
        </w:tc>
        <w:tc>
          <w:tcPr>
            <w:tcW w:w="823" w:type="pct"/>
            <w:tcBorders>
              <w:left w:val="nil"/>
              <w:right w:val="nil"/>
            </w:tcBorders>
            <w:shd w:val="clear" w:color="000000" w:fill="FFFFFF"/>
            <w:noWrap/>
            <w:vAlign w:val="bottom"/>
          </w:tcPr>
          <w:p w14:paraId="54F0870C" w14:textId="77777777" w:rsidR="00717BA5" w:rsidRPr="00717BA5" w:rsidRDefault="00717BA5" w:rsidP="00717BA5">
            <w:pPr>
              <w:widowControl w:val="0"/>
              <w:tabs>
                <w:tab w:val="left" w:pos="833"/>
              </w:tabs>
              <w:spacing w:before="38"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2.4%</w:t>
            </w:r>
          </w:p>
        </w:tc>
      </w:tr>
    </w:tbl>
    <w:p w14:paraId="1936A736" w14:textId="77777777" w:rsidR="00717BA5" w:rsidRPr="00717BA5" w:rsidRDefault="00717BA5" w:rsidP="00717BA5">
      <w:pPr>
        <w:widowControl w:val="0"/>
        <w:tabs>
          <w:tab w:val="left" w:pos="833"/>
        </w:tabs>
        <w:spacing w:before="38" w:after="0" w:line="240" w:lineRule="auto"/>
        <w:jc w:val="both"/>
        <w:rPr>
          <w:rFonts w:ascii="Arial" w:eastAsia="Calibri" w:hAnsi="Arial" w:cs="Arial"/>
          <w:color w:val="auto"/>
          <w:sz w:val="18"/>
          <w:szCs w:val="18"/>
          <w:lang w:eastAsia="en-US"/>
        </w:rPr>
      </w:pPr>
    </w:p>
    <w:p w14:paraId="60B9824E" w14:textId="77777777" w:rsidR="00717BA5" w:rsidRPr="00717BA5" w:rsidRDefault="00717BA5" w:rsidP="00717BA5">
      <w:pPr>
        <w:spacing w:after="0" w:line="240" w:lineRule="auto"/>
        <w:rPr>
          <w:rFonts w:ascii="Arial" w:eastAsia="SimSun" w:hAnsi="Arial" w:cs="Arial"/>
          <w:color w:val="auto"/>
          <w:lang w:val="en-AU"/>
        </w:rPr>
      </w:pPr>
      <w:r w:rsidRPr="00717BA5">
        <w:rPr>
          <w:rFonts w:ascii="Arial" w:eastAsia="SimSun" w:hAnsi="Arial" w:cs="Arial"/>
          <w:color w:val="auto"/>
          <w:lang w:val="en-AU"/>
        </w:rPr>
        <w:br w:type="page"/>
      </w:r>
    </w:p>
    <w:p w14:paraId="47C8D34F" w14:textId="77777777" w:rsidR="00717BA5" w:rsidRPr="00717BA5" w:rsidRDefault="00717BA5" w:rsidP="00717BA5">
      <w:pPr>
        <w:spacing w:after="0" w:line="240" w:lineRule="auto"/>
        <w:rPr>
          <w:rFonts w:ascii="Arial" w:eastAsia="SimSun" w:hAnsi="Arial" w:cs="Arial"/>
          <w:color w:val="auto"/>
          <w:lang w:val="en-AU"/>
        </w:rPr>
      </w:pPr>
    </w:p>
    <w:p w14:paraId="7E5F69E4" w14:textId="77777777" w:rsidR="00717BA5" w:rsidRPr="00717BA5" w:rsidRDefault="00717BA5" w:rsidP="00341E60">
      <w:pPr>
        <w:keepNext/>
        <w:spacing w:after="120" w:line="240" w:lineRule="auto"/>
        <w:jc w:val="both"/>
        <w:outlineLvl w:val="1"/>
        <w:rPr>
          <w:rFonts w:ascii="Arial" w:eastAsia="Times New Roman" w:hAnsi="Arial" w:cs="Arial"/>
          <w:b/>
          <w:bCs/>
          <w:color w:val="auto"/>
          <w:sz w:val="24"/>
          <w:szCs w:val="24"/>
          <w:lang w:val="en-AU"/>
        </w:rPr>
      </w:pPr>
      <w:bookmarkStart w:id="114" w:name="_Toc240533528"/>
      <w:r w:rsidRPr="00717BA5">
        <w:rPr>
          <w:rFonts w:ascii="Arial" w:eastAsia="Times New Roman" w:hAnsi="Arial" w:cs="Arial"/>
          <w:b/>
          <w:bCs/>
          <w:color w:val="auto"/>
          <w:sz w:val="24"/>
          <w:szCs w:val="24"/>
          <w:lang w:val="en-AU"/>
        </w:rPr>
        <w:t xml:space="preserve">NOTE 15. </w:t>
      </w:r>
      <w:r w:rsidRPr="00341E60" w:rsidDel="008B0B4B">
        <w:rPr>
          <w:rFonts w:ascii="Arial" w:eastAsia="Times New Roman" w:hAnsi="Arial" w:cs="Arial"/>
          <w:b/>
          <w:bCs/>
          <w:color w:val="auto"/>
          <w:sz w:val="24"/>
          <w:szCs w:val="24"/>
          <w:lang w:val="en-AU"/>
        </w:rPr>
        <w:t xml:space="preserve"> </w:t>
      </w:r>
      <w:r w:rsidRPr="00717BA5">
        <w:rPr>
          <w:rFonts w:ascii="Arial" w:eastAsia="Times New Roman" w:hAnsi="Arial" w:cs="Arial"/>
          <w:b/>
          <w:bCs/>
          <w:color w:val="auto"/>
          <w:sz w:val="24"/>
          <w:szCs w:val="24"/>
          <w:lang w:val="en-AU"/>
        </w:rPr>
        <w:t>PROVISION FOR LONG SERVICE LEAVE BENEFITS - CONTINUED</w:t>
      </w:r>
      <w:bookmarkEnd w:id="114"/>
    </w:p>
    <w:tbl>
      <w:tblPr>
        <w:tblW w:w="5000" w:type="pct"/>
        <w:tblLook w:val="04A0" w:firstRow="1" w:lastRow="0" w:firstColumn="1" w:lastColumn="0" w:noHBand="0" w:noVBand="1"/>
      </w:tblPr>
      <w:tblGrid>
        <w:gridCol w:w="6862"/>
        <w:gridCol w:w="1230"/>
        <w:gridCol w:w="609"/>
        <w:gridCol w:w="1248"/>
      </w:tblGrid>
      <w:tr w:rsidR="00717BA5" w:rsidRPr="00717BA5" w14:paraId="36E56FC9" w14:textId="77777777" w:rsidTr="00F0752D">
        <w:trPr>
          <w:trHeight w:val="272"/>
        </w:trPr>
        <w:tc>
          <w:tcPr>
            <w:tcW w:w="3449" w:type="pct"/>
            <w:tcBorders>
              <w:top w:val="nil"/>
              <w:left w:val="nil"/>
              <w:bottom w:val="nil"/>
              <w:right w:val="nil"/>
            </w:tcBorders>
            <w:shd w:val="clear" w:color="000000" w:fill="FFFFFF"/>
            <w:vAlign w:val="bottom"/>
          </w:tcPr>
          <w:p w14:paraId="2D6E5B1F"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18" w:type="pct"/>
            <w:tcBorders>
              <w:top w:val="nil"/>
              <w:left w:val="nil"/>
              <w:bottom w:val="nil"/>
              <w:right w:val="nil"/>
            </w:tcBorders>
            <w:shd w:val="clear" w:color="000000" w:fill="FFFFFF"/>
            <w:vAlign w:val="bottom"/>
          </w:tcPr>
          <w:p w14:paraId="7DAA818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306" w:type="pct"/>
            <w:tcBorders>
              <w:top w:val="nil"/>
              <w:left w:val="nil"/>
              <w:bottom w:val="nil"/>
              <w:right w:val="nil"/>
            </w:tcBorders>
            <w:shd w:val="clear" w:color="000000" w:fill="FFFFFF"/>
            <w:vAlign w:val="bottom"/>
          </w:tcPr>
          <w:p w14:paraId="113762D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7" w:type="pct"/>
            <w:tcBorders>
              <w:top w:val="nil"/>
              <w:left w:val="nil"/>
              <w:bottom w:val="nil"/>
              <w:right w:val="nil"/>
            </w:tcBorders>
            <w:shd w:val="clear" w:color="000000" w:fill="FFFFFF"/>
            <w:vAlign w:val="bottom"/>
          </w:tcPr>
          <w:p w14:paraId="14D7D3C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6470C50C" w14:textId="77777777" w:rsidTr="00F0752D">
        <w:trPr>
          <w:trHeight w:val="272"/>
        </w:trPr>
        <w:tc>
          <w:tcPr>
            <w:tcW w:w="3449" w:type="pct"/>
            <w:tcBorders>
              <w:top w:val="nil"/>
              <w:left w:val="nil"/>
              <w:right w:val="nil"/>
            </w:tcBorders>
            <w:shd w:val="clear" w:color="000000" w:fill="FFFFFF"/>
            <w:vAlign w:val="bottom"/>
          </w:tcPr>
          <w:p w14:paraId="1AFE45B8"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18" w:type="pct"/>
            <w:tcBorders>
              <w:top w:val="nil"/>
              <w:left w:val="nil"/>
              <w:bottom w:val="single" w:sz="4" w:space="0" w:color="auto"/>
              <w:right w:val="nil"/>
            </w:tcBorders>
            <w:shd w:val="clear" w:color="000000" w:fill="FFFFFF"/>
            <w:vAlign w:val="bottom"/>
          </w:tcPr>
          <w:p w14:paraId="27C5533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306" w:type="pct"/>
            <w:tcBorders>
              <w:top w:val="nil"/>
              <w:left w:val="nil"/>
              <w:right w:val="nil"/>
            </w:tcBorders>
            <w:shd w:val="clear" w:color="000000" w:fill="FFFFFF"/>
            <w:vAlign w:val="bottom"/>
          </w:tcPr>
          <w:p w14:paraId="58159D9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7" w:type="pct"/>
            <w:tcBorders>
              <w:top w:val="nil"/>
              <w:left w:val="nil"/>
              <w:bottom w:val="single" w:sz="4" w:space="0" w:color="auto"/>
              <w:right w:val="nil"/>
            </w:tcBorders>
            <w:shd w:val="clear" w:color="000000" w:fill="FFFFFF"/>
            <w:vAlign w:val="bottom"/>
          </w:tcPr>
          <w:p w14:paraId="504AE64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0060801E" w14:textId="77777777" w:rsidTr="00F0752D">
        <w:trPr>
          <w:trHeight w:val="113"/>
        </w:trPr>
        <w:tc>
          <w:tcPr>
            <w:tcW w:w="3449" w:type="pct"/>
            <w:tcBorders>
              <w:top w:val="nil"/>
              <w:left w:val="nil"/>
              <w:bottom w:val="nil"/>
              <w:right w:val="nil"/>
            </w:tcBorders>
            <w:shd w:val="clear" w:color="000000" w:fill="FFFFFF"/>
            <w:vAlign w:val="bottom"/>
          </w:tcPr>
          <w:p w14:paraId="55445159"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Current Provision for Long Service Leave Benefits</w:t>
            </w:r>
          </w:p>
        </w:tc>
        <w:tc>
          <w:tcPr>
            <w:tcW w:w="618" w:type="pct"/>
            <w:tcBorders>
              <w:top w:val="nil"/>
              <w:left w:val="nil"/>
              <w:right w:val="nil"/>
            </w:tcBorders>
            <w:shd w:val="clear" w:color="000000" w:fill="FFFFFF"/>
            <w:vAlign w:val="bottom"/>
          </w:tcPr>
          <w:p w14:paraId="38F1A41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6" w:type="pct"/>
            <w:tcBorders>
              <w:top w:val="nil"/>
              <w:left w:val="nil"/>
              <w:right w:val="nil"/>
            </w:tcBorders>
            <w:shd w:val="clear" w:color="000000" w:fill="FFFFFF"/>
            <w:vAlign w:val="bottom"/>
          </w:tcPr>
          <w:p w14:paraId="292FE6C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7" w:type="pct"/>
            <w:tcBorders>
              <w:top w:val="single" w:sz="4" w:space="0" w:color="auto"/>
              <w:left w:val="nil"/>
              <w:right w:val="nil"/>
            </w:tcBorders>
            <w:shd w:val="clear" w:color="000000" w:fill="FFFFFF"/>
            <w:vAlign w:val="bottom"/>
          </w:tcPr>
          <w:p w14:paraId="2DB47E5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D88230C" w14:textId="77777777" w:rsidTr="00F0752D">
        <w:trPr>
          <w:trHeight w:val="113"/>
        </w:trPr>
        <w:tc>
          <w:tcPr>
            <w:tcW w:w="3449" w:type="pct"/>
            <w:tcBorders>
              <w:top w:val="nil"/>
              <w:left w:val="nil"/>
              <w:bottom w:val="nil"/>
              <w:right w:val="nil"/>
            </w:tcBorders>
            <w:shd w:val="clear" w:color="000000" w:fill="FFFFFF"/>
            <w:vAlign w:val="bottom"/>
          </w:tcPr>
          <w:p w14:paraId="111FB992"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 Benefits for Registered Scheme Participants</w:t>
            </w:r>
          </w:p>
        </w:tc>
        <w:tc>
          <w:tcPr>
            <w:tcW w:w="618" w:type="pct"/>
            <w:tcBorders>
              <w:top w:val="nil"/>
              <w:left w:val="nil"/>
              <w:bottom w:val="single" w:sz="4" w:space="0" w:color="auto"/>
              <w:right w:val="nil"/>
            </w:tcBorders>
            <w:shd w:val="clear" w:color="000000" w:fill="FFFFFF"/>
            <w:vAlign w:val="bottom"/>
          </w:tcPr>
          <w:p w14:paraId="091ED22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258,162</w:t>
            </w:r>
          </w:p>
        </w:tc>
        <w:tc>
          <w:tcPr>
            <w:tcW w:w="306" w:type="pct"/>
            <w:tcBorders>
              <w:top w:val="nil"/>
              <w:left w:val="nil"/>
              <w:bottom w:val="nil"/>
              <w:right w:val="nil"/>
            </w:tcBorders>
            <w:shd w:val="clear" w:color="000000" w:fill="FFFFFF"/>
            <w:vAlign w:val="bottom"/>
          </w:tcPr>
          <w:p w14:paraId="7E703E1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7" w:type="pct"/>
            <w:tcBorders>
              <w:top w:val="nil"/>
              <w:left w:val="nil"/>
              <w:bottom w:val="single" w:sz="4" w:space="0" w:color="auto"/>
              <w:right w:val="nil"/>
            </w:tcBorders>
            <w:shd w:val="clear" w:color="000000" w:fill="FFFFFF"/>
            <w:vAlign w:val="bottom"/>
          </w:tcPr>
          <w:p w14:paraId="330BFA2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236,443</w:t>
            </w:r>
          </w:p>
        </w:tc>
      </w:tr>
      <w:tr w:rsidR="00717BA5" w:rsidRPr="00717BA5" w14:paraId="4C2571EC" w14:textId="77777777" w:rsidTr="00F0752D">
        <w:trPr>
          <w:trHeight w:val="113"/>
        </w:trPr>
        <w:tc>
          <w:tcPr>
            <w:tcW w:w="3449" w:type="pct"/>
            <w:tcBorders>
              <w:top w:val="nil"/>
              <w:left w:val="nil"/>
              <w:right w:val="nil"/>
            </w:tcBorders>
            <w:shd w:val="clear" w:color="000000" w:fill="FFFFFF"/>
            <w:vAlign w:val="bottom"/>
          </w:tcPr>
          <w:p w14:paraId="1AB579C0"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Current Provision for Long Service Leave Benefits</w:t>
            </w:r>
          </w:p>
        </w:tc>
        <w:tc>
          <w:tcPr>
            <w:tcW w:w="618" w:type="pct"/>
            <w:tcBorders>
              <w:top w:val="single" w:sz="4" w:space="0" w:color="auto"/>
              <w:left w:val="nil"/>
              <w:bottom w:val="single" w:sz="4" w:space="0" w:color="auto"/>
              <w:right w:val="nil"/>
            </w:tcBorders>
            <w:shd w:val="clear" w:color="000000" w:fill="FFFFFF"/>
            <w:vAlign w:val="bottom"/>
          </w:tcPr>
          <w:p w14:paraId="3F0C6DE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258,162</w:t>
            </w:r>
          </w:p>
        </w:tc>
        <w:tc>
          <w:tcPr>
            <w:tcW w:w="306" w:type="pct"/>
            <w:tcBorders>
              <w:top w:val="nil"/>
              <w:left w:val="nil"/>
              <w:right w:val="nil"/>
            </w:tcBorders>
            <w:shd w:val="clear" w:color="000000" w:fill="FFFFFF"/>
            <w:vAlign w:val="bottom"/>
          </w:tcPr>
          <w:p w14:paraId="5AE1F94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7" w:type="pct"/>
            <w:tcBorders>
              <w:top w:val="single" w:sz="4" w:space="0" w:color="auto"/>
              <w:left w:val="nil"/>
              <w:bottom w:val="single" w:sz="4" w:space="0" w:color="auto"/>
              <w:right w:val="nil"/>
            </w:tcBorders>
            <w:shd w:val="clear" w:color="000000" w:fill="FFFFFF"/>
            <w:vAlign w:val="bottom"/>
          </w:tcPr>
          <w:p w14:paraId="2A2442D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236,443</w:t>
            </w:r>
          </w:p>
        </w:tc>
      </w:tr>
      <w:tr w:rsidR="00717BA5" w:rsidRPr="00717BA5" w14:paraId="08936FB7" w14:textId="77777777" w:rsidTr="00F0752D">
        <w:trPr>
          <w:trHeight w:val="113"/>
        </w:trPr>
        <w:tc>
          <w:tcPr>
            <w:tcW w:w="3449" w:type="pct"/>
            <w:tcBorders>
              <w:top w:val="nil"/>
              <w:left w:val="nil"/>
              <w:bottom w:val="nil"/>
              <w:right w:val="nil"/>
            </w:tcBorders>
            <w:shd w:val="clear" w:color="000000" w:fill="FFFFFF"/>
            <w:vAlign w:val="bottom"/>
          </w:tcPr>
          <w:p w14:paraId="53904493"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618" w:type="pct"/>
            <w:tcBorders>
              <w:top w:val="nil"/>
              <w:left w:val="nil"/>
              <w:right w:val="nil"/>
            </w:tcBorders>
            <w:shd w:val="clear" w:color="000000" w:fill="FFFFFF"/>
            <w:vAlign w:val="bottom"/>
          </w:tcPr>
          <w:p w14:paraId="60A38D1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6" w:type="pct"/>
            <w:tcBorders>
              <w:top w:val="nil"/>
              <w:left w:val="nil"/>
              <w:right w:val="nil"/>
            </w:tcBorders>
            <w:shd w:val="clear" w:color="000000" w:fill="FFFFFF"/>
            <w:vAlign w:val="bottom"/>
          </w:tcPr>
          <w:p w14:paraId="7D67EB4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7" w:type="pct"/>
            <w:tcBorders>
              <w:top w:val="nil"/>
              <w:left w:val="nil"/>
              <w:right w:val="nil"/>
            </w:tcBorders>
            <w:shd w:val="clear" w:color="000000" w:fill="FFFFFF"/>
            <w:vAlign w:val="bottom"/>
          </w:tcPr>
          <w:p w14:paraId="16BA6A7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3FD81874" w14:textId="77777777" w:rsidTr="00F0752D">
        <w:trPr>
          <w:trHeight w:val="113"/>
        </w:trPr>
        <w:tc>
          <w:tcPr>
            <w:tcW w:w="3449" w:type="pct"/>
            <w:tcBorders>
              <w:top w:val="nil"/>
              <w:left w:val="nil"/>
              <w:bottom w:val="nil"/>
              <w:right w:val="nil"/>
            </w:tcBorders>
            <w:shd w:val="clear" w:color="000000" w:fill="FFFFFF"/>
            <w:vAlign w:val="bottom"/>
          </w:tcPr>
          <w:p w14:paraId="1B316519"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Non-Current Provision for Long Service Leave Benefits</w:t>
            </w:r>
          </w:p>
        </w:tc>
        <w:tc>
          <w:tcPr>
            <w:tcW w:w="618" w:type="pct"/>
            <w:tcBorders>
              <w:top w:val="nil"/>
              <w:left w:val="nil"/>
              <w:right w:val="nil"/>
            </w:tcBorders>
            <w:shd w:val="clear" w:color="000000" w:fill="FFFFFF"/>
            <w:vAlign w:val="bottom"/>
          </w:tcPr>
          <w:p w14:paraId="51002A9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6" w:type="pct"/>
            <w:tcBorders>
              <w:top w:val="nil"/>
              <w:left w:val="nil"/>
              <w:right w:val="nil"/>
            </w:tcBorders>
            <w:shd w:val="clear" w:color="000000" w:fill="FFFFFF"/>
            <w:vAlign w:val="bottom"/>
          </w:tcPr>
          <w:p w14:paraId="0E6F2A7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7" w:type="pct"/>
            <w:tcBorders>
              <w:top w:val="nil"/>
              <w:left w:val="nil"/>
              <w:right w:val="nil"/>
            </w:tcBorders>
            <w:shd w:val="clear" w:color="000000" w:fill="FFFFFF"/>
            <w:vAlign w:val="bottom"/>
          </w:tcPr>
          <w:p w14:paraId="59BCECD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1CF52A5B" w14:textId="77777777" w:rsidTr="00F0752D">
        <w:trPr>
          <w:trHeight w:val="113"/>
        </w:trPr>
        <w:tc>
          <w:tcPr>
            <w:tcW w:w="3449" w:type="pct"/>
            <w:tcBorders>
              <w:top w:val="nil"/>
              <w:left w:val="nil"/>
              <w:bottom w:val="nil"/>
              <w:right w:val="nil"/>
            </w:tcBorders>
            <w:shd w:val="clear" w:color="000000" w:fill="FFFFFF"/>
            <w:vAlign w:val="bottom"/>
          </w:tcPr>
          <w:p w14:paraId="602EF421"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 Benefits for Registered Scheme Participants</w:t>
            </w:r>
          </w:p>
        </w:tc>
        <w:tc>
          <w:tcPr>
            <w:tcW w:w="618" w:type="pct"/>
            <w:tcBorders>
              <w:top w:val="nil"/>
              <w:left w:val="nil"/>
              <w:bottom w:val="single" w:sz="4" w:space="0" w:color="auto"/>
              <w:right w:val="nil"/>
            </w:tcBorders>
            <w:shd w:val="clear" w:color="000000" w:fill="FFFFFF"/>
            <w:vAlign w:val="bottom"/>
          </w:tcPr>
          <w:p w14:paraId="0458759A" w14:textId="77777777" w:rsidR="00717BA5" w:rsidRPr="00717BA5" w:rsidRDefault="00717BA5" w:rsidP="00717BA5">
            <w:pPr>
              <w:tabs>
                <w:tab w:val="center" w:pos="470"/>
                <w:tab w:val="right" w:pos="940"/>
              </w:tabs>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47,180</w:t>
            </w:r>
          </w:p>
        </w:tc>
        <w:tc>
          <w:tcPr>
            <w:tcW w:w="306" w:type="pct"/>
            <w:tcBorders>
              <w:top w:val="nil"/>
              <w:left w:val="nil"/>
              <w:bottom w:val="nil"/>
              <w:right w:val="nil"/>
            </w:tcBorders>
            <w:shd w:val="clear" w:color="000000" w:fill="FFFFFF"/>
            <w:vAlign w:val="bottom"/>
          </w:tcPr>
          <w:p w14:paraId="50A43FB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7" w:type="pct"/>
            <w:tcBorders>
              <w:top w:val="nil"/>
              <w:left w:val="nil"/>
              <w:bottom w:val="single" w:sz="4" w:space="0" w:color="auto"/>
              <w:right w:val="nil"/>
            </w:tcBorders>
            <w:shd w:val="clear" w:color="000000" w:fill="FFFFFF"/>
            <w:vAlign w:val="bottom"/>
          </w:tcPr>
          <w:p w14:paraId="482DB7E8" w14:textId="77777777" w:rsidR="00717BA5" w:rsidRPr="00717BA5" w:rsidRDefault="00717BA5" w:rsidP="00717BA5">
            <w:pPr>
              <w:tabs>
                <w:tab w:val="center" w:pos="470"/>
                <w:tab w:val="right" w:pos="940"/>
              </w:tabs>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40,414</w:t>
            </w:r>
          </w:p>
        </w:tc>
      </w:tr>
      <w:tr w:rsidR="00717BA5" w:rsidRPr="00717BA5" w14:paraId="28AED6EE" w14:textId="77777777" w:rsidTr="00F0752D">
        <w:trPr>
          <w:trHeight w:val="113"/>
        </w:trPr>
        <w:tc>
          <w:tcPr>
            <w:tcW w:w="3449" w:type="pct"/>
            <w:tcBorders>
              <w:top w:val="nil"/>
              <w:left w:val="nil"/>
              <w:right w:val="nil"/>
            </w:tcBorders>
            <w:shd w:val="clear" w:color="000000" w:fill="FFFFFF"/>
            <w:vAlign w:val="bottom"/>
          </w:tcPr>
          <w:p w14:paraId="0466AE31"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Non-Current Provision for Long Service Leave Benefits</w:t>
            </w:r>
          </w:p>
        </w:tc>
        <w:tc>
          <w:tcPr>
            <w:tcW w:w="618" w:type="pct"/>
            <w:tcBorders>
              <w:top w:val="single" w:sz="4" w:space="0" w:color="auto"/>
              <w:left w:val="nil"/>
              <w:bottom w:val="single" w:sz="4" w:space="0" w:color="auto"/>
              <w:right w:val="nil"/>
            </w:tcBorders>
            <w:shd w:val="clear" w:color="000000" w:fill="FFFFFF"/>
            <w:vAlign w:val="bottom"/>
          </w:tcPr>
          <w:p w14:paraId="72354C1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47,180</w:t>
            </w:r>
          </w:p>
        </w:tc>
        <w:tc>
          <w:tcPr>
            <w:tcW w:w="306" w:type="pct"/>
            <w:tcBorders>
              <w:top w:val="nil"/>
              <w:left w:val="nil"/>
              <w:right w:val="nil"/>
            </w:tcBorders>
            <w:shd w:val="clear" w:color="000000" w:fill="FFFFFF"/>
            <w:vAlign w:val="bottom"/>
          </w:tcPr>
          <w:p w14:paraId="01B3FFD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7" w:type="pct"/>
            <w:tcBorders>
              <w:top w:val="single" w:sz="4" w:space="0" w:color="auto"/>
              <w:left w:val="nil"/>
              <w:bottom w:val="single" w:sz="4" w:space="0" w:color="auto"/>
              <w:right w:val="nil"/>
            </w:tcBorders>
            <w:shd w:val="clear" w:color="000000" w:fill="FFFFFF"/>
            <w:vAlign w:val="bottom"/>
          </w:tcPr>
          <w:p w14:paraId="716AC90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40,414</w:t>
            </w:r>
          </w:p>
        </w:tc>
      </w:tr>
      <w:tr w:rsidR="00717BA5" w:rsidRPr="00717BA5" w14:paraId="1F399AED" w14:textId="77777777" w:rsidTr="00F0752D">
        <w:trPr>
          <w:trHeight w:val="113"/>
        </w:trPr>
        <w:tc>
          <w:tcPr>
            <w:tcW w:w="3449" w:type="pct"/>
            <w:tcBorders>
              <w:top w:val="nil"/>
              <w:left w:val="nil"/>
              <w:bottom w:val="nil"/>
              <w:right w:val="nil"/>
            </w:tcBorders>
            <w:shd w:val="clear" w:color="000000" w:fill="FFFFFF"/>
            <w:vAlign w:val="bottom"/>
          </w:tcPr>
          <w:p w14:paraId="56783AA8" w14:textId="77777777" w:rsidR="00717BA5" w:rsidRPr="00717BA5" w:rsidRDefault="00717BA5" w:rsidP="00717BA5">
            <w:pPr>
              <w:spacing w:after="0" w:line="240" w:lineRule="auto"/>
              <w:ind w:firstLineChars="100" w:firstLine="181"/>
              <w:rPr>
                <w:rFonts w:ascii="Arial" w:eastAsia="Times New Roman" w:hAnsi="Arial" w:cs="Arial"/>
                <w:b/>
                <w:bCs/>
                <w:color w:val="auto"/>
                <w:sz w:val="18"/>
                <w:szCs w:val="18"/>
                <w:lang w:val="en-AU"/>
              </w:rPr>
            </w:pPr>
          </w:p>
        </w:tc>
        <w:tc>
          <w:tcPr>
            <w:tcW w:w="618" w:type="pct"/>
            <w:tcBorders>
              <w:top w:val="nil"/>
              <w:left w:val="nil"/>
              <w:bottom w:val="nil"/>
              <w:right w:val="nil"/>
            </w:tcBorders>
            <w:shd w:val="clear" w:color="000000" w:fill="FFFFFF"/>
            <w:vAlign w:val="bottom"/>
          </w:tcPr>
          <w:p w14:paraId="5D6F22D6"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c>
          <w:tcPr>
            <w:tcW w:w="306" w:type="pct"/>
            <w:tcBorders>
              <w:top w:val="nil"/>
              <w:left w:val="nil"/>
              <w:bottom w:val="nil"/>
              <w:right w:val="nil"/>
            </w:tcBorders>
            <w:shd w:val="clear" w:color="000000" w:fill="FFFFFF"/>
            <w:vAlign w:val="bottom"/>
          </w:tcPr>
          <w:p w14:paraId="0B98437D"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c>
          <w:tcPr>
            <w:tcW w:w="627" w:type="pct"/>
            <w:tcBorders>
              <w:top w:val="nil"/>
              <w:left w:val="nil"/>
              <w:bottom w:val="nil"/>
              <w:right w:val="nil"/>
            </w:tcBorders>
            <w:shd w:val="clear" w:color="000000" w:fill="FFFFFF"/>
            <w:vAlign w:val="bottom"/>
          </w:tcPr>
          <w:p w14:paraId="6B61BA6B"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r>
      <w:tr w:rsidR="00717BA5" w:rsidRPr="00717BA5" w14:paraId="4350CB27" w14:textId="77777777" w:rsidTr="00F0752D">
        <w:trPr>
          <w:trHeight w:val="113"/>
        </w:trPr>
        <w:tc>
          <w:tcPr>
            <w:tcW w:w="3449" w:type="pct"/>
            <w:tcBorders>
              <w:left w:val="nil"/>
              <w:right w:val="nil"/>
            </w:tcBorders>
            <w:shd w:val="clear" w:color="000000" w:fill="FFFFFF"/>
            <w:vAlign w:val="bottom"/>
          </w:tcPr>
          <w:p w14:paraId="7FF939E7"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Provision for Long Service Leave Benefits</w:t>
            </w:r>
          </w:p>
        </w:tc>
        <w:tc>
          <w:tcPr>
            <w:tcW w:w="618" w:type="pct"/>
            <w:tcBorders>
              <w:top w:val="single" w:sz="4" w:space="0" w:color="auto"/>
              <w:left w:val="nil"/>
              <w:bottom w:val="double" w:sz="6" w:space="0" w:color="auto"/>
              <w:right w:val="nil"/>
            </w:tcBorders>
            <w:shd w:val="clear" w:color="000000" w:fill="FFFFFF"/>
            <w:vAlign w:val="bottom"/>
          </w:tcPr>
          <w:p w14:paraId="172F61E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305,342</w:t>
            </w:r>
          </w:p>
        </w:tc>
        <w:tc>
          <w:tcPr>
            <w:tcW w:w="306" w:type="pct"/>
            <w:tcBorders>
              <w:left w:val="nil"/>
              <w:right w:val="nil"/>
            </w:tcBorders>
            <w:shd w:val="clear" w:color="000000" w:fill="FFFFFF"/>
            <w:vAlign w:val="bottom"/>
          </w:tcPr>
          <w:p w14:paraId="0FCAE47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7" w:type="pct"/>
            <w:tcBorders>
              <w:top w:val="single" w:sz="4" w:space="0" w:color="auto"/>
              <w:left w:val="nil"/>
              <w:bottom w:val="double" w:sz="6" w:space="0" w:color="auto"/>
              <w:right w:val="nil"/>
            </w:tcBorders>
            <w:shd w:val="clear" w:color="000000" w:fill="FFFFFF"/>
            <w:vAlign w:val="bottom"/>
          </w:tcPr>
          <w:p w14:paraId="75AB2FA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276,857</w:t>
            </w:r>
          </w:p>
        </w:tc>
      </w:tr>
    </w:tbl>
    <w:p w14:paraId="0D8E5FC7" w14:textId="77777777" w:rsidR="00717BA5" w:rsidRPr="00717BA5" w:rsidRDefault="00717BA5" w:rsidP="00717BA5">
      <w:pPr>
        <w:spacing w:before="120" w:after="60" w:line="240" w:lineRule="auto"/>
        <w:jc w:val="both"/>
        <w:rPr>
          <w:rFonts w:ascii="Arial" w:eastAsia="Times New Roman" w:hAnsi="Arial" w:cs="Arial"/>
          <w:b/>
          <w:bCs/>
          <w:color w:val="auto"/>
          <w:sz w:val="18"/>
          <w:szCs w:val="18"/>
          <w:lang w:val="en-AU"/>
        </w:rPr>
      </w:pPr>
    </w:p>
    <w:p w14:paraId="29FD0925" w14:textId="77777777" w:rsidR="00717BA5" w:rsidRPr="00717BA5" w:rsidRDefault="00717BA5" w:rsidP="00717BA5">
      <w:pPr>
        <w:adjustRightInd w:val="0"/>
        <w:snapToGrid w:val="0"/>
        <w:rPr>
          <w:rFonts w:ascii="Arial" w:eastAsia="Times New Roman" w:hAnsi="Arial" w:cs="Arial"/>
          <w:b/>
          <w:color w:val="auto"/>
          <w:sz w:val="18"/>
          <w:szCs w:val="18"/>
          <w:lang w:val="en-AU"/>
        </w:rPr>
      </w:pPr>
      <w:r w:rsidRPr="00717BA5">
        <w:rPr>
          <w:rFonts w:ascii="Arial" w:eastAsia="Times New Roman" w:hAnsi="Arial" w:cs="Arial"/>
          <w:b/>
          <w:bCs/>
          <w:color w:val="auto"/>
          <w:lang w:val="en-AU"/>
        </w:rPr>
        <w:t>Reconciliation of the Provision for Long Service Leave Benefits</w:t>
      </w:r>
      <w:r w:rsidRPr="00717BA5">
        <w:rPr>
          <w:rFonts w:ascii="Arial" w:eastAsia="Times New Roman" w:hAnsi="Arial" w:cs="Arial"/>
          <w:b/>
          <w:color w:val="auto"/>
          <w:sz w:val="18"/>
          <w:szCs w:val="18"/>
          <w:lang w:val="en-AU"/>
        </w:rPr>
        <w:t xml:space="preserve"> – 2025-26</w:t>
      </w:r>
    </w:p>
    <w:p w14:paraId="6B549E97"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The following table shows the movement of the provision for long service leave benefits from the beginning to the end of the reporting period for each of the schemes.</w:t>
      </w:r>
    </w:p>
    <w:tbl>
      <w:tblPr>
        <w:tblW w:w="10753" w:type="dxa"/>
        <w:tblLayout w:type="fixed"/>
        <w:tblLook w:val="04A0" w:firstRow="1" w:lastRow="0" w:firstColumn="1" w:lastColumn="0" w:noHBand="0" w:noVBand="1"/>
      </w:tblPr>
      <w:tblGrid>
        <w:gridCol w:w="4644"/>
        <w:gridCol w:w="1452"/>
        <w:gridCol w:w="1134"/>
        <w:gridCol w:w="1249"/>
        <w:gridCol w:w="1137"/>
        <w:gridCol w:w="1137"/>
      </w:tblGrid>
      <w:tr w:rsidR="00717BA5" w:rsidRPr="00717BA5" w14:paraId="47AD831F" w14:textId="77777777" w:rsidTr="00F0752D">
        <w:tc>
          <w:tcPr>
            <w:tcW w:w="4644" w:type="dxa"/>
          </w:tcPr>
          <w:p w14:paraId="2854F20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1452" w:type="dxa"/>
          </w:tcPr>
          <w:p w14:paraId="5DD4E09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Construction</w:t>
            </w:r>
          </w:p>
        </w:tc>
        <w:tc>
          <w:tcPr>
            <w:tcW w:w="1134" w:type="dxa"/>
          </w:tcPr>
          <w:p w14:paraId="4AB9AF1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Services</w:t>
            </w:r>
          </w:p>
        </w:tc>
        <w:tc>
          <w:tcPr>
            <w:tcW w:w="1249" w:type="dxa"/>
          </w:tcPr>
          <w:p w14:paraId="507FE1B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Community</w:t>
            </w:r>
          </w:p>
        </w:tc>
        <w:tc>
          <w:tcPr>
            <w:tcW w:w="1137" w:type="dxa"/>
          </w:tcPr>
          <w:p w14:paraId="550254A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Security</w:t>
            </w:r>
          </w:p>
        </w:tc>
        <w:tc>
          <w:tcPr>
            <w:tcW w:w="1137" w:type="dxa"/>
          </w:tcPr>
          <w:p w14:paraId="5576BFE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w:t>
            </w:r>
          </w:p>
        </w:tc>
      </w:tr>
      <w:tr w:rsidR="00717BA5" w:rsidRPr="00717BA5" w14:paraId="5C36CB88" w14:textId="77777777" w:rsidTr="00F0752D">
        <w:tc>
          <w:tcPr>
            <w:tcW w:w="4644" w:type="dxa"/>
            <w:tcBorders>
              <w:bottom w:val="single" w:sz="4" w:space="0" w:color="auto"/>
            </w:tcBorders>
          </w:tcPr>
          <w:p w14:paraId="668C138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1452" w:type="dxa"/>
            <w:tcBorders>
              <w:bottom w:val="single" w:sz="4" w:space="0" w:color="auto"/>
            </w:tcBorders>
          </w:tcPr>
          <w:p w14:paraId="26D6F98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134" w:type="dxa"/>
            <w:tcBorders>
              <w:bottom w:val="single" w:sz="4" w:space="0" w:color="auto"/>
            </w:tcBorders>
          </w:tcPr>
          <w:p w14:paraId="202F090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249" w:type="dxa"/>
            <w:tcBorders>
              <w:bottom w:val="single" w:sz="4" w:space="0" w:color="auto"/>
            </w:tcBorders>
          </w:tcPr>
          <w:p w14:paraId="4779533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137" w:type="dxa"/>
            <w:tcBorders>
              <w:bottom w:val="single" w:sz="4" w:space="0" w:color="auto"/>
            </w:tcBorders>
          </w:tcPr>
          <w:p w14:paraId="147A356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137" w:type="dxa"/>
            <w:tcBorders>
              <w:bottom w:val="single" w:sz="4" w:space="0" w:color="auto"/>
            </w:tcBorders>
          </w:tcPr>
          <w:p w14:paraId="2F5EA04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1DB97735" w14:textId="77777777" w:rsidTr="00F0752D">
        <w:trPr>
          <w:trHeight w:val="57"/>
        </w:trPr>
        <w:tc>
          <w:tcPr>
            <w:tcW w:w="4644" w:type="dxa"/>
            <w:tcBorders>
              <w:top w:val="single" w:sz="4" w:space="0" w:color="auto"/>
            </w:tcBorders>
          </w:tcPr>
          <w:p w14:paraId="3D2B0C27"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 at the Beginning of the Reporting Period</w:t>
            </w:r>
          </w:p>
        </w:tc>
        <w:tc>
          <w:tcPr>
            <w:tcW w:w="1452" w:type="dxa"/>
            <w:tcBorders>
              <w:top w:val="single" w:sz="4" w:space="0" w:color="auto"/>
            </w:tcBorders>
            <w:vAlign w:val="bottom"/>
          </w:tcPr>
          <w:p w14:paraId="377E15A7" w14:textId="77777777" w:rsidR="00717BA5" w:rsidRPr="00717BA5" w:rsidRDefault="00717BA5" w:rsidP="00717BA5">
            <w:pPr>
              <w:spacing w:after="0" w:line="240" w:lineRule="auto"/>
              <w:jc w:val="right"/>
              <w:rPr>
                <w:rFonts w:ascii="Arial" w:eastAsia="Times New Roman" w:hAnsi="Arial" w:cs="Arial"/>
                <w:b/>
                <w:color w:val="000000"/>
                <w:sz w:val="16"/>
                <w:szCs w:val="16"/>
                <w:lang w:val="en-AU"/>
              </w:rPr>
            </w:pPr>
            <w:r w:rsidRPr="00717BA5">
              <w:rPr>
                <w:rFonts w:ascii="Arial" w:eastAsia="SimSun" w:hAnsi="Arial" w:cs="Arial"/>
                <w:b/>
                <w:color w:val="000000"/>
                <w:sz w:val="16"/>
                <w:szCs w:val="16"/>
                <w:lang w:val="en-AU" w:eastAsia="en-US"/>
              </w:rPr>
              <w:t>160,</w:t>
            </w:r>
            <w:r w:rsidRPr="00717BA5">
              <w:rPr>
                <w:rFonts w:ascii="Arial" w:eastAsia="SimSun" w:hAnsi="Arial" w:cs="Arial"/>
                <w:b/>
                <w:bCs/>
                <w:color w:val="000000"/>
                <w:sz w:val="16"/>
                <w:szCs w:val="16"/>
                <w:lang w:val="en-AU" w:eastAsia="en-US"/>
              </w:rPr>
              <w:t>901</w:t>
            </w:r>
          </w:p>
        </w:tc>
        <w:tc>
          <w:tcPr>
            <w:tcW w:w="1134" w:type="dxa"/>
            <w:tcBorders>
              <w:top w:val="single" w:sz="4" w:space="0" w:color="auto"/>
            </w:tcBorders>
            <w:vAlign w:val="bottom"/>
          </w:tcPr>
          <w:p w14:paraId="7B116734" w14:textId="77777777" w:rsidR="00717BA5" w:rsidRPr="00717BA5" w:rsidRDefault="00717BA5" w:rsidP="00717BA5">
            <w:pPr>
              <w:spacing w:after="0" w:line="240" w:lineRule="auto"/>
              <w:jc w:val="right"/>
              <w:rPr>
                <w:rFonts w:ascii="Arial" w:eastAsia="Times New Roman" w:hAnsi="Arial" w:cs="Arial"/>
                <w:b/>
                <w:color w:val="000000"/>
                <w:sz w:val="16"/>
                <w:szCs w:val="16"/>
                <w:lang w:val="en-AU"/>
              </w:rPr>
            </w:pPr>
            <w:r w:rsidRPr="00717BA5">
              <w:rPr>
                <w:rFonts w:ascii="Arial" w:eastAsia="SimSun" w:hAnsi="Arial" w:cs="Arial"/>
                <w:b/>
                <w:color w:val="000000"/>
                <w:sz w:val="16"/>
                <w:szCs w:val="16"/>
                <w:lang w:val="en-AU" w:eastAsia="en-US"/>
              </w:rPr>
              <w:t>12,349</w:t>
            </w:r>
          </w:p>
        </w:tc>
        <w:tc>
          <w:tcPr>
            <w:tcW w:w="1249" w:type="dxa"/>
            <w:tcBorders>
              <w:top w:val="single" w:sz="4" w:space="0" w:color="auto"/>
            </w:tcBorders>
            <w:vAlign w:val="bottom"/>
          </w:tcPr>
          <w:p w14:paraId="65B1374A" w14:textId="77777777" w:rsidR="00717BA5" w:rsidRPr="00717BA5" w:rsidRDefault="00717BA5" w:rsidP="00717BA5">
            <w:pPr>
              <w:spacing w:after="0" w:line="240" w:lineRule="auto"/>
              <w:jc w:val="right"/>
              <w:rPr>
                <w:rFonts w:ascii="Arial" w:eastAsia="Times New Roman" w:hAnsi="Arial" w:cs="Arial"/>
                <w:b/>
                <w:color w:val="000000"/>
                <w:sz w:val="16"/>
                <w:szCs w:val="16"/>
                <w:lang w:val="en-AU"/>
              </w:rPr>
            </w:pPr>
            <w:r w:rsidRPr="00717BA5">
              <w:rPr>
                <w:rFonts w:ascii="Arial" w:eastAsia="SimSun" w:hAnsi="Arial" w:cs="Arial"/>
                <w:b/>
                <w:color w:val="000000"/>
                <w:sz w:val="16"/>
                <w:szCs w:val="16"/>
                <w:lang w:val="en-AU" w:eastAsia="en-US"/>
              </w:rPr>
              <w:t>95,475</w:t>
            </w:r>
          </w:p>
        </w:tc>
        <w:tc>
          <w:tcPr>
            <w:tcW w:w="1137" w:type="dxa"/>
            <w:tcBorders>
              <w:top w:val="single" w:sz="4" w:space="0" w:color="auto"/>
            </w:tcBorders>
            <w:vAlign w:val="bottom"/>
          </w:tcPr>
          <w:p w14:paraId="5AA30665" w14:textId="77777777" w:rsidR="00717BA5" w:rsidRPr="00717BA5" w:rsidRDefault="00717BA5" w:rsidP="00717BA5">
            <w:pPr>
              <w:spacing w:after="0" w:line="240" w:lineRule="auto"/>
              <w:jc w:val="right"/>
              <w:rPr>
                <w:rFonts w:ascii="Arial" w:eastAsia="Times New Roman" w:hAnsi="Arial" w:cs="Arial"/>
                <w:b/>
                <w:color w:val="000000"/>
                <w:sz w:val="16"/>
                <w:szCs w:val="16"/>
                <w:lang w:val="en-AU"/>
              </w:rPr>
            </w:pPr>
            <w:r w:rsidRPr="00717BA5">
              <w:rPr>
                <w:rFonts w:ascii="Arial" w:eastAsia="SimSun" w:hAnsi="Arial" w:cs="Arial"/>
                <w:b/>
                <w:color w:val="000000"/>
                <w:sz w:val="16"/>
                <w:szCs w:val="16"/>
                <w:lang w:val="en-AU" w:eastAsia="en-US"/>
              </w:rPr>
              <w:t>8,131</w:t>
            </w:r>
          </w:p>
        </w:tc>
        <w:tc>
          <w:tcPr>
            <w:tcW w:w="1137" w:type="dxa"/>
            <w:tcBorders>
              <w:top w:val="single" w:sz="4" w:space="0" w:color="auto"/>
            </w:tcBorders>
            <w:vAlign w:val="bottom"/>
          </w:tcPr>
          <w:p w14:paraId="3B393BD7" w14:textId="77777777" w:rsidR="00717BA5" w:rsidRPr="00717BA5" w:rsidRDefault="00717BA5" w:rsidP="00717BA5">
            <w:pPr>
              <w:spacing w:after="0" w:line="240" w:lineRule="auto"/>
              <w:jc w:val="right"/>
              <w:rPr>
                <w:rFonts w:ascii="Arial" w:eastAsia="Times New Roman" w:hAnsi="Arial" w:cs="Arial"/>
                <w:b/>
                <w:color w:val="000000"/>
                <w:sz w:val="16"/>
                <w:szCs w:val="16"/>
                <w:lang w:val="en-AU"/>
              </w:rPr>
            </w:pPr>
            <w:r w:rsidRPr="00717BA5">
              <w:rPr>
                <w:rFonts w:ascii="Arial" w:eastAsia="SimSun" w:hAnsi="Arial" w:cs="Arial"/>
                <w:b/>
                <w:color w:val="000000"/>
                <w:sz w:val="16"/>
                <w:szCs w:val="16"/>
                <w:lang w:val="en-AU" w:eastAsia="en-US"/>
              </w:rPr>
              <w:t>276,</w:t>
            </w:r>
            <w:r w:rsidRPr="00717BA5">
              <w:rPr>
                <w:rFonts w:ascii="Arial" w:eastAsia="SimSun" w:hAnsi="Arial" w:cs="Arial"/>
                <w:b/>
                <w:bCs/>
                <w:color w:val="000000"/>
                <w:sz w:val="16"/>
                <w:szCs w:val="16"/>
                <w:lang w:val="en-AU" w:eastAsia="en-US"/>
              </w:rPr>
              <w:t>856</w:t>
            </w:r>
          </w:p>
        </w:tc>
      </w:tr>
      <w:tr w:rsidR="00717BA5" w:rsidRPr="00717BA5" w14:paraId="2CA0567F" w14:textId="77777777" w:rsidTr="00F0752D">
        <w:trPr>
          <w:trHeight w:val="57"/>
        </w:trPr>
        <w:tc>
          <w:tcPr>
            <w:tcW w:w="4644" w:type="dxa"/>
            <w:tcBorders>
              <w:top w:val="nil"/>
              <w:left w:val="nil"/>
              <w:bottom w:val="nil"/>
              <w:right w:val="nil"/>
            </w:tcBorders>
          </w:tcPr>
          <w:p w14:paraId="6F1EE665" w14:textId="77777777" w:rsidR="00717BA5" w:rsidRPr="00717BA5" w:rsidRDefault="00717BA5" w:rsidP="00717BA5">
            <w:pPr>
              <w:spacing w:after="0" w:line="240" w:lineRule="auto"/>
              <w:ind w:firstLine="426"/>
              <w:rPr>
                <w:rFonts w:ascii="Arial" w:eastAsia="Times New Roman" w:hAnsi="Arial" w:cs="Arial"/>
                <w:bCs/>
                <w:i/>
                <w:color w:val="auto"/>
                <w:sz w:val="18"/>
                <w:szCs w:val="18"/>
                <w:lang w:val="en-AU"/>
              </w:rPr>
            </w:pPr>
            <w:r w:rsidRPr="00717BA5">
              <w:rPr>
                <w:rFonts w:ascii="Arial" w:eastAsia="SimSun" w:hAnsi="Arial" w:cs="Arial"/>
                <w:i/>
                <w:color w:val="auto"/>
                <w:spacing w:val="-1"/>
                <w:sz w:val="18"/>
                <w:szCs w:val="18"/>
                <w:lang w:val="en-AU" w:eastAsia="en-US"/>
              </w:rPr>
              <w:t>Additional</w:t>
            </w:r>
            <w:r w:rsidRPr="00717BA5">
              <w:rPr>
                <w:rFonts w:ascii="Arial" w:eastAsia="SimSun" w:hAnsi="Arial" w:cs="Arial"/>
                <w:i/>
                <w:color w:val="auto"/>
                <w:spacing w:val="-7"/>
                <w:sz w:val="18"/>
                <w:szCs w:val="18"/>
                <w:lang w:val="en-AU" w:eastAsia="en-US"/>
              </w:rPr>
              <w:t xml:space="preserve"> </w:t>
            </w:r>
            <w:r w:rsidRPr="00717BA5">
              <w:rPr>
                <w:rFonts w:ascii="Arial" w:eastAsia="SimSun" w:hAnsi="Arial" w:cs="Arial"/>
                <w:i/>
                <w:color w:val="auto"/>
                <w:spacing w:val="-1"/>
                <w:sz w:val="18"/>
                <w:szCs w:val="18"/>
                <w:lang w:val="en-AU" w:eastAsia="en-US"/>
              </w:rPr>
              <w:t>Provision</w:t>
            </w:r>
            <w:r w:rsidRPr="00717BA5">
              <w:rPr>
                <w:rFonts w:ascii="Arial" w:eastAsia="SimSun" w:hAnsi="Arial" w:cs="Arial"/>
                <w:i/>
                <w:color w:val="auto"/>
                <w:spacing w:val="-6"/>
                <w:sz w:val="18"/>
                <w:szCs w:val="18"/>
                <w:lang w:val="en-AU" w:eastAsia="en-US"/>
              </w:rPr>
              <w:t xml:space="preserve"> </w:t>
            </w:r>
            <w:r w:rsidRPr="00717BA5">
              <w:rPr>
                <w:rFonts w:ascii="Arial" w:eastAsia="SimSun" w:hAnsi="Arial" w:cs="Arial"/>
                <w:i/>
                <w:color w:val="auto"/>
                <w:spacing w:val="-1"/>
                <w:sz w:val="18"/>
                <w:szCs w:val="18"/>
                <w:lang w:val="en-AU" w:eastAsia="en-US"/>
              </w:rPr>
              <w:t>Recognised</w:t>
            </w:r>
          </w:p>
        </w:tc>
        <w:tc>
          <w:tcPr>
            <w:tcW w:w="1452" w:type="dxa"/>
            <w:vAlign w:val="bottom"/>
          </w:tcPr>
          <w:p w14:paraId="0F79AF19"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18,</w:t>
            </w:r>
            <w:r w:rsidRPr="00717BA5">
              <w:rPr>
                <w:rFonts w:ascii="Arial" w:eastAsia="SimSun" w:hAnsi="Arial" w:cs="Arial"/>
                <w:i/>
                <w:iCs/>
                <w:color w:val="000000"/>
                <w:sz w:val="16"/>
                <w:szCs w:val="16"/>
                <w:lang w:val="en-AU" w:eastAsia="en-US"/>
              </w:rPr>
              <w:t>643</w:t>
            </w:r>
          </w:p>
        </w:tc>
        <w:tc>
          <w:tcPr>
            <w:tcW w:w="1134" w:type="dxa"/>
            <w:vAlign w:val="bottom"/>
          </w:tcPr>
          <w:p w14:paraId="4A3F160B"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1,545</w:t>
            </w:r>
          </w:p>
        </w:tc>
        <w:tc>
          <w:tcPr>
            <w:tcW w:w="1249" w:type="dxa"/>
            <w:vAlign w:val="bottom"/>
          </w:tcPr>
          <w:p w14:paraId="713D742B"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19,503</w:t>
            </w:r>
          </w:p>
        </w:tc>
        <w:tc>
          <w:tcPr>
            <w:tcW w:w="1137" w:type="dxa"/>
            <w:vAlign w:val="bottom"/>
          </w:tcPr>
          <w:p w14:paraId="5D9E7D18"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1,310</w:t>
            </w:r>
          </w:p>
        </w:tc>
        <w:tc>
          <w:tcPr>
            <w:tcW w:w="1137" w:type="dxa"/>
            <w:vAlign w:val="bottom"/>
          </w:tcPr>
          <w:p w14:paraId="2431FC14"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41,</w:t>
            </w:r>
            <w:r w:rsidRPr="00717BA5">
              <w:rPr>
                <w:rFonts w:ascii="Arial" w:eastAsia="SimSun" w:hAnsi="Arial" w:cs="Arial"/>
                <w:i/>
                <w:iCs/>
                <w:color w:val="000000"/>
                <w:sz w:val="16"/>
                <w:szCs w:val="16"/>
                <w:lang w:val="en-AU" w:eastAsia="en-US"/>
              </w:rPr>
              <w:t>001</w:t>
            </w:r>
          </w:p>
        </w:tc>
      </w:tr>
      <w:tr w:rsidR="00717BA5" w:rsidRPr="00717BA5" w14:paraId="35DB159E" w14:textId="77777777" w:rsidTr="00F0752D">
        <w:trPr>
          <w:trHeight w:val="57"/>
        </w:trPr>
        <w:tc>
          <w:tcPr>
            <w:tcW w:w="4644" w:type="dxa"/>
            <w:tcBorders>
              <w:top w:val="nil"/>
              <w:left w:val="nil"/>
              <w:bottom w:val="nil"/>
              <w:right w:val="nil"/>
            </w:tcBorders>
          </w:tcPr>
          <w:p w14:paraId="1E2307B4" w14:textId="1011E3C3" w:rsidR="00717BA5" w:rsidRPr="00717BA5" w:rsidRDefault="00717BA5" w:rsidP="00717BA5">
            <w:pPr>
              <w:spacing w:after="0" w:line="240" w:lineRule="auto"/>
              <w:ind w:firstLine="426"/>
              <w:rPr>
                <w:rFonts w:ascii="Arial" w:eastAsia="Times New Roman" w:hAnsi="Arial" w:cs="Arial"/>
                <w:bCs/>
                <w:i/>
                <w:color w:val="auto"/>
                <w:sz w:val="18"/>
                <w:szCs w:val="18"/>
                <w:lang w:val="en-AU"/>
              </w:rPr>
            </w:pPr>
            <w:r w:rsidRPr="00717BA5">
              <w:rPr>
                <w:rFonts w:ascii="Arial" w:eastAsia="SimSun" w:hAnsi="Arial" w:cs="Arial"/>
                <w:i/>
                <w:color w:val="auto"/>
                <w:spacing w:val="-1"/>
                <w:sz w:val="18"/>
                <w:szCs w:val="18"/>
                <w:lang w:val="en-AU" w:eastAsia="en-US"/>
              </w:rPr>
              <w:t>Unwinding of Discount and Change in Discount Rate</w:t>
            </w:r>
            <w:r w:rsidR="00FC0A57">
              <w:rPr>
                <w:rFonts w:ascii="ZWAdobeF" w:eastAsia="SimSun" w:hAnsi="ZWAdobeF" w:cs="ZWAdobeF"/>
                <w:color w:val="auto"/>
                <w:sz w:val="2"/>
                <w:szCs w:val="2"/>
                <w:lang w:val="en-AU" w:eastAsia="en-US"/>
              </w:rPr>
              <w:t>16F</w:t>
            </w:r>
            <w:r w:rsidRPr="00717BA5">
              <w:rPr>
                <w:rFonts w:ascii="Arial" w:eastAsia="SimSun" w:hAnsi="Arial" w:cs="Arial"/>
                <w:i/>
                <w:color w:val="auto"/>
                <w:spacing w:val="-1"/>
                <w:sz w:val="18"/>
                <w:szCs w:val="18"/>
                <w:vertAlign w:val="superscript"/>
                <w:lang w:val="en-AU" w:eastAsia="en-US"/>
              </w:rPr>
              <w:footnoteReference w:id="18"/>
            </w:r>
          </w:p>
        </w:tc>
        <w:tc>
          <w:tcPr>
            <w:tcW w:w="1452" w:type="dxa"/>
            <w:vAlign w:val="bottom"/>
          </w:tcPr>
          <w:p w14:paraId="40EB3565"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13,</w:t>
            </w:r>
            <w:r w:rsidRPr="00717BA5">
              <w:rPr>
                <w:rFonts w:ascii="Arial" w:eastAsia="SimSun" w:hAnsi="Arial" w:cs="Arial"/>
                <w:i/>
                <w:iCs/>
                <w:color w:val="000000"/>
                <w:sz w:val="16"/>
                <w:szCs w:val="16"/>
                <w:lang w:val="en-AU" w:eastAsia="en-US"/>
              </w:rPr>
              <w:t>744</w:t>
            </w:r>
          </w:p>
        </w:tc>
        <w:tc>
          <w:tcPr>
            <w:tcW w:w="1134" w:type="dxa"/>
            <w:vAlign w:val="bottom"/>
          </w:tcPr>
          <w:p w14:paraId="1A6C3597"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1,018</w:t>
            </w:r>
          </w:p>
        </w:tc>
        <w:tc>
          <w:tcPr>
            <w:tcW w:w="1249" w:type="dxa"/>
            <w:vAlign w:val="bottom"/>
          </w:tcPr>
          <w:p w14:paraId="4450A9C9"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8,536</w:t>
            </w:r>
          </w:p>
        </w:tc>
        <w:tc>
          <w:tcPr>
            <w:tcW w:w="1137" w:type="dxa"/>
            <w:vAlign w:val="bottom"/>
          </w:tcPr>
          <w:p w14:paraId="658E6C3E"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709</w:t>
            </w:r>
          </w:p>
        </w:tc>
        <w:tc>
          <w:tcPr>
            <w:tcW w:w="1137" w:type="dxa"/>
            <w:vAlign w:val="bottom"/>
          </w:tcPr>
          <w:p w14:paraId="23DB79C4"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24,</w:t>
            </w:r>
            <w:r w:rsidRPr="00717BA5">
              <w:rPr>
                <w:rFonts w:ascii="Arial" w:eastAsia="SimSun" w:hAnsi="Arial" w:cs="Arial"/>
                <w:i/>
                <w:iCs/>
                <w:color w:val="000000"/>
                <w:sz w:val="16"/>
                <w:szCs w:val="16"/>
                <w:lang w:val="en-AU" w:eastAsia="en-US"/>
              </w:rPr>
              <w:t>007</w:t>
            </w:r>
          </w:p>
        </w:tc>
      </w:tr>
      <w:tr w:rsidR="00717BA5" w:rsidRPr="00717BA5" w14:paraId="1AAA2461" w14:textId="77777777" w:rsidTr="00F0752D">
        <w:trPr>
          <w:trHeight w:val="57"/>
        </w:trPr>
        <w:tc>
          <w:tcPr>
            <w:tcW w:w="4644" w:type="dxa"/>
            <w:tcBorders>
              <w:top w:val="nil"/>
              <w:left w:val="nil"/>
              <w:bottom w:val="single" w:sz="5" w:space="0" w:color="000000"/>
              <w:right w:val="nil"/>
            </w:tcBorders>
          </w:tcPr>
          <w:p w14:paraId="30D917D4" w14:textId="77777777" w:rsidR="00717BA5" w:rsidRPr="00717BA5" w:rsidRDefault="00717BA5" w:rsidP="00717BA5">
            <w:pPr>
              <w:spacing w:after="0" w:line="240" w:lineRule="auto"/>
              <w:ind w:firstLine="426"/>
              <w:rPr>
                <w:rFonts w:ascii="Arial" w:eastAsia="Times New Roman" w:hAnsi="Arial" w:cs="Arial"/>
                <w:bCs/>
                <w:i/>
                <w:color w:val="auto"/>
                <w:sz w:val="18"/>
                <w:szCs w:val="18"/>
                <w:lang w:val="en-AU"/>
              </w:rPr>
            </w:pPr>
            <w:r w:rsidRPr="00717BA5">
              <w:rPr>
                <w:rFonts w:ascii="Arial" w:eastAsia="SimSun" w:hAnsi="Arial" w:cs="Arial"/>
                <w:i/>
                <w:color w:val="auto"/>
                <w:spacing w:val="-1"/>
                <w:sz w:val="18"/>
                <w:szCs w:val="18"/>
                <w:lang w:val="en-AU" w:eastAsia="en-US"/>
              </w:rPr>
              <w:t>Provision Reversed During the Year</w:t>
            </w:r>
          </w:p>
        </w:tc>
        <w:tc>
          <w:tcPr>
            <w:tcW w:w="1452" w:type="dxa"/>
            <w:tcBorders>
              <w:bottom w:val="single" w:sz="4" w:space="0" w:color="auto"/>
            </w:tcBorders>
            <w:vAlign w:val="bottom"/>
          </w:tcPr>
          <w:p w14:paraId="1373FA28"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(1,204)</w:t>
            </w:r>
          </w:p>
        </w:tc>
        <w:tc>
          <w:tcPr>
            <w:tcW w:w="1134" w:type="dxa"/>
            <w:tcBorders>
              <w:bottom w:val="single" w:sz="4" w:space="0" w:color="auto"/>
            </w:tcBorders>
            <w:vAlign w:val="bottom"/>
          </w:tcPr>
          <w:p w14:paraId="635097B6"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(53)</w:t>
            </w:r>
          </w:p>
        </w:tc>
        <w:tc>
          <w:tcPr>
            <w:tcW w:w="1249" w:type="dxa"/>
            <w:tcBorders>
              <w:bottom w:val="single" w:sz="4" w:space="0" w:color="auto"/>
            </w:tcBorders>
            <w:vAlign w:val="bottom"/>
          </w:tcPr>
          <w:p w14:paraId="25D91063"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(932)</w:t>
            </w:r>
          </w:p>
        </w:tc>
        <w:tc>
          <w:tcPr>
            <w:tcW w:w="1137" w:type="dxa"/>
            <w:tcBorders>
              <w:bottom w:val="single" w:sz="4" w:space="0" w:color="auto"/>
            </w:tcBorders>
            <w:vAlign w:val="bottom"/>
          </w:tcPr>
          <w:p w14:paraId="135675B1"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(43)</w:t>
            </w:r>
          </w:p>
        </w:tc>
        <w:tc>
          <w:tcPr>
            <w:tcW w:w="1137" w:type="dxa"/>
            <w:tcBorders>
              <w:bottom w:val="single" w:sz="4" w:space="0" w:color="auto"/>
            </w:tcBorders>
            <w:vAlign w:val="bottom"/>
          </w:tcPr>
          <w:p w14:paraId="76EDC4F7"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i/>
                <w:color w:val="000000"/>
                <w:sz w:val="16"/>
                <w:szCs w:val="16"/>
                <w:lang w:val="en-AU" w:eastAsia="en-US"/>
              </w:rPr>
              <w:t>(2,232)</w:t>
            </w:r>
          </w:p>
        </w:tc>
      </w:tr>
      <w:tr w:rsidR="00717BA5" w:rsidRPr="00717BA5" w14:paraId="3ED7B88A" w14:textId="77777777" w:rsidTr="00F0752D">
        <w:trPr>
          <w:trHeight w:val="57"/>
        </w:trPr>
        <w:tc>
          <w:tcPr>
            <w:tcW w:w="4644" w:type="dxa"/>
            <w:tcBorders>
              <w:top w:val="single" w:sz="4" w:space="0" w:color="auto"/>
            </w:tcBorders>
          </w:tcPr>
          <w:p w14:paraId="0C425F67" w14:textId="195B5AE4"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Plus: Total Additional Accrued Long Service Leave Expense</w:t>
            </w:r>
            <w:r w:rsidR="00FC0A57">
              <w:rPr>
                <w:rFonts w:ascii="ZWAdobeF" w:eastAsia="Times New Roman" w:hAnsi="ZWAdobeF" w:cs="ZWAdobeF"/>
                <w:bCs/>
                <w:color w:val="auto"/>
                <w:sz w:val="2"/>
                <w:szCs w:val="2"/>
                <w:lang w:val="en-AU"/>
              </w:rPr>
              <w:t>17F</w:t>
            </w:r>
            <w:r w:rsidRPr="00717BA5">
              <w:rPr>
                <w:rFonts w:ascii="Arial" w:eastAsia="Times New Roman" w:hAnsi="Arial" w:cs="Arial"/>
                <w:bCs/>
                <w:color w:val="auto"/>
                <w:sz w:val="18"/>
                <w:szCs w:val="18"/>
                <w:vertAlign w:val="superscript"/>
                <w:lang w:val="en-AU"/>
              </w:rPr>
              <w:footnoteReference w:id="19"/>
            </w:r>
          </w:p>
        </w:tc>
        <w:tc>
          <w:tcPr>
            <w:tcW w:w="1452" w:type="dxa"/>
            <w:tcBorders>
              <w:top w:val="single" w:sz="4" w:space="0" w:color="auto"/>
            </w:tcBorders>
            <w:vAlign w:val="bottom"/>
          </w:tcPr>
          <w:p w14:paraId="6952B4CD"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color w:val="000000"/>
                <w:sz w:val="16"/>
                <w:szCs w:val="16"/>
                <w:lang w:val="en-AU" w:eastAsia="en-US"/>
              </w:rPr>
              <w:t>31,183</w:t>
            </w:r>
          </w:p>
        </w:tc>
        <w:tc>
          <w:tcPr>
            <w:tcW w:w="1134" w:type="dxa"/>
            <w:tcBorders>
              <w:top w:val="single" w:sz="4" w:space="0" w:color="auto"/>
            </w:tcBorders>
            <w:vAlign w:val="bottom"/>
          </w:tcPr>
          <w:p w14:paraId="24EF1A21"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color w:val="000000"/>
                <w:sz w:val="16"/>
                <w:szCs w:val="16"/>
                <w:lang w:val="en-AU" w:eastAsia="en-US"/>
              </w:rPr>
              <w:t>2,510</w:t>
            </w:r>
          </w:p>
        </w:tc>
        <w:tc>
          <w:tcPr>
            <w:tcW w:w="1249" w:type="dxa"/>
            <w:tcBorders>
              <w:top w:val="single" w:sz="4" w:space="0" w:color="auto"/>
            </w:tcBorders>
            <w:vAlign w:val="bottom"/>
          </w:tcPr>
          <w:p w14:paraId="03CA2EEC"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color w:val="000000"/>
                <w:sz w:val="16"/>
                <w:szCs w:val="16"/>
                <w:lang w:val="en-AU" w:eastAsia="en-US"/>
              </w:rPr>
              <w:t>27,107</w:t>
            </w:r>
          </w:p>
        </w:tc>
        <w:tc>
          <w:tcPr>
            <w:tcW w:w="1137" w:type="dxa"/>
            <w:tcBorders>
              <w:top w:val="single" w:sz="4" w:space="0" w:color="auto"/>
            </w:tcBorders>
            <w:vAlign w:val="bottom"/>
          </w:tcPr>
          <w:p w14:paraId="7E76B96B"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color w:val="000000"/>
                <w:sz w:val="16"/>
                <w:szCs w:val="16"/>
                <w:lang w:val="en-AU" w:eastAsia="en-US"/>
              </w:rPr>
              <w:t>1,976</w:t>
            </w:r>
          </w:p>
        </w:tc>
        <w:tc>
          <w:tcPr>
            <w:tcW w:w="1137" w:type="dxa"/>
            <w:tcBorders>
              <w:top w:val="single" w:sz="4" w:space="0" w:color="auto"/>
            </w:tcBorders>
            <w:vAlign w:val="bottom"/>
          </w:tcPr>
          <w:p w14:paraId="2BB44C16"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color w:val="000000"/>
                <w:sz w:val="16"/>
                <w:szCs w:val="16"/>
                <w:lang w:val="en-AU" w:eastAsia="en-US"/>
              </w:rPr>
              <w:t>62,776</w:t>
            </w:r>
          </w:p>
        </w:tc>
      </w:tr>
      <w:tr w:rsidR="00717BA5" w:rsidRPr="00717BA5" w14:paraId="48FCE3C8" w14:textId="77777777" w:rsidTr="00F0752D">
        <w:trPr>
          <w:trHeight w:val="57"/>
        </w:trPr>
        <w:tc>
          <w:tcPr>
            <w:tcW w:w="4644" w:type="dxa"/>
            <w:tcBorders>
              <w:bottom w:val="single" w:sz="4" w:space="0" w:color="auto"/>
            </w:tcBorders>
          </w:tcPr>
          <w:p w14:paraId="74CF6A16"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Less: Long Service Leave Benefit Claims Paid</w:t>
            </w:r>
          </w:p>
        </w:tc>
        <w:tc>
          <w:tcPr>
            <w:tcW w:w="1452" w:type="dxa"/>
            <w:tcBorders>
              <w:bottom w:val="single" w:sz="4" w:space="0" w:color="auto"/>
            </w:tcBorders>
            <w:vAlign w:val="bottom"/>
          </w:tcPr>
          <w:p w14:paraId="5425B3AB"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color w:val="000000"/>
                <w:sz w:val="16"/>
                <w:szCs w:val="16"/>
                <w:lang w:val="en-AU" w:eastAsia="en-US"/>
              </w:rPr>
              <w:t>(18,789)</w:t>
            </w:r>
          </w:p>
        </w:tc>
        <w:tc>
          <w:tcPr>
            <w:tcW w:w="1134" w:type="dxa"/>
            <w:tcBorders>
              <w:bottom w:val="single" w:sz="4" w:space="0" w:color="auto"/>
            </w:tcBorders>
            <w:vAlign w:val="bottom"/>
          </w:tcPr>
          <w:p w14:paraId="456A93B1"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color w:val="000000"/>
                <w:sz w:val="16"/>
                <w:szCs w:val="16"/>
                <w:lang w:val="en-AU" w:eastAsia="en-US"/>
              </w:rPr>
              <w:t>(2,033)</w:t>
            </w:r>
          </w:p>
        </w:tc>
        <w:tc>
          <w:tcPr>
            <w:tcW w:w="1249" w:type="dxa"/>
            <w:tcBorders>
              <w:bottom w:val="single" w:sz="4" w:space="0" w:color="auto"/>
            </w:tcBorders>
            <w:vAlign w:val="bottom"/>
          </w:tcPr>
          <w:p w14:paraId="24B0CEB6"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color w:val="000000"/>
                <w:sz w:val="16"/>
                <w:szCs w:val="16"/>
                <w:lang w:val="en-AU" w:eastAsia="en-US"/>
              </w:rPr>
              <w:t>(11,982)</w:t>
            </w:r>
          </w:p>
        </w:tc>
        <w:tc>
          <w:tcPr>
            <w:tcW w:w="1137" w:type="dxa"/>
            <w:tcBorders>
              <w:bottom w:val="single" w:sz="4" w:space="0" w:color="auto"/>
            </w:tcBorders>
            <w:vAlign w:val="bottom"/>
          </w:tcPr>
          <w:p w14:paraId="2DF6D4B1"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color w:val="000000"/>
                <w:sz w:val="16"/>
                <w:szCs w:val="16"/>
                <w:lang w:val="en-AU" w:eastAsia="en-US"/>
              </w:rPr>
              <w:t>(1,486)</w:t>
            </w:r>
          </w:p>
        </w:tc>
        <w:tc>
          <w:tcPr>
            <w:tcW w:w="1137" w:type="dxa"/>
            <w:tcBorders>
              <w:bottom w:val="single" w:sz="4" w:space="0" w:color="auto"/>
            </w:tcBorders>
            <w:vAlign w:val="bottom"/>
          </w:tcPr>
          <w:p w14:paraId="714A4318" w14:textId="77777777" w:rsidR="00717BA5" w:rsidRPr="00717BA5" w:rsidRDefault="00717BA5" w:rsidP="00717BA5">
            <w:pPr>
              <w:spacing w:after="0" w:line="240" w:lineRule="auto"/>
              <w:jc w:val="right"/>
              <w:rPr>
                <w:rFonts w:ascii="Arial" w:eastAsia="Times New Roman" w:hAnsi="Arial" w:cs="Arial"/>
                <w:color w:val="000000"/>
                <w:sz w:val="16"/>
                <w:szCs w:val="16"/>
                <w:lang w:val="en-AU"/>
              </w:rPr>
            </w:pPr>
            <w:r w:rsidRPr="00717BA5">
              <w:rPr>
                <w:rFonts w:ascii="Arial" w:eastAsia="SimSun" w:hAnsi="Arial" w:cs="Arial"/>
                <w:color w:val="000000"/>
                <w:sz w:val="16"/>
                <w:szCs w:val="16"/>
                <w:lang w:val="en-AU" w:eastAsia="en-US"/>
              </w:rPr>
              <w:t>(34,290)</w:t>
            </w:r>
          </w:p>
        </w:tc>
      </w:tr>
      <w:tr w:rsidR="00717BA5" w:rsidRPr="00717BA5" w14:paraId="21E30261" w14:textId="77777777" w:rsidTr="00F0752D">
        <w:trPr>
          <w:trHeight w:val="57"/>
        </w:trPr>
        <w:tc>
          <w:tcPr>
            <w:tcW w:w="4644" w:type="dxa"/>
            <w:tcBorders>
              <w:top w:val="single" w:sz="4" w:space="0" w:color="auto"/>
              <w:bottom w:val="double" w:sz="4" w:space="0" w:color="auto"/>
            </w:tcBorders>
            <w:vAlign w:val="bottom"/>
          </w:tcPr>
          <w:p w14:paraId="28BB576F"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 at the End of the Reporting Period</w:t>
            </w:r>
          </w:p>
        </w:tc>
        <w:tc>
          <w:tcPr>
            <w:tcW w:w="1452" w:type="dxa"/>
            <w:tcBorders>
              <w:top w:val="single" w:sz="4" w:space="0" w:color="auto"/>
              <w:bottom w:val="double" w:sz="4" w:space="0" w:color="auto"/>
            </w:tcBorders>
            <w:vAlign w:val="bottom"/>
          </w:tcPr>
          <w:p w14:paraId="361606C1" w14:textId="77777777" w:rsidR="00717BA5" w:rsidRPr="00717BA5" w:rsidRDefault="00717BA5" w:rsidP="00717BA5">
            <w:pPr>
              <w:spacing w:after="0" w:line="240" w:lineRule="auto"/>
              <w:jc w:val="right"/>
              <w:rPr>
                <w:rFonts w:ascii="Arial" w:eastAsia="Times New Roman" w:hAnsi="Arial" w:cs="Arial"/>
                <w:b/>
                <w:color w:val="000000"/>
                <w:sz w:val="16"/>
                <w:szCs w:val="16"/>
                <w:lang w:val="en-AU"/>
              </w:rPr>
            </w:pPr>
            <w:r w:rsidRPr="00717BA5">
              <w:rPr>
                <w:rFonts w:ascii="Arial" w:eastAsia="SimSun" w:hAnsi="Arial" w:cs="Arial"/>
                <w:b/>
                <w:color w:val="000000"/>
                <w:sz w:val="16"/>
                <w:szCs w:val="16"/>
                <w:lang w:val="en-AU" w:eastAsia="en-US"/>
              </w:rPr>
              <w:t>173,</w:t>
            </w:r>
            <w:r w:rsidRPr="00717BA5">
              <w:rPr>
                <w:rFonts w:ascii="Arial" w:eastAsia="SimSun" w:hAnsi="Arial" w:cs="Arial"/>
                <w:b/>
                <w:bCs/>
                <w:color w:val="000000"/>
                <w:sz w:val="16"/>
                <w:szCs w:val="16"/>
                <w:lang w:val="en-AU" w:eastAsia="en-US"/>
              </w:rPr>
              <w:t>295</w:t>
            </w:r>
          </w:p>
        </w:tc>
        <w:tc>
          <w:tcPr>
            <w:tcW w:w="1134" w:type="dxa"/>
            <w:tcBorders>
              <w:top w:val="single" w:sz="4" w:space="0" w:color="auto"/>
              <w:bottom w:val="double" w:sz="4" w:space="0" w:color="auto"/>
            </w:tcBorders>
            <w:vAlign w:val="bottom"/>
          </w:tcPr>
          <w:p w14:paraId="060DF442" w14:textId="77777777" w:rsidR="00717BA5" w:rsidRPr="00717BA5" w:rsidRDefault="00717BA5" w:rsidP="00717BA5">
            <w:pPr>
              <w:spacing w:after="0" w:line="240" w:lineRule="auto"/>
              <w:jc w:val="right"/>
              <w:rPr>
                <w:rFonts w:ascii="Arial" w:eastAsia="Times New Roman" w:hAnsi="Arial" w:cs="Arial"/>
                <w:b/>
                <w:color w:val="000000"/>
                <w:sz w:val="16"/>
                <w:szCs w:val="16"/>
                <w:lang w:val="en-AU"/>
              </w:rPr>
            </w:pPr>
            <w:r w:rsidRPr="00717BA5">
              <w:rPr>
                <w:rFonts w:ascii="Arial" w:eastAsia="SimSun" w:hAnsi="Arial" w:cs="Arial"/>
                <w:b/>
                <w:color w:val="000000"/>
                <w:sz w:val="16"/>
                <w:szCs w:val="16"/>
                <w:lang w:val="en-AU" w:eastAsia="en-US"/>
              </w:rPr>
              <w:t>12,826</w:t>
            </w:r>
          </w:p>
        </w:tc>
        <w:tc>
          <w:tcPr>
            <w:tcW w:w="1249" w:type="dxa"/>
            <w:tcBorders>
              <w:top w:val="single" w:sz="4" w:space="0" w:color="auto"/>
              <w:bottom w:val="double" w:sz="4" w:space="0" w:color="auto"/>
            </w:tcBorders>
            <w:vAlign w:val="bottom"/>
          </w:tcPr>
          <w:p w14:paraId="606028CB" w14:textId="77777777" w:rsidR="00717BA5" w:rsidRPr="00717BA5" w:rsidRDefault="00717BA5" w:rsidP="00717BA5">
            <w:pPr>
              <w:spacing w:after="0" w:line="240" w:lineRule="auto"/>
              <w:jc w:val="right"/>
              <w:rPr>
                <w:rFonts w:ascii="Arial" w:eastAsia="Times New Roman" w:hAnsi="Arial" w:cs="Arial"/>
                <w:b/>
                <w:color w:val="000000"/>
                <w:sz w:val="16"/>
                <w:szCs w:val="16"/>
                <w:lang w:val="en-AU"/>
              </w:rPr>
            </w:pPr>
            <w:r w:rsidRPr="00717BA5">
              <w:rPr>
                <w:rFonts w:ascii="Arial" w:eastAsia="SimSun" w:hAnsi="Arial" w:cs="Arial"/>
                <w:b/>
                <w:color w:val="000000"/>
                <w:sz w:val="16"/>
                <w:szCs w:val="16"/>
                <w:lang w:val="en-AU" w:eastAsia="en-US"/>
              </w:rPr>
              <w:t>110,600</w:t>
            </w:r>
          </w:p>
        </w:tc>
        <w:tc>
          <w:tcPr>
            <w:tcW w:w="1137" w:type="dxa"/>
            <w:tcBorders>
              <w:top w:val="single" w:sz="4" w:space="0" w:color="auto"/>
              <w:bottom w:val="double" w:sz="4" w:space="0" w:color="auto"/>
            </w:tcBorders>
            <w:vAlign w:val="bottom"/>
          </w:tcPr>
          <w:p w14:paraId="6409E303" w14:textId="77777777" w:rsidR="00717BA5" w:rsidRPr="00717BA5" w:rsidRDefault="00717BA5" w:rsidP="00717BA5">
            <w:pPr>
              <w:spacing w:after="0" w:line="240" w:lineRule="auto"/>
              <w:jc w:val="right"/>
              <w:rPr>
                <w:rFonts w:ascii="Arial" w:eastAsia="Times New Roman" w:hAnsi="Arial" w:cs="Arial"/>
                <w:b/>
                <w:color w:val="000000"/>
                <w:sz w:val="16"/>
                <w:szCs w:val="16"/>
                <w:lang w:val="en-AU"/>
              </w:rPr>
            </w:pPr>
            <w:r w:rsidRPr="00717BA5">
              <w:rPr>
                <w:rFonts w:ascii="Arial" w:eastAsia="SimSun" w:hAnsi="Arial" w:cs="Arial"/>
                <w:b/>
                <w:color w:val="000000"/>
                <w:sz w:val="16"/>
                <w:szCs w:val="16"/>
                <w:lang w:val="en-AU" w:eastAsia="en-US"/>
              </w:rPr>
              <w:t>8,621</w:t>
            </w:r>
          </w:p>
        </w:tc>
        <w:tc>
          <w:tcPr>
            <w:tcW w:w="1137" w:type="dxa"/>
            <w:tcBorders>
              <w:top w:val="single" w:sz="4" w:space="0" w:color="auto"/>
              <w:bottom w:val="double" w:sz="4" w:space="0" w:color="auto"/>
            </w:tcBorders>
            <w:vAlign w:val="bottom"/>
          </w:tcPr>
          <w:p w14:paraId="6A56E02D" w14:textId="77777777" w:rsidR="00717BA5" w:rsidRPr="00717BA5" w:rsidRDefault="00717BA5" w:rsidP="00717BA5">
            <w:pPr>
              <w:spacing w:after="0" w:line="240" w:lineRule="auto"/>
              <w:jc w:val="right"/>
              <w:rPr>
                <w:rFonts w:ascii="Arial" w:eastAsia="Times New Roman" w:hAnsi="Arial" w:cs="Arial"/>
                <w:b/>
                <w:color w:val="000000"/>
                <w:sz w:val="16"/>
                <w:szCs w:val="16"/>
                <w:lang w:val="en-AU"/>
              </w:rPr>
            </w:pPr>
            <w:r w:rsidRPr="00717BA5">
              <w:rPr>
                <w:rFonts w:ascii="Arial" w:eastAsia="SimSun" w:hAnsi="Arial" w:cs="Arial"/>
                <w:b/>
                <w:color w:val="000000"/>
                <w:sz w:val="16"/>
                <w:szCs w:val="16"/>
                <w:lang w:val="en-AU" w:eastAsia="en-US"/>
              </w:rPr>
              <w:t>305,</w:t>
            </w:r>
            <w:r w:rsidRPr="00717BA5">
              <w:rPr>
                <w:rFonts w:ascii="Arial" w:eastAsia="SimSun" w:hAnsi="Arial" w:cs="Arial"/>
                <w:b/>
                <w:bCs/>
                <w:color w:val="000000"/>
                <w:sz w:val="16"/>
                <w:szCs w:val="16"/>
                <w:lang w:val="en-AU" w:eastAsia="en-US"/>
              </w:rPr>
              <w:t>342</w:t>
            </w:r>
          </w:p>
        </w:tc>
      </w:tr>
    </w:tbl>
    <w:p w14:paraId="1CDF0986" w14:textId="77777777" w:rsidR="00717BA5" w:rsidRPr="00717BA5" w:rsidRDefault="00717BA5" w:rsidP="00717BA5">
      <w:pPr>
        <w:spacing w:before="60" w:after="0" w:line="240" w:lineRule="auto"/>
        <w:ind w:right="-113"/>
        <w:jc w:val="both"/>
        <w:rPr>
          <w:rFonts w:ascii="Arial" w:eastAsia="Times New Roman" w:hAnsi="Arial" w:cs="Arial"/>
          <w:color w:val="auto"/>
          <w:sz w:val="18"/>
          <w:szCs w:val="18"/>
          <w:lang w:val="en-AU"/>
        </w:rPr>
      </w:pPr>
    </w:p>
    <w:p w14:paraId="337D1BB1"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 xml:space="preserve">This provision was estimated by PricewaterhouseCoopers Securities Ltd. Based on the 2026-27 Budget, the estimated benefits that will be payable within the 12 months after 30 June 2026 are $29.4 million, including $17.3 million for construction, $1.4 million for services, $10.0 million for community, and $0.7 million for security, with the balance expected to be paid in later years. Refer to Note 17 - </w:t>
      </w:r>
      <w:r w:rsidRPr="00717BA5">
        <w:rPr>
          <w:rFonts w:ascii="Arial" w:eastAsia="Times New Roman" w:hAnsi="Arial" w:cs="Arial"/>
          <w:i/>
          <w:iCs/>
          <w:color w:val="auto"/>
          <w:lang w:val="en-AU"/>
        </w:rPr>
        <w:t>Operating Statement and Balance Sheet for the Long Service Leave Schemes</w:t>
      </w:r>
      <w:r w:rsidRPr="00717BA5">
        <w:rPr>
          <w:rFonts w:ascii="Arial" w:eastAsia="Times New Roman" w:hAnsi="Arial" w:cs="Arial"/>
          <w:color w:val="auto"/>
          <w:lang w:val="en-AU"/>
        </w:rPr>
        <w:t xml:space="preserve"> for the short-term and long-term estimate split of the current provision for long service leave benefits for each scheme.</w:t>
      </w:r>
    </w:p>
    <w:p w14:paraId="619C301D"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3FEEA812"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41B284B8"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789A59F0"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547936E2"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493B6F1E"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0822A4C6"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3417EF5C"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15467571"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4B141B6F"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5D6D51AE" w14:textId="77777777" w:rsidR="00717BA5" w:rsidRPr="00717BA5" w:rsidRDefault="00717BA5" w:rsidP="00717BA5">
      <w:pPr>
        <w:spacing w:after="0" w:line="240" w:lineRule="auto"/>
        <w:jc w:val="both"/>
        <w:outlineLvl w:val="1"/>
        <w:rPr>
          <w:rFonts w:ascii="Arial" w:eastAsia="Times New Roman" w:hAnsi="Arial" w:cs="Arial"/>
          <w:b/>
          <w:bCs/>
          <w:color w:val="auto"/>
          <w:sz w:val="24"/>
          <w:szCs w:val="24"/>
          <w:lang w:val="en-AU"/>
        </w:rPr>
      </w:pPr>
    </w:p>
    <w:p w14:paraId="45E370AE" w14:textId="77777777" w:rsidR="00717BA5" w:rsidRPr="00717BA5" w:rsidRDefault="00717BA5" w:rsidP="00717BA5">
      <w:pPr>
        <w:spacing w:after="0" w:line="240" w:lineRule="auto"/>
        <w:jc w:val="both"/>
        <w:outlineLvl w:val="1"/>
        <w:rPr>
          <w:rFonts w:ascii="Arial" w:eastAsia="Times New Roman" w:hAnsi="Arial" w:cs="Arial"/>
          <w:b/>
          <w:bCs/>
          <w:color w:val="auto"/>
          <w:sz w:val="24"/>
          <w:szCs w:val="24"/>
          <w:lang w:val="en-AU"/>
        </w:rPr>
      </w:pPr>
    </w:p>
    <w:p w14:paraId="41668F57" w14:textId="77777777" w:rsidR="00717BA5" w:rsidRPr="00717BA5" w:rsidRDefault="00717BA5" w:rsidP="00A3421A">
      <w:pPr>
        <w:keepNext/>
        <w:spacing w:after="120" w:line="240" w:lineRule="auto"/>
        <w:jc w:val="both"/>
        <w:outlineLvl w:val="1"/>
        <w:rPr>
          <w:rFonts w:ascii="Arial" w:eastAsia="Times New Roman" w:hAnsi="Arial" w:cs="Arial"/>
          <w:b/>
          <w:bCs/>
          <w:color w:val="auto"/>
          <w:sz w:val="24"/>
          <w:szCs w:val="24"/>
          <w:lang w:val="en-AU"/>
        </w:rPr>
      </w:pPr>
      <w:bookmarkStart w:id="115" w:name="_Toc240533529"/>
      <w:r w:rsidRPr="00717BA5">
        <w:rPr>
          <w:rFonts w:ascii="Arial" w:eastAsia="Times New Roman" w:hAnsi="Arial" w:cs="Arial"/>
          <w:b/>
          <w:bCs/>
          <w:color w:val="auto"/>
          <w:sz w:val="24"/>
          <w:szCs w:val="24"/>
          <w:lang w:val="en-AU"/>
        </w:rPr>
        <w:t>NOTE 16.   EMPLOYEE BENEFITS</w:t>
      </w:r>
      <w:bookmarkEnd w:id="115"/>
    </w:p>
    <w:p w14:paraId="1695C510" w14:textId="77777777" w:rsidR="00717BA5" w:rsidRPr="00717BA5" w:rsidRDefault="00717BA5" w:rsidP="00717BA5">
      <w:pPr>
        <w:adjustRightInd w:val="0"/>
        <w:snapToGrid w:val="0"/>
        <w:rPr>
          <w:rFonts w:ascii="Arial" w:eastAsia="Times New Roman" w:hAnsi="Arial" w:cs="Arial"/>
          <w:b/>
          <w:caps/>
          <w:color w:val="auto"/>
          <w:sz w:val="18"/>
          <w:szCs w:val="18"/>
          <w:lang w:val="en-AU"/>
        </w:rPr>
      </w:pPr>
      <w:r w:rsidRPr="00717BA5">
        <w:rPr>
          <w:rFonts w:ascii="Arial" w:eastAsia="Times New Roman" w:hAnsi="Arial" w:cs="Arial"/>
          <w:b/>
          <w:bCs/>
          <w:color w:val="auto"/>
          <w:lang w:val="en-AU"/>
        </w:rPr>
        <w:t>Description and Material Accounting Policies Relating to Employee Benefits</w:t>
      </w:r>
    </w:p>
    <w:p w14:paraId="0AB5C318"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Accrued Salaries and Superannuation</w:t>
      </w:r>
    </w:p>
    <w:p w14:paraId="7A0A1FBF"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color w:val="auto"/>
          <w:lang w:val="en-AU"/>
        </w:rPr>
        <w:t>Accrued salaries</w:t>
      </w:r>
      <w:r w:rsidRPr="00717BA5">
        <w:rPr>
          <w:rFonts w:ascii="Arial" w:eastAsia="Times New Roman" w:hAnsi="Arial" w:cs="Arial"/>
          <w:color w:val="auto"/>
          <w:sz w:val="18"/>
          <w:szCs w:val="18"/>
          <w:lang w:val="en-AU"/>
        </w:rPr>
        <w:t xml:space="preserve"> and superannuation are measured at the amount that remains unpaid at the end of the reporting period.</w:t>
      </w:r>
    </w:p>
    <w:p w14:paraId="7170CCC8" w14:textId="77777777" w:rsidR="00717BA5" w:rsidRPr="00717BA5" w:rsidRDefault="00717BA5" w:rsidP="00717BA5">
      <w:pPr>
        <w:spacing w:after="0"/>
        <w:rPr>
          <w:rFonts w:ascii="Arial" w:eastAsia="Times New Roman" w:hAnsi="Arial" w:cs="Arial"/>
          <w:i/>
          <w:iCs/>
          <w:color w:val="auto"/>
          <w:lang w:val="en-AU"/>
        </w:rPr>
      </w:pPr>
      <w:r w:rsidRPr="00717BA5">
        <w:rPr>
          <w:rFonts w:ascii="Arial" w:eastAsia="Times New Roman" w:hAnsi="Arial" w:cs="Arial"/>
          <w:i/>
          <w:iCs/>
          <w:color w:val="auto"/>
          <w:lang w:val="en-AU"/>
        </w:rPr>
        <w:t>Annual and Long Service Leave</w:t>
      </w:r>
    </w:p>
    <w:p w14:paraId="0F6D122A"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color w:val="auto"/>
          <w:lang w:val="en-AU"/>
        </w:rPr>
        <w:t>Annual and long service leave, including applicable on-costs, that are not expected to be wholly settled before twelve months after the end of the reporting period when the employees render the related service, are measured at the present value of estimated future payments to be made in respect of services provided by employees up to the end of the reporting period. Consideration is given to the future wage and salary levels, experience of employee departures and periods of service. At the end of each reporting period, the present value of future annual leave and long service leave payments is estimated using market yields on Commonwealth Government bonds with terms to maturity that match, as closely as possible, the estimated future cash flows.</w:t>
      </w:r>
      <w:r w:rsidRPr="00717BA5">
        <w:rPr>
          <w:rFonts w:ascii="Arial" w:eastAsia="Times New Roman" w:hAnsi="Arial" w:cs="Arial"/>
          <w:color w:val="auto"/>
          <w:sz w:val="18"/>
          <w:szCs w:val="18"/>
          <w:lang w:val="en-AU"/>
        </w:rPr>
        <w:t xml:space="preserve"> </w:t>
      </w:r>
    </w:p>
    <w:p w14:paraId="665E9253"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Annual leave liabilities have been estimated on the assumption that these amounts will be wholly settled within three years. In 2025-26, the rate used to estimate the present value of future:</w:t>
      </w:r>
    </w:p>
    <w:p w14:paraId="5520556A" w14:textId="77777777" w:rsidR="00717BA5" w:rsidRPr="00717BA5" w:rsidRDefault="00717BA5" w:rsidP="00717BA5">
      <w:pPr>
        <w:spacing w:after="120" w:line="240" w:lineRule="auto"/>
        <w:ind w:left="340" w:hanging="340"/>
        <w:rPr>
          <w:rFonts w:ascii="Arial" w:eastAsia="SimSun" w:hAnsi="Arial" w:cs="Arial"/>
          <w:color w:val="auto"/>
          <w:lang w:val="en-AU" w:eastAsia="en-US"/>
        </w:rPr>
      </w:pPr>
      <w:r w:rsidRPr="00717BA5">
        <w:rPr>
          <w:rFonts w:ascii="Arial" w:eastAsia="SimSun" w:hAnsi="Arial" w:cs="Arial"/>
          <w:color w:val="auto"/>
          <w:lang w:val="en-AU" w:eastAsia="en-US"/>
        </w:rPr>
        <w:t xml:space="preserve">annual leave payments is 98.0% (99.5% in 2024-25) and </w:t>
      </w:r>
    </w:p>
    <w:p w14:paraId="5479A67D" w14:textId="77777777" w:rsidR="00717BA5" w:rsidRPr="00717BA5" w:rsidRDefault="00717BA5" w:rsidP="00717BA5">
      <w:pPr>
        <w:spacing w:after="120" w:line="240" w:lineRule="auto"/>
        <w:ind w:left="340" w:hanging="340"/>
        <w:rPr>
          <w:rFonts w:ascii="Arial" w:eastAsia="SimSun" w:hAnsi="Arial" w:cs="Arial"/>
          <w:color w:val="auto"/>
          <w:lang w:val="en-AU" w:eastAsia="en-US"/>
        </w:rPr>
      </w:pPr>
      <w:r w:rsidRPr="00717BA5">
        <w:rPr>
          <w:rFonts w:ascii="Arial" w:eastAsia="SimSun" w:hAnsi="Arial" w:cs="Arial"/>
          <w:color w:val="auto"/>
          <w:lang w:val="en-AU" w:eastAsia="en-US"/>
        </w:rPr>
        <w:t>payments for long service leave is 95.5% (100.1% in 2024-25).</w:t>
      </w:r>
    </w:p>
    <w:p w14:paraId="59F4E13A"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The long service leave liability is estimated with reference to the minimum period of qualifying service. For employees with less than the required minimum period of qualifying service</w:t>
      </w:r>
      <w:r w:rsidRPr="00717BA5">
        <w:rPr>
          <w:rFonts w:ascii="Arial" w:eastAsia="Times New Roman" w:hAnsi="Arial" w:cs="Arial"/>
          <w:color w:val="auto"/>
          <w:sz w:val="18"/>
          <w:szCs w:val="18"/>
          <w:lang w:val="en-AU"/>
        </w:rPr>
        <w:t xml:space="preserve"> (i.e. 7 years for employees under 55 years and 1 year for employees 55 years or older</w:t>
      </w:r>
      <w:r w:rsidRPr="00717BA5">
        <w:rPr>
          <w:rFonts w:ascii="Arial" w:eastAsia="Times New Roman" w:hAnsi="Arial" w:cs="Arial"/>
          <w:color w:val="auto"/>
          <w:lang w:val="en-AU"/>
        </w:rPr>
        <w:t xml:space="preserve">), the probability that employees will reach the required minimum period has been taken into account in estimating the provision for long service leave and applicable on-costs. </w:t>
      </w:r>
    </w:p>
    <w:p w14:paraId="2271436A" w14:textId="77777777" w:rsidR="00717BA5" w:rsidRPr="00717BA5" w:rsidRDefault="00717BA5" w:rsidP="00717BA5">
      <w:pPr>
        <w:adjustRightInd w:val="0"/>
        <w:snapToGrid w:val="0"/>
        <w:rPr>
          <w:rFonts w:ascii="Arial" w:eastAsia="Times New Roman" w:hAnsi="Arial" w:cs="Arial"/>
          <w:color w:val="auto"/>
          <w:lang w:val="en-AU" w:eastAsia="zh-CN"/>
        </w:rPr>
      </w:pPr>
      <w:r w:rsidRPr="00717BA5">
        <w:rPr>
          <w:rFonts w:ascii="Arial" w:eastAsia="Times New Roman" w:hAnsi="Arial" w:cs="Arial"/>
          <w:color w:val="auto"/>
          <w:lang w:val="en-AU"/>
        </w:rPr>
        <w:t>On-costs only become payable if the employee takes annual and long service leave while in-service, the probability that employees will take annual and long service leave while in service has been taken into account in estimating the provision for long service leave and applicable on-costs.</w:t>
      </w:r>
    </w:p>
    <w:p w14:paraId="6E340F13"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color w:val="auto"/>
          <w:lang w:val="en-AU"/>
        </w:rPr>
        <w:t>Significant judgements have been applied in estimating the annual and long service leave liabilities, given that ACT Leave uses the Whole-of-Government present value, probability and on-cost factors. These factors are issued by ACT Treasury and apply to all ACT Government Agencies. ACT Treasury organises an actuarial review to be undertaken every three years by the Australian Government Actuary to estimate each of these factors. The latest assessment was undertaken in December 2024 and early 2025, with the next review expected to be undertaken by late 2027.</w:t>
      </w:r>
    </w:p>
    <w:p w14:paraId="5E333660"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Annual leave and long service leave liabilities are classified as current liabilities in the Balance Sheet where there are no unconditional rights to defer the settlement of the liability for at least 12 months. Conditional long service leave liabilities are classified as non-current because ACT Leave has an unconditional right to defer the settlement of the liability until the employee has completed the requisite years of service.</w:t>
      </w:r>
    </w:p>
    <w:p w14:paraId="6DB9DF0F"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0EAF28A8"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70B75F37"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45CCA4EF"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56E04AA7"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759CBCBC"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190170DC"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67536570" w14:textId="77777777" w:rsidR="00717BA5" w:rsidRPr="00717BA5" w:rsidRDefault="00717BA5" w:rsidP="00717BA5">
      <w:pPr>
        <w:keepNext/>
        <w:spacing w:after="0" w:line="240" w:lineRule="auto"/>
        <w:jc w:val="both"/>
        <w:outlineLvl w:val="1"/>
        <w:rPr>
          <w:rFonts w:ascii="Arial" w:eastAsia="Times New Roman" w:hAnsi="Arial" w:cs="Arial"/>
          <w:b/>
          <w:bCs/>
          <w:color w:val="auto"/>
          <w:sz w:val="24"/>
          <w:szCs w:val="24"/>
          <w:lang w:val="en-AU"/>
        </w:rPr>
      </w:pPr>
    </w:p>
    <w:p w14:paraId="05675867" w14:textId="77777777" w:rsidR="00717BA5" w:rsidRPr="00717BA5" w:rsidRDefault="00717BA5" w:rsidP="00A3421A">
      <w:pPr>
        <w:keepNext/>
        <w:spacing w:after="120" w:line="240" w:lineRule="auto"/>
        <w:jc w:val="both"/>
        <w:outlineLvl w:val="1"/>
        <w:rPr>
          <w:rFonts w:ascii="Arial" w:eastAsia="Times New Roman" w:hAnsi="Arial" w:cs="Arial"/>
          <w:b/>
          <w:bCs/>
          <w:color w:val="auto"/>
          <w:sz w:val="24"/>
          <w:szCs w:val="24"/>
          <w:lang w:val="en-AU"/>
        </w:rPr>
      </w:pPr>
      <w:bookmarkStart w:id="116" w:name="_Toc240533530"/>
      <w:r w:rsidRPr="00717BA5">
        <w:rPr>
          <w:rFonts w:ascii="Arial" w:eastAsia="Times New Roman" w:hAnsi="Arial" w:cs="Arial"/>
          <w:b/>
          <w:bCs/>
          <w:color w:val="auto"/>
          <w:sz w:val="24"/>
          <w:szCs w:val="24"/>
          <w:lang w:val="en-AU"/>
        </w:rPr>
        <w:t>NOTE 16.   EMPLOYEE BENEFITS – CONTINUED</w:t>
      </w:r>
      <w:bookmarkEnd w:id="116"/>
    </w:p>
    <w:tbl>
      <w:tblPr>
        <w:tblW w:w="5000" w:type="pct"/>
        <w:tblLook w:val="04A0" w:firstRow="1" w:lastRow="0" w:firstColumn="1" w:lastColumn="0" w:noHBand="0" w:noVBand="1"/>
      </w:tblPr>
      <w:tblGrid>
        <w:gridCol w:w="6755"/>
        <w:gridCol w:w="1371"/>
        <w:gridCol w:w="452"/>
        <w:gridCol w:w="1371"/>
      </w:tblGrid>
      <w:tr w:rsidR="00717BA5" w:rsidRPr="00717BA5" w14:paraId="2E1469E8" w14:textId="77777777" w:rsidTr="00F0752D">
        <w:trPr>
          <w:trHeight w:val="272"/>
        </w:trPr>
        <w:tc>
          <w:tcPr>
            <w:tcW w:w="3395" w:type="pct"/>
            <w:tcBorders>
              <w:top w:val="nil"/>
              <w:left w:val="nil"/>
              <w:bottom w:val="nil"/>
              <w:right w:val="nil"/>
            </w:tcBorders>
            <w:shd w:val="clear" w:color="000000" w:fill="FFFFFF"/>
          </w:tcPr>
          <w:p w14:paraId="68B70B4E"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9" w:type="pct"/>
            <w:tcBorders>
              <w:top w:val="nil"/>
              <w:left w:val="nil"/>
              <w:bottom w:val="nil"/>
              <w:right w:val="nil"/>
            </w:tcBorders>
            <w:shd w:val="clear" w:color="000000" w:fill="FFFFFF"/>
            <w:vAlign w:val="bottom"/>
          </w:tcPr>
          <w:p w14:paraId="5139AFC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227" w:type="pct"/>
            <w:tcBorders>
              <w:top w:val="nil"/>
              <w:left w:val="nil"/>
              <w:bottom w:val="nil"/>
              <w:right w:val="nil"/>
            </w:tcBorders>
            <w:shd w:val="clear" w:color="000000" w:fill="FFFFFF"/>
            <w:vAlign w:val="bottom"/>
          </w:tcPr>
          <w:p w14:paraId="2D18B26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89" w:type="pct"/>
            <w:tcBorders>
              <w:top w:val="nil"/>
              <w:left w:val="nil"/>
              <w:bottom w:val="nil"/>
              <w:right w:val="nil"/>
            </w:tcBorders>
            <w:shd w:val="clear" w:color="000000" w:fill="FFFFFF"/>
            <w:noWrap/>
            <w:vAlign w:val="bottom"/>
          </w:tcPr>
          <w:p w14:paraId="27817FE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357F4B9C" w14:textId="77777777" w:rsidTr="00F0752D">
        <w:trPr>
          <w:trHeight w:val="272"/>
        </w:trPr>
        <w:tc>
          <w:tcPr>
            <w:tcW w:w="3395" w:type="pct"/>
            <w:tcBorders>
              <w:top w:val="nil"/>
              <w:left w:val="nil"/>
              <w:right w:val="nil"/>
            </w:tcBorders>
            <w:shd w:val="clear" w:color="000000" w:fill="FFFFFF"/>
            <w:vAlign w:val="bottom"/>
          </w:tcPr>
          <w:p w14:paraId="602FAA78"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Current Employee Benefits</w:t>
            </w:r>
          </w:p>
        </w:tc>
        <w:tc>
          <w:tcPr>
            <w:tcW w:w="689" w:type="pct"/>
            <w:tcBorders>
              <w:top w:val="nil"/>
              <w:left w:val="nil"/>
              <w:bottom w:val="single" w:sz="4" w:space="0" w:color="auto"/>
              <w:right w:val="nil"/>
            </w:tcBorders>
            <w:shd w:val="clear" w:color="000000" w:fill="FFFFFF"/>
            <w:vAlign w:val="bottom"/>
          </w:tcPr>
          <w:p w14:paraId="1FAB987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227" w:type="pct"/>
            <w:tcBorders>
              <w:top w:val="nil"/>
              <w:left w:val="nil"/>
              <w:right w:val="nil"/>
            </w:tcBorders>
            <w:shd w:val="clear" w:color="000000" w:fill="FFFFFF"/>
            <w:vAlign w:val="bottom"/>
          </w:tcPr>
          <w:p w14:paraId="15058D3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89" w:type="pct"/>
            <w:tcBorders>
              <w:top w:val="nil"/>
              <w:left w:val="nil"/>
              <w:bottom w:val="single" w:sz="4" w:space="0" w:color="auto"/>
              <w:right w:val="nil"/>
            </w:tcBorders>
            <w:shd w:val="clear" w:color="000000" w:fill="FFFFFF"/>
            <w:noWrap/>
            <w:vAlign w:val="bottom"/>
          </w:tcPr>
          <w:p w14:paraId="1106308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0C663A68" w14:textId="77777777" w:rsidTr="00F0752D">
        <w:trPr>
          <w:trHeight w:val="20"/>
        </w:trPr>
        <w:tc>
          <w:tcPr>
            <w:tcW w:w="3395" w:type="pct"/>
            <w:tcBorders>
              <w:top w:val="nil"/>
              <w:left w:val="nil"/>
              <w:bottom w:val="nil"/>
              <w:right w:val="nil"/>
            </w:tcBorders>
            <w:shd w:val="clear" w:color="000000" w:fill="FFFFFF"/>
            <w:vAlign w:val="bottom"/>
          </w:tcPr>
          <w:p w14:paraId="6F84607B"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Annual Leave</w:t>
            </w:r>
          </w:p>
        </w:tc>
        <w:tc>
          <w:tcPr>
            <w:tcW w:w="689" w:type="pct"/>
            <w:tcBorders>
              <w:top w:val="nil"/>
              <w:left w:val="nil"/>
              <w:bottom w:val="nil"/>
              <w:right w:val="nil"/>
            </w:tcBorders>
            <w:shd w:val="clear" w:color="000000" w:fill="FFFFFF"/>
            <w:vAlign w:val="bottom"/>
          </w:tcPr>
          <w:p w14:paraId="4476537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573</w:t>
            </w:r>
          </w:p>
        </w:tc>
        <w:tc>
          <w:tcPr>
            <w:tcW w:w="227" w:type="pct"/>
            <w:tcBorders>
              <w:top w:val="nil"/>
              <w:left w:val="nil"/>
              <w:bottom w:val="nil"/>
              <w:right w:val="nil"/>
            </w:tcBorders>
            <w:shd w:val="clear" w:color="000000" w:fill="FFFFFF"/>
            <w:vAlign w:val="bottom"/>
          </w:tcPr>
          <w:p w14:paraId="0A6C844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9" w:type="pct"/>
            <w:tcBorders>
              <w:top w:val="nil"/>
              <w:left w:val="nil"/>
              <w:bottom w:val="nil"/>
              <w:right w:val="nil"/>
            </w:tcBorders>
            <w:shd w:val="clear" w:color="000000" w:fill="FFFFFF"/>
            <w:noWrap/>
            <w:vAlign w:val="bottom"/>
          </w:tcPr>
          <w:p w14:paraId="001A4F7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494</w:t>
            </w:r>
          </w:p>
        </w:tc>
      </w:tr>
      <w:tr w:rsidR="00717BA5" w:rsidRPr="00717BA5" w14:paraId="0687E00E" w14:textId="77777777" w:rsidTr="00F0752D">
        <w:trPr>
          <w:trHeight w:val="20"/>
        </w:trPr>
        <w:tc>
          <w:tcPr>
            <w:tcW w:w="3395" w:type="pct"/>
            <w:tcBorders>
              <w:top w:val="nil"/>
              <w:left w:val="nil"/>
              <w:bottom w:val="nil"/>
              <w:right w:val="nil"/>
            </w:tcBorders>
            <w:shd w:val="clear" w:color="000000" w:fill="FFFFFF"/>
            <w:vAlign w:val="bottom"/>
          </w:tcPr>
          <w:p w14:paraId="48DB5C8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w:t>
            </w:r>
          </w:p>
        </w:tc>
        <w:tc>
          <w:tcPr>
            <w:tcW w:w="689" w:type="pct"/>
            <w:tcBorders>
              <w:top w:val="nil"/>
              <w:left w:val="nil"/>
              <w:bottom w:val="nil"/>
              <w:right w:val="nil"/>
            </w:tcBorders>
            <w:shd w:val="clear" w:color="000000" w:fill="FFFFFF"/>
            <w:vAlign w:val="bottom"/>
          </w:tcPr>
          <w:p w14:paraId="2279B0D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511</w:t>
            </w:r>
          </w:p>
        </w:tc>
        <w:tc>
          <w:tcPr>
            <w:tcW w:w="227" w:type="pct"/>
            <w:tcBorders>
              <w:top w:val="nil"/>
              <w:left w:val="nil"/>
              <w:bottom w:val="nil"/>
              <w:right w:val="nil"/>
            </w:tcBorders>
            <w:shd w:val="clear" w:color="000000" w:fill="FFFFFF"/>
            <w:vAlign w:val="bottom"/>
          </w:tcPr>
          <w:p w14:paraId="318180F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9" w:type="pct"/>
            <w:tcBorders>
              <w:top w:val="nil"/>
              <w:left w:val="nil"/>
              <w:bottom w:val="nil"/>
              <w:right w:val="nil"/>
            </w:tcBorders>
            <w:shd w:val="clear" w:color="000000" w:fill="FFFFFF"/>
            <w:noWrap/>
            <w:vAlign w:val="bottom"/>
          </w:tcPr>
          <w:p w14:paraId="503E712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538</w:t>
            </w:r>
          </w:p>
        </w:tc>
      </w:tr>
      <w:tr w:rsidR="00717BA5" w:rsidRPr="00717BA5" w14:paraId="26D28399" w14:textId="77777777" w:rsidTr="00F0752D">
        <w:trPr>
          <w:trHeight w:val="20"/>
        </w:trPr>
        <w:tc>
          <w:tcPr>
            <w:tcW w:w="3395" w:type="pct"/>
            <w:tcBorders>
              <w:top w:val="nil"/>
              <w:left w:val="nil"/>
              <w:bottom w:val="nil"/>
              <w:right w:val="nil"/>
            </w:tcBorders>
            <w:shd w:val="clear" w:color="000000" w:fill="FFFFFF"/>
            <w:vAlign w:val="bottom"/>
          </w:tcPr>
          <w:p w14:paraId="25AB285E" w14:textId="77777777" w:rsidR="00717BA5" w:rsidRPr="00717BA5" w:rsidRDefault="00717BA5" w:rsidP="00717BA5">
            <w:pPr>
              <w:spacing w:after="0" w:line="240" w:lineRule="auto"/>
              <w:rPr>
                <w:rFonts w:ascii="Arial" w:eastAsia="Times New Roman" w:hAnsi="Arial" w:cs="Arial"/>
                <w:color w:val="auto"/>
                <w:sz w:val="18"/>
                <w:szCs w:val="18"/>
                <w:vertAlign w:val="superscript"/>
                <w:lang w:val="en-AU"/>
              </w:rPr>
            </w:pPr>
            <w:r w:rsidRPr="00717BA5">
              <w:rPr>
                <w:rFonts w:ascii="Arial" w:eastAsia="Times New Roman" w:hAnsi="Arial" w:cs="Arial"/>
                <w:color w:val="auto"/>
                <w:sz w:val="18"/>
                <w:szCs w:val="18"/>
                <w:lang w:val="en-AU"/>
              </w:rPr>
              <w:t>Accrued Salaries and Superannuation</w:t>
            </w:r>
          </w:p>
        </w:tc>
        <w:tc>
          <w:tcPr>
            <w:tcW w:w="689" w:type="pct"/>
            <w:tcBorders>
              <w:top w:val="nil"/>
              <w:left w:val="nil"/>
              <w:right w:val="nil"/>
            </w:tcBorders>
            <w:shd w:val="clear" w:color="000000" w:fill="FFFFFF"/>
            <w:vAlign w:val="bottom"/>
          </w:tcPr>
          <w:p w14:paraId="3238693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190</w:t>
            </w:r>
          </w:p>
        </w:tc>
        <w:tc>
          <w:tcPr>
            <w:tcW w:w="227" w:type="pct"/>
            <w:tcBorders>
              <w:top w:val="nil"/>
              <w:left w:val="nil"/>
              <w:bottom w:val="nil"/>
              <w:right w:val="nil"/>
            </w:tcBorders>
            <w:shd w:val="clear" w:color="000000" w:fill="FFFFFF"/>
            <w:vAlign w:val="bottom"/>
          </w:tcPr>
          <w:p w14:paraId="3929B00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9" w:type="pct"/>
            <w:tcBorders>
              <w:top w:val="nil"/>
              <w:left w:val="nil"/>
              <w:right w:val="nil"/>
            </w:tcBorders>
            <w:shd w:val="clear" w:color="000000" w:fill="FFFFFF"/>
            <w:noWrap/>
            <w:vAlign w:val="bottom"/>
          </w:tcPr>
          <w:p w14:paraId="0F540F1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147</w:t>
            </w:r>
          </w:p>
        </w:tc>
      </w:tr>
      <w:tr w:rsidR="00717BA5" w:rsidRPr="00717BA5" w14:paraId="318A4642" w14:textId="77777777" w:rsidTr="00F0752D">
        <w:trPr>
          <w:trHeight w:val="20"/>
        </w:trPr>
        <w:tc>
          <w:tcPr>
            <w:tcW w:w="3395" w:type="pct"/>
            <w:tcBorders>
              <w:left w:val="nil"/>
              <w:right w:val="nil"/>
            </w:tcBorders>
            <w:shd w:val="clear" w:color="000000" w:fill="FFFFFF"/>
            <w:vAlign w:val="bottom"/>
          </w:tcPr>
          <w:p w14:paraId="750F538E" w14:textId="77777777" w:rsidR="00717BA5" w:rsidRPr="00717BA5" w:rsidRDefault="00717BA5" w:rsidP="00717BA5">
            <w:pPr>
              <w:spacing w:after="0" w:line="240" w:lineRule="auto"/>
              <w:rPr>
                <w:rFonts w:ascii="Arial" w:eastAsia="Times New Roman" w:hAnsi="Arial" w:cs="Arial"/>
                <w:color w:val="auto"/>
                <w:sz w:val="18"/>
                <w:szCs w:val="18"/>
                <w:lang w:val="en-AU"/>
              </w:rPr>
            </w:pPr>
            <w:proofErr w:type="spellStart"/>
            <w:r w:rsidRPr="00717BA5">
              <w:rPr>
                <w:rFonts w:ascii="Arial" w:eastAsia="Times New Roman" w:hAnsi="Arial" w:cs="Arial"/>
                <w:color w:val="auto"/>
                <w:sz w:val="18"/>
                <w:szCs w:val="18"/>
                <w:lang w:val="en-AU"/>
              </w:rPr>
              <w:t>Flextime</w:t>
            </w:r>
            <w:proofErr w:type="spellEnd"/>
          </w:p>
        </w:tc>
        <w:tc>
          <w:tcPr>
            <w:tcW w:w="689" w:type="pct"/>
            <w:tcBorders>
              <w:left w:val="nil"/>
              <w:bottom w:val="single" w:sz="4" w:space="0" w:color="auto"/>
              <w:right w:val="nil"/>
            </w:tcBorders>
            <w:shd w:val="clear" w:color="000000" w:fill="FFFFFF"/>
            <w:vAlign w:val="bottom"/>
          </w:tcPr>
          <w:p w14:paraId="680559A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41</w:t>
            </w:r>
          </w:p>
        </w:tc>
        <w:tc>
          <w:tcPr>
            <w:tcW w:w="227" w:type="pct"/>
            <w:tcBorders>
              <w:left w:val="nil"/>
              <w:right w:val="nil"/>
            </w:tcBorders>
            <w:shd w:val="clear" w:color="000000" w:fill="FFFFFF"/>
            <w:vAlign w:val="bottom"/>
          </w:tcPr>
          <w:p w14:paraId="304D719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9" w:type="pct"/>
            <w:tcBorders>
              <w:left w:val="nil"/>
              <w:bottom w:val="single" w:sz="4" w:space="0" w:color="auto"/>
              <w:right w:val="nil"/>
            </w:tcBorders>
            <w:shd w:val="clear" w:color="000000" w:fill="FFFFFF"/>
            <w:noWrap/>
            <w:vAlign w:val="bottom"/>
          </w:tcPr>
          <w:p w14:paraId="260BE62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33</w:t>
            </w:r>
          </w:p>
        </w:tc>
      </w:tr>
      <w:tr w:rsidR="00717BA5" w:rsidRPr="00717BA5" w14:paraId="5DE46B79" w14:textId="77777777" w:rsidTr="00F0752D">
        <w:trPr>
          <w:trHeight w:val="20"/>
        </w:trPr>
        <w:tc>
          <w:tcPr>
            <w:tcW w:w="3395" w:type="pct"/>
            <w:tcBorders>
              <w:left w:val="nil"/>
              <w:right w:val="nil"/>
            </w:tcBorders>
            <w:shd w:val="clear" w:color="000000" w:fill="FFFFFF"/>
            <w:vAlign w:val="bottom"/>
          </w:tcPr>
          <w:p w14:paraId="20B619C3"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Current Employee Benefits</w:t>
            </w:r>
          </w:p>
        </w:tc>
        <w:tc>
          <w:tcPr>
            <w:tcW w:w="689" w:type="pct"/>
            <w:tcBorders>
              <w:top w:val="single" w:sz="4" w:space="0" w:color="auto"/>
              <w:left w:val="nil"/>
              <w:bottom w:val="single" w:sz="4" w:space="0" w:color="auto"/>
              <w:right w:val="nil"/>
            </w:tcBorders>
            <w:shd w:val="clear" w:color="000000" w:fill="FFFFFF"/>
            <w:vAlign w:val="bottom"/>
          </w:tcPr>
          <w:p w14:paraId="050701C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1,315</w:t>
            </w:r>
          </w:p>
        </w:tc>
        <w:tc>
          <w:tcPr>
            <w:tcW w:w="227" w:type="pct"/>
            <w:tcBorders>
              <w:left w:val="nil"/>
              <w:right w:val="nil"/>
            </w:tcBorders>
            <w:shd w:val="clear" w:color="000000" w:fill="FFFFFF"/>
            <w:vAlign w:val="bottom"/>
          </w:tcPr>
          <w:p w14:paraId="78DB915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89" w:type="pct"/>
            <w:tcBorders>
              <w:top w:val="single" w:sz="4" w:space="0" w:color="auto"/>
              <w:left w:val="nil"/>
              <w:bottom w:val="single" w:sz="4" w:space="0" w:color="auto"/>
              <w:right w:val="nil"/>
            </w:tcBorders>
            <w:shd w:val="clear" w:color="000000" w:fill="FFFFFF"/>
            <w:noWrap/>
            <w:vAlign w:val="bottom"/>
          </w:tcPr>
          <w:p w14:paraId="1A62DDD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1,212</w:t>
            </w:r>
          </w:p>
        </w:tc>
      </w:tr>
      <w:tr w:rsidR="00717BA5" w:rsidRPr="00717BA5" w14:paraId="31CB7C1B" w14:textId="77777777" w:rsidTr="00F0752D">
        <w:trPr>
          <w:trHeight w:val="20"/>
        </w:trPr>
        <w:tc>
          <w:tcPr>
            <w:tcW w:w="3395" w:type="pct"/>
            <w:tcBorders>
              <w:top w:val="nil"/>
              <w:left w:val="nil"/>
              <w:right w:val="nil"/>
            </w:tcBorders>
            <w:shd w:val="clear" w:color="000000" w:fill="FFFFFF"/>
            <w:vAlign w:val="bottom"/>
          </w:tcPr>
          <w:p w14:paraId="1EFBE4EA"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9" w:type="pct"/>
            <w:vMerge w:val="restart"/>
            <w:tcBorders>
              <w:top w:val="nil"/>
              <w:left w:val="nil"/>
              <w:right w:val="nil"/>
            </w:tcBorders>
            <w:shd w:val="clear" w:color="000000" w:fill="FFFFFF"/>
            <w:vAlign w:val="bottom"/>
          </w:tcPr>
          <w:p w14:paraId="4089A45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p w14:paraId="7B71CA4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141</w:t>
            </w:r>
          </w:p>
        </w:tc>
        <w:tc>
          <w:tcPr>
            <w:tcW w:w="227" w:type="pct"/>
            <w:vMerge w:val="restart"/>
            <w:tcBorders>
              <w:top w:val="nil"/>
              <w:left w:val="nil"/>
              <w:right w:val="nil"/>
            </w:tcBorders>
            <w:shd w:val="clear" w:color="000000" w:fill="FFFFFF"/>
            <w:vAlign w:val="bottom"/>
          </w:tcPr>
          <w:p w14:paraId="576A2CF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9" w:type="pct"/>
            <w:vMerge w:val="restart"/>
            <w:tcBorders>
              <w:top w:val="nil"/>
              <w:left w:val="nil"/>
              <w:right w:val="nil"/>
            </w:tcBorders>
            <w:shd w:val="clear" w:color="000000" w:fill="FFFFFF"/>
            <w:vAlign w:val="bottom"/>
          </w:tcPr>
          <w:p w14:paraId="1F4B962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106</w:t>
            </w:r>
          </w:p>
        </w:tc>
      </w:tr>
      <w:tr w:rsidR="00717BA5" w:rsidRPr="00717BA5" w14:paraId="06E85C7F" w14:textId="77777777" w:rsidTr="00F0752D">
        <w:trPr>
          <w:trHeight w:val="20"/>
        </w:trPr>
        <w:tc>
          <w:tcPr>
            <w:tcW w:w="3395" w:type="pct"/>
            <w:tcBorders>
              <w:top w:val="nil"/>
              <w:left w:val="nil"/>
              <w:right w:val="nil"/>
            </w:tcBorders>
            <w:shd w:val="clear" w:color="000000" w:fill="FFFFFF"/>
            <w:vAlign w:val="bottom"/>
          </w:tcPr>
          <w:p w14:paraId="6664E4E8"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Non-Current Employee Benefits</w:t>
            </w:r>
          </w:p>
        </w:tc>
        <w:tc>
          <w:tcPr>
            <w:tcW w:w="689" w:type="pct"/>
            <w:vMerge/>
            <w:tcBorders>
              <w:left w:val="nil"/>
              <w:right w:val="nil"/>
            </w:tcBorders>
            <w:shd w:val="clear" w:color="000000" w:fill="FFFFFF"/>
            <w:vAlign w:val="bottom"/>
          </w:tcPr>
          <w:p w14:paraId="47AE94F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27" w:type="pct"/>
            <w:vMerge/>
            <w:tcBorders>
              <w:left w:val="nil"/>
              <w:right w:val="nil"/>
            </w:tcBorders>
            <w:shd w:val="clear" w:color="000000" w:fill="FFFFFF"/>
            <w:vAlign w:val="bottom"/>
          </w:tcPr>
          <w:p w14:paraId="0F9584C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9" w:type="pct"/>
            <w:vMerge/>
            <w:tcBorders>
              <w:left w:val="nil"/>
              <w:right w:val="nil"/>
            </w:tcBorders>
            <w:shd w:val="clear" w:color="000000" w:fill="FFFFFF"/>
            <w:vAlign w:val="bottom"/>
          </w:tcPr>
          <w:p w14:paraId="7614615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82FF147" w14:textId="77777777" w:rsidTr="00F0752D">
        <w:trPr>
          <w:trHeight w:val="20"/>
        </w:trPr>
        <w:tc>
          <w:tcPr>
            <w:tcW w:w="3395" w:type="pct"/>
            <w:tcBorders>
              <w:top w:val="nil"/>
              <w:left w:val="nil"/>
              <w:right w:val="nil"/>
            </w:tcBorders>
            <w:shd w:val="clear" w:color="000000" w:fill="FFFFFF"/>
            <w:vAlign w:val="bottom"/>
          </w:tcPr>
          <w:p w14:paraId="1B3125AB"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w:t>
            </w:r>
          </w:p>
        </w:tc>
        <w:tc>
          <w:tcPr>
            <w:tcW w:w="689" w:type="pct"/>
            <w:vMerge/>
            <w:tcBorders>
              <w:left w:val="nil"/>
              <w:bottom w:val="single" w:sz="4" w:space="0" w:color="auto"/>
              <w:right w:val="nil"/>
            </w:tcBorders>
            <w:shd w:val="clear" w:color="000000" w:fill="FFFFFF"/>
            <w:vAlign w:val="bottom"/>
          </w:tcPr>
          <w:p w14:paraId="477EC71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27" w:type="pct"/>
            <w:vMerge/>
            <w:tcBorders>
              <w:left w:val="nil"/>
              <w:right w:val="nil"/>
            </w:tcBorders>
            <w:shd w:val="clear" w:color="000000" w:fill="FFFFFF"/>
            <w:vAlign w:val="bottom"/>
          </w:tcPr>
          <w:p w14:paraId="65A7CEF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9" w:type="pct"/>
            <w:vMerge/>
            <w:tcBorders>
              <w:left w:val="nil"/>
              <w:bottom w:val="single" w:sz="4" w:space="0" w:color="auto"/>
              <w:right w:val="nil"/>
            </w:tcBorders>
            <w:shd w:val="clear" w:color="000000" w:fill="FFFFFF"/>
            <w:vAlign w:val="bottom"/>
          </w:tcPr>
          <w:p w14:paraId="71BC846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573D737" w14:textId="77777777" w:rsidTr="00F0752D">
        <w:trPr>
          <w:trHeight w:val="20"/>
        </w:trPr>
        <w:tc>
          <w:tcPr>
            <w:tcW w:w="3395" w:type="pct"/>
            <w:tcBorders>
              <w:left w:val="nil"/>
              <w:bottom w:val="nil"/>
              <w:right w:val="nil"/>
            </w:tcBorders>
            <w:shd w:val="clear" w:color="000000" w:fill="FFFFFF"/>
            <w:vAlign w:val="bottom"/>
          </w:tcPr>
          <w:p w14:paraId="124821DD"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Non-Current Employee Benefits</w:t>
            </w:r>
          </w:p>
        </w:tc>
        <w:tc>
          <w:tcPr>
            <w:tcW w:w="689" w:type="pct"/>
            <w:tcBorders>
              <w:top w:val="single" w:sz="4" w:space="0" w:color="auto"/>
              <w:left w:val="nil"/>
              <w:bottom w:val="single" w:sz="4" w:space="0" w:color="auto"/>
              <w:right w:val="nil"/>
            </w:tcBorders>
            <w:shd w:val="clear" w:color="000000" w:fill="FFFFFF"/>
            <w:vAlign w:val="bottom"/>
          </w:tcPr>
          <w:p w14:paraId="7447D26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141</w:t>
            </w:r>
          </w:p>
        </w:tc>
        <w:tc>
          <w:tcPr>
            <w:tcW w:w="227" w:type="pct"/>
            <w:tcBorders>
              <w:left w:val="nil"/>
              <w:bottom w:val="nil"/>
              <w:right w:val="nil"/>
            </w:tcBorders>
            <w:shd w:val="clear" w:color="000000" w:fill="FFFFFF"/>
            <w:vAlign w:val="bottom"/>
          </w:tcPr>
          <w:p w14:paraId="0260BA2E"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689" w:type="pct"/>
            <w:tcBorders>
              <w:top w:val="single" w:sz="4" w:space="0" w:color="auto"/>
              <w:left w:val="nil"/>
              <w:bottom w:val="nil"/>
              <w:right w:val="nil"/>
            </w:tcBorders>
            <w:shd w:val="clear" w:color="000000" w:fill="FFFFFF"/>
            <w:vAlign w:val="bottom"/>
          </w:tcPr>
          <w:p w14:paraId="53D31FB2"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106</w:t>
            </w:r>
          </w:p>
        </w:tc>
      </w:tr>
      <w:tr w:rsidR="00717BA5" w:rsidRPr="00717BA5" w14:paraId="3C325798" w14:textId="77777777" w:rsidTr="00F0752D">
        <w:trPr>
          <w:trHeight w:val="20"/>
        </w:trPr>
        <w:tc>
          <w:tcPr>
            <w:tcW w:w="3395" w:type="pct"/>
            <w:tcBorders>
              <w:left w:val="nil"/>
              <w:right w:val="nil"/>
            </w:tcBorders>
            <w:shd w:val="clear" w:color="000000" w:fill="FFFFFF"/>
            <w:vAlign w:val="bottom"/>
          </w:tcPr>
          <w:p w14:paraId="28144AE0" w14:textId="60BA8AA5"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Employee Benefits</w:t>
            </w:r>
            <w:r w:rsidR="00FC0A57">
              <w:rPr>
                <w:rFonts w:ascii="ZWAdobeF" w:eastAsia="Times New Roman" w:hAnsi="ZWAdobeF" w:cs="ZWAdobeF"/>
                <w:bCs/>
                <w:color w:val="auto"/>
                <w:sz w:val="2"/>
                <w:szCs w:val="2"/>
                <w:lang w:val="en-AU"/>
              </w:rPr>
              <w:t>18F</w:t>
            </w:r>
            <w:r w:rsidRPr="00717BA5">
              <w:rPr>
                <w:rFonts w:ascii="Arial" w:eastAsia="Times New Roman" w:hAnsi="Arial" w:cs="Arial"/>
                <w:b/>
                <w:bCs/>
                <w:color w:val="auto"/>
                <w:sz w:val="18"/>
                <w:szCs w:val="18"/>
                <w:vertAlign w:val="superscript"/>
                <w:lang w:val="en-AU"/>
              </w:rPr>
              <w:footnoteReference w:id="20"/>
            </w:r>
          </w:p>
        </w:tc>
        <w:tc>
          <w:tcPr>
            <w:tcW w:w="689" w:type="pct"/>
            <w:tcBorders>
              <w:top w:val="single" w:sz="4" w:space="0" w:color="auto"/>
              <w:left w:val="nil"/>
              <w:bottom w:val="double" w:sz="4" w:space="0" w:color="auto"/>
              <w:right w:val="nil"/>
            </w:tcBorders>
            <w:shd w:val="clear" w:color="000000" w:fill="FFFFFF"/>
            <w:vAlign w:val="bottom"/>
          </w:tcPr>
          <w:p w14:paraId="2D892A7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1,457</w:t>
            </w:r>
          </w:p>
        </w:tc>
        <w:tc>
          <w:tcPr>
            <w:tcW w:w="227" w:type="pct"/>
            <w:tcBorders>
              <w:left w:val="nil"/>
              <w:right w:val="nil"/>
            </w:tcBorders>
            <w:shd w:val="clear" w:color="000000" w:fill="FFFFFF"/>
            <w:vAlign w:val="bottom"/>
          </w:tcPr>
          <w:p w14:paraId="022E44A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89" w:type="pct"/>
            <w:tcBorders>
              <w:top w:val="single" w:sz="4" w:space="0" w:color="auto"/>
              <w:left w:val="nil"/>
              <w:bottom w:val="double" w:sz="6" w:space="0" w:color="auto"/>
              <w:right w:val="nil"/>
            </w:tcBorders>
            <w:shd w:val="clear" w:color="000000" w:fill="FFFFFF"/>
            <w:noWrap/>
            <w:vAlign w:val="bottom"/>
          </w:tcPr>
          <w:p w14:paraId="440CDAC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1,318</w:t>
            </w:r>
          </w:p>
        </w:tc>
      </w:tr>
    </w:tbl>
    <w:p w14:paraId="72573563" w14:textId="77777777" w:rsidR="00717BA5" w:rsidRPr="00717BA5" w:rsidRDefault="00717BA5" w:rsidP="00717BA5">
      <w:pPr>
        <w:spacing w:after="0" w:line="240" w:lineRule="auto"/>
        <w:rPr>
          <w:rFonts w:ascii="Arial" w:eastAsia="SimSun" w:hAnsi="Arial" w:cs="Arial"/>
          <w:vanish/>
          <w:color w:val="auto"/>
          <w:highlight w:val="green"/>
          <w:lang w:val="en-AU" w:eastAsia="en-US"/>
        </w:rPr>
      </w:pPr>
    </w:p>
    <w:tbl>
      <w:tblPr>
        <w:tblW w:w="5000" w:type="pct"/>
        <w:tblLook w:val="04A0" w:firstRow="1" w:lastRow="0" w:firstColumn="1" w:lastColumn="0" w:noHBand="0" w:noVBand="1"/>
      </w:tblPr>
      <w:tblGrid>
        <w:gridCol w:w="6850"/>
        <w:gridCol w:w="1246"/>
        <w:gridCol w:w="607"/>
        <w:gridCol w:w="1246"/>
      </w:tblGrid>
      <w:tr w:rsidR="00717BA5" w:rsidRPr="00717BA5" w14:paraId="412AA06C" w14:textId="77777777" w:rsidTr="00F0752D">
        <w:trPr>
          <w:trHeight w:val="272"/>
        </w:trPr>
        <w:tc>
          <w:tcPr>
            <w:tcW w:w="3443" w:type="pct"/>
            <w:tcBorders>
              <w:top w:val="nil"/>
              <w:left w:val="nil"/>
              <w:bottom w:val="nil"/>
              <w:right w:val="nil"/>
            </w:tcBorders>
            <w:shd w:val="clear" w:color="000000" w:fill="FFFFFF"/>
            <w:vAlign w:val="bottom"/>
          </w:tcPr>
          <w:p w14:paraId="16A808A2"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626" w:type="pct"/>
            <w:tcBorders>
              <w:top w:val="nil"/>
              <w:left w:val="nil"/>
              <w:right w:val="nil"/>
            </w:tcBorders>
            <w:shd w:val="clear" w:color="000000" w:fill="FFFFFF"/>
            <w:vAlign w:val="bottom"/>
          </w:tcPr>
          <w:p w14:paraId="475FF77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305" w:type="pct"/>
            <w:tcBorders>
              <w:top w:val="nil"/>
              <w:left w:val="nil"/>
              <w:bottom w:val="nil"/>
              <w:right w:val="nil"/>
            </w:tcBorders>
            <w:shd w:val="clear" w:color="000000" w:fill="FFFFFF"/>
            <w:vAlign w:val="bottom"/>
          </w:tcPr>
          <w:p w14:paraId="47A51DB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right w:val="nil"/>
            </w:tcBorders>
            <w:shd w:val="clear" w:color="000000" w:fill="FFFFFF"/>
            <w:vAlign w:val="bottom"/>
          </w:tcPr>
          <w:p w14:paraId="2471E9FF"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69D81E3D" w14:textId="77777777" w:rsidTr="00F0752D">
        <w:trPr>
          <w:trHeight w:val="272"/>
        </w:trPr>
        <w:tc>
          <w:tcPr>
            <w:tcW w:w="3443" w:type="pct"/>
            <w:tcBorders>
              <w:top w:val="nil"/>
              <w:left w:val="nil"/>
              <w:bottom w:val="nil"/>
              <w:right w:val="nil"/>
            </w:tcBorders>
            <w:shd w:val="clear" w:color="000000" w:fill="FFFFFF"/>
            <w:vAlign w:val="bottom"/>
          </w:tcPr>
          <w:p w14:paraId="1B591F56" w14:textId="77777777" w:rsidR="00717BA5" w:rsidRPr="00717BA5" w:rsidRDefault="00717BA5" w:rsidP="00717BA5">
            <w:pPr>
              <w:spacing w:after="0" w:line="240" w:lineRule="auto"/>
              <w:rPr>
                <w:rFonts w:ascii="Arial" w:eastAsia="Times New Roman" w:hAnsi="Arial" w:cs="Arial"/>
                <w:b/>
                <w:i/>
                <w:color w:val="auto"/>
                <w:sz w:val="18"/>
                <w:szCs w:val="18"/>
                <w:lang w:val="en-AU"/>
              </w:rPr>
            </w:pPr>
            <w:r w:rsidRPr="00717BA5">
              <w:rPr>
                <w:rFonts w:ascii="Arial" w:eastAsia="Times New Roman" w:hAnsi="Arial" w:cs="Arial"/>
                <w:b/>
                <w:color w:val="auto"/>
                <w:sz w:val="18"/>
                <w:szCs w:val="18"/>
                <w:lang w:val="en-AU"/>
              </w:rPr>
              <w:t>Estimate of When Leave is Payable:</w:t>
            </w:r>
          </w:p>
        </w:tc>
        <w:tc>
          <w:tcPr>
            <w:tcW w:w="626" w:type="pct"/>
            <w:tcBorders>
              <w:top w:val="nil"/>
              <w:left w:val="nil"/>
              <w:bottom w:val="nil"/>
              <w:right w:val="nil"/>
            </w:tcBorders>
            <w:shd w:val="clear" w:color="000000" w:fill="FFFFFF"/>
            <w:vAlign w:val="bottom"/>
          </w:tcPr>
          <w:p w14:paraId="4513E063"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2026</w:t>
            </w:r>
          </w:p>
        </w:tc>
        <w:tc>
          <w:tcPr>
            <w:tcW w:w="305" w:type="pct"/>
            <w:tcBorders>
              <w:top w:val="nil"/>
              <w:left w:val="nil"/>
              <w:bottom w:val="nil"/>
              <w:right w:val="nil"/>
            </w:tcBorders>
            <w:shd w:val="clear" w:color="000000" w:fill="FFFFFF"/>
            <w:vAlign w:val="bottom"/>
          </w:tcPr>
          <w:p w14:paraId="26940E0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shd w:val="clear" w:color="000000" w:fill="FFFFFF"/>
            <w:vAlign w:val="bottom"/>
          </w:tcPr>
          <w:p w14:paraId="18EA269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107DD527" w14:textId="77777777" w:rsidTr="00F0752D">
        <w:trPr>
          <w:trHeight w:val="272"/>
        </w:trPr>
        <w:tc>
          <w:tcPr>
            <w:tcW w:w="3443" w:type="pct"/>
            <w:tcBorders>
              <w:top w:val="nil"/>
              <w:left w:val="nil"/>
              <w:bottom w:val="nil"/>
              <w:right w:val="nil"/>
            </w:tcBorders>
            <w:shd w:val="clear" w:color="000000" w:fill="FFFFFF"/>
            <w:vAlign w:val="bottom"/>
          </w:tcPr>
          <w:p w14:paraId="230CF5C2"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Estimated Amount Payable within 12 Months</w:t>
            </w:r>
          </w:p>
        </w:tc>
        <w:tc>
          <w:tcPr>
            <w:tcW w:w="626" w:type="pct"/>
            <w:tcBorders>
              <w:top w:val="nil"/>
              <w:left w:val="nil"/>
              <w:bottom w:val="single" w:sz="4" w:space="0" w:color="auto"/>
              <w:right w:val="nil"/>
            </w:tcBorders>
            <w:shd w:val="clear" w:color="000000" w:fill="FFFFFF"/>
            <w:vAlign w:val="bottom"/>
          </w:tcPr>
          <w:p w14:paraId="433CE70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305" w:type="pct"/>
            <w:tcBorders>
              <w:top w:val="nil"/>
              <w:left w:val="nil"/>
              <w:bottom w:val="nil"/>
              <w:right w:val="nil"/>
            </w:tcBorders>
            <w:shd w:val="clear" w:color="000000" w:fill="FFFFFF"/>
            <w:vAlign w:val="bottom"/>
          </w:tcPr>
          <w:p w14:paraId="127798F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single" w:sz="4" w:space="0" w:color="auto"/>
              <w:right w:val="nil"/>
            </w:tcBorders>
            <w:shd w:val="clear" w:color="000000" w:fill="FFFFFF"/>
            <w:vAlign w:val="bottom"/>
          </w:tcPr>
          <w:p w14:paraId="1133EFA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7148D537" w14:textId="77777777" w:rsidTr="00F0752D">
        <w:trPr>
          <w:trHeight w:val="20"/>
        </w:trPr>
        <w:tc>
          <w:tcPr>
            <w:tcW w:w="3443" w:type="pct"/>
            <w:tcBorders>
              <w:top w:val="nil"/>
              <w:left w:val="nil"/>
              <w:bottom w:val="nil"/>
              <w:right w:val="nil"/>
            </w:tcBorders>
            <w:shd w:val="clear" w:color="000000" w:fill="FFFFFF"/>
            <w:vAlign w:val="bottom"/>
          </w:tcPr>
          <w:p w14:paraId="4666F9D5"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Annual Leave</w:t>
            </w:r>
          </w:p>
        </w:tc>
        <w:tc>
          <w:tcPr>
            <w:tcW w:w="626" w:type="pct"/>
            <w:tcBorders>
              <w:top w:val="single" w:sz="4" w:space="0" w:color="auto"/>
              <w:left w:val="nil"/>
              <w:bottom w:val="nil"/>
              <w:right w:val="nil"/>
            </w:tcBorders>
            <w:shd w:val="clear" w:color="000000" w:fill="FFFFFF"/>
            <w:vAlign w:val="bottom"/>
          </w:tcPr>
          <w:p w14:paraId="778B30D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381</w:t>
            </w:r>
          </w:p>
        </w:tc>
        <w:tc>
          <w:tcPr>
            <w:tcW w:w="305" w:type="pct"/>
            <w:tcBorders>
              <w:top w:val="nil"/>
              <w:left w:val="nil"/>
              <w:bottom w:val="nil"/>
              <w:right w:val="nil"/>
            </w:tcBorders>
            <w:shd w:val="clear" w:color="000000" w:fill="FFFFFF"/>
            <w:vAlign w:val="bottom"/>
          </w:tcPr>
          <w:p w14:paraId="31DDF82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single" w:sz="4" w:space="0" w:color="auto"/>
              <w:left w:val="nil"/>
              <w:bottom w:val="nil"/>
              <w:right w:val="nil"/>
            </w:tcBorders>
            <w:shd w:val="clear" w:color="000000" w:fill="FFFFFF"/>
            <w:vAlign w:val="bottom"/>
          </w:tcPr>
          <w:p w14:paraId="2B86E69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332</w:t>
            </w:r>
          </w:p>
        </w:tc>
      </w:tr>
      <w:tr w:rsidR="00717BA5" w:rsidRPr="00717BA5" w14:paraId="34367D46" w14:textId="77777777" w:rsidTr="00F0752D">
        <w:trPr>
          <w:trHeight w:val="20"/>
        </w:trPr>
        <w:tc>
          <w:tcPr>
            <w:tcW w:w="3443" w:type="pct"/>
            <w:tcBorders>
              <w:top w:val="nil"/>
              <w:left w:val="nil"/>
              <w:right w:val="nil"/>
            </w:tcBorders>
            <w:shd w:val="clear" w:color="000000" w:fill="FFFFFF"/>
            <w:vAlign w:val="bottom"/>
          </w:tcPr>
          <w:p w14:paraId="12289F30"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w:t>
            </w:r>
          </w:p>
        </w:tc>
        <w:tc>
          <w:tcPr>
            <w:tcW w:w="626" w:type="pct"/>
            <w:tcBorders>
              <w:top w:val="nil"/>
              <w:left w:val="nil"/>
              <w:right w:val="nil"/>
            </w:tcBorders>
            <w:shd w:val="clear" w:color="000000" w:fill="FFFFFF"/>
            <w:vAlign w:val="bottom"/>
          </w:tcPr>
          <w:p w14:paraId="3B6F9FD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85</w:t>
            </w:r>
          </w:p>
        </w:tc>
        <w:tc>
          <w:tcPr>
            <w:tcW w:w="305" w:type="pct"/>
            <w:tcBorders>
              <w:top w:val="nil"/>
              <w:left w:val="nil"/>
              <w:right w:val="nil"/>
            </w:tcBorders>
            <w:shd w:val="clear" w:color="000000" w:fill="FFFFFF"/>
            <w:vAlign w:val="bottom"/>
          </w:tcPr>
          <w:p w14:paraId="44531BA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right w:val="nil"/>
            </w:tcBorders>
            <w:shd w:val="clear" w:color="000000" w:fill="FFFFFF"/>
            <w:vAlign w:val="bottom"/>
          </w:tcPr>
          <w:p w14:paraId="4358796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147</w:t>
            </w:r>
          </w:p>
        </w:tc>
      </w:tr>
      <w:tr w:rsidR="00717BA5" w:rsidRPr="00717BA5" w14:paraId="7419DC6C" w14:textId="77777777" w:rsidTr="00F0752D">
        <w:trPr>
          <w:trHeight w:val="20"/>
        </w:trPr>
        <w:tc>
          <w:tcPr>
            <w:tcW w:w="3443" w:type="pct"/>
            <w:tcBorders>
              <w:top w:val="nil"/>
              <w:left w:val="nil"/>
              <w:bottom w:val="nil"/>
              <w:right w:val="nil"/>
            </w:tcBorders>
            <w:shd w:val="clear" w:color="000000" w:fill="FFFFFF"/>
            <w:vAlign w:val="bottom"/>
          </w:tcPr>
          <w:p w14:paraId="2970AEE3"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Accrued Salaries and Superannuation</w:t>
            </w:r>
          </w:p>
        </w:tc>
        <w:tc>
          <w:tcPr>
            <w:tcW w:w="626" w:type="pct"/>
            <w:tcBorders>
              <w:top w:val="nil"/>
              <w:left w:val="nil"/>
              <w:right w:val="nil"/>
            </w:tcBorders>
            <w:shd w:val="clear" w:color="000000" w:fill="FFFFFF"/>
            <w:vAlign w:val="bottom"/>
          </w:tcPr>
          <w:p w14:paraId="62F206B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190</w:t>
            </w:r>
          </w:p>
        </w:tc>
        <w:tc>
          <w:tcPr>
            <w:tcW w:w="305" w:type="pct"/>
            <w:tcBorders>
              <w:top w:val="nil"/>
              <w:left w:val="nil"/>
              <w:right w:val="nil"/>
            </w:tcBorders>
            <w:shd w:val="clear" w:color="000000" w:fill="FFFFFF"/>
            <w:vAlign w:val="bottom"/>
          </w:tcPr>
          <w:p w14:paraId="79F97D6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right w:val="nil"/>
            </w:tcBorders>
            <w:shd w:val="clear" w:color="000000" w:fill="FFFFFF"/>
            <w:vAlign w:val="bottom"/>
          </w:tcPr>
          <w:p w14:paraId="734D35E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147</w:t>
            </w:r>
          </w:p>
        </w:tc>
      </w:tr>
      <w:tr w:rsidR="00717BA5" w:rsidRPr="00717BA5" w14:paraId="3AC807A5" w14:textId="77777777" w:rsidTr="00F0752D">
        <w:trPr>
          <w:trHeight w:val="20"/>
        </w:trPr>
        <w:tc>
          <w:tcPr>
            <w:tcW w:w="3443" w:type="pct"/>
            <w:tcBorders>
              <w:left w:val="nil"/>
              <w:right w:val="nil"/>
            </w:tcBorders>
            <w:shd w:val="clear" w:color="000000" w:fill="FFFFFF"/>
            <w:vAlign w:val="bottom"/>
          </w:tcPr>
          <w:p w14:paraId="1F29FEAB" w14:textId="77777777" w:rsidR="00717BA5" w:rsidRPr="00717BA5" w:rsidRDefault="00717BA5" w:rsidP="00717BA5">
            <w:pPr>
              <w:spacing w:after="0" w:line="240" w:lineRule="auto"/>
              <w:rPr>
                <w:rFonts w:ascii="Arial" w:eastAsia="Times New Roman" w:hAnsi="Arial" w:cs="Arial"/>
                <w:color w:val="auto"/>
                <w:sz w:val="18"/>
                <w:szCs w:val="18"/>
                <w:lang w:val="en-AU"/>
              </w:rPr>
            </w:pPr>
            <w:proofErr w:type="spellStart"/>
            <w:r w:rsidRPr="00717BA5">
              <w:rPr>
                <w:rFonts w:ascii="Arial" w:eastAsia="Times New Roman" w:hAnsi="Arial" w:cs="Arial"/>
                <w:color w:val="auto"/>
                <w:sz w:val="18"/>
                <w:szCs w:val="18"/>
                <w:lang w:val="en-AU"/>
              </w:rPr>
              <w:t>Flextime</w:t>
            </w:r>
            <w:proofErr w:type="spellEnd"/>
          </w:p>
        </w:tc>
        <w:tc>
          <w:tcPr>
            <w:tcW w:w="626" w:type="pct"/>
            <w:tcBorders>
              <w:left w:val="nil"/>
              <w:bottom w:val="single" w:sz="4" w:space="0" w:color="auto"/>
              <w:right w:val="nil"/>
            </w:tcBorders>
            <w:shd w:val="clear" w:color="000000" w:fill="FFFFFF"/>
            <w:vAlign w:val="bottom"/>
          </w:tcPr>
          <w:p w14:paraId="291B9B1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41</w:t>
            </w:r>
          </w:p>
        </w:tc>
        <w:tc>
          <w:tcPr>
            <w:tcW w:w="305" w:type="pct"/>
            <w:tcBorders>
              <w:left w:val="nil"/>
              <w:right w:val="nil"/>
            </w:tcBorders>
            <w:shd w:val="clear" w:color="000000" w:fill="FFFFFF"/>
            <w:vAlign w:val="bottom"/>
          </w:tcPr>
          <w:p w14:paraId="2319D1A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left w:val="nil"/>
              <w:bottom w:val="single" w:sz="4" w:space="0" w:color="auto"/>
              <w:right w:val="nil"/>
            </w:tcBorders>
            <w:shd w:val="clear" w:color="000000" w:fill="FFFFFF"/>
            <w:vAlign w:val="bottom"/>
          </w:tcPr>
          <w:p w14:paraId="308D60D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33</w:t>
            </w:r>
          </w:p>
        </w:tc>
      </w:tr>
      <w:tr w:rsidR="00717BA5" w:rsidRPr="00717BA5" w14:paraId="6672699A" w14:textId="77777777" w:rsidTr="00F0752D">
        <w:trPr>
          <w:trHeight w:val="20"/>
        </w:trPr>
        <w:tc>
          <w:tcPr>
            <w:tcW w:w="3443" w:type="pct"/>
            <w:tcBorders>
              <w:left w:val="nil"/>
              <w:right w:val="nil"/>
            </w:tcBorders>
            <w:shd w:val="clear" w:color="000000" w:fill="FFFFFF"/>
            <w:vAlign w:val="bottom"/>
          </w:tcPr>
          <w:p w14:paraId="26DA16FD"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Employee Benefits Payable within 12 Months</w:t>
            </w:r>
          </w:p>
        </w:tc>
        <w:tc>
          <w:tcPr>
            <w:tcW w:w="626" w:type="pct"/>
            <w:tcBorders>
              <w:top w:val="single" w:sz="4" w:space="0" w:color="auto"/>
              <w:left w:val="nil"/>
              <w:bottom w:val="single" w:sz="4" w:space="0" w:color="auto"/>
              <w:right w:val="nil"/>
            </w:tcBorders>
            <w:shd w:val="clear" w:color="000000" w:fill="FFFFFF"/>
            <w:vAlign w:val="bottom"/>
          </w:tcPr>
          <w:p w14:paraId="17B0BDC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696</w:t>
            </w:r>
          </w:p>
        </w:tc>
        <w:tc>
          <w:tcPr>
            <w:tcW w:w="305" w:type="pct"/>
            <w:tcBorders>
              <w:left w:val="nil"/>
              <w:right w:val="nil"/>
            </w:tcBorders>
            <w:shd w:val="clear" w:color="000000" w:fill="FFFFFF"/>
            <w:vAlign w:val="bottom"/>
          </w:tcPr>
          <w:p w14:paraId="726D5B4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single" w:sz="4" w:space="0" w:color="auto"/>
              <w:left w:val="nil"/>
              <w:bottom w:val="single" w:sz="4" w:space="0" w:color="auto"/>
              <w:right w:val="nil"/>
            </w:tcBorders>
            <w:shd w:val="clear" w:color="000000" w:fill="FFFFFF"/>
            <w:vAlign w:val="bottom"/>
          </w:tcPr>
          <w:p w14:paraId="6853806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659</w:t>
            </w:r>
          </w:p>
        </w:tc>
      </w:tr>
      <w:tr w:rsidR="00717BA5" w:rsidRPr="00717BA5" w14:paraId="08330AE5" w14:textId="77777777" w:rsidTr="00F0752D">
        <w:trPr>
          <w:trHeight w:val="20"/>
        </w:trPr>
        <w:tc>
          <w:tcPr>
            <w:tcW w:w="3443" w:type="pct"/>
            <w:tcBorders>
              <w:top w:val="nil"/>
              <w:left w:val="nil"/>
              <w:bottom w:val="nil"/>
              <w:right w:val="nil"/>
            </w:tcBorders>
            <w:shd w:val="clear" w:color="000000" w:fill="FFFFFF"/>
            <w:vAlign w:val="bottom"/>
          </w:tcPr>
          <w:p w14:paraId="4E4A25E4"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26" w:type="pct"/>
            <w:tcBorders>
              <w:top w:val="nil"/>
              <w:left w:val="nil"/>
              <w:bottom w:val="nil"/>
              <w:right w:val="nil"/>
            </w:tcBorders>
            <w:shd w:val="clear" w:color="000000" w:fill="FFFFFF"/>
            <w:vAlign w:val="bottom"/>
          </w:tcPr>
          <w:p w14:paraId="0D9C79B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top w:val="nil"/>
              <w:left w:val="nil"/>
              <w:bottom w:val="nil"/>
              <w:right w:val="nil"/>
            </w:tcBorders>
            <w:shd w:val="clear" w:color="000000" w:fill="FFFFFF"/>
            <w:vAlign w:val="bottom"/>
          </w:tcPr>
          <w:p w14:paraId="46F62BC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shd w:val="clear" w:color="000000" w:fill="FFFFFF"/>
            <w:vAlign w:val="bottom"/>
          </w:tcPr>
          <w:p w14:paraId="6CFB853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F0634CA" w14:textId="77777777" w:rsidTr="00F0752D">
        <w:trPr>
          <w:trHeight w:val="20"/>
        </w:trPr>
        <w:tc>
          <w:tcPr>
            <w:tcW w:w="3443" w:type="pct"/>
            <w:tcBorders>
              <w:top w:val="nil"/>
              <w:left w:val="nil"/>
              <w:bottom w:val="nil"/>
              <w:right w:val="nil"/>
            </w:tcBorders>
            <w:shd w:val="clear" w:color="000000" w:fill="FFFFFF"/>
            <w:vAlign w:val="bottom"/>
          </w:tcPr>
          <w:p w14:paraId="29359A61"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Estimated Amount Payable after 12 Months</w:t>
            </w:r>
          </w:p>
        </w:tc>
        <w:tc>
          <w:tcPr>
            <w:tcW w:w="626" w:type="pct"/>
            <w:tcBorders>
              <w:top w:val="nil"/>
              <w:left w:val="nil"/>
              <w:bottom w:val="nil"/>
              <w:right w:val="nil"/>
            </w:tcBorders>
            <w:shd w:val="clear" w:color="000000" w:fill="FFFFFF"/>
            <w:vAlign w:val="bottom"/>
          </w:tcPr>
          <w:p w14:paraId="0870550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305" w:type="pct"/>
            <w:tcBorders>
              <w:top w:val="nil"/>
              <w:left w:val="nil"/>
              <w:bottom w:val="nil"/>
              <w:right w:val="nil"/>
            </w:tcBorders>
            <w:shd w:val="clear" w:color="000000" w:fill="FFFFFF"/>
            <w:vAlign w:val="bottom"/>
          </w:tcPr>
          <w:p w14:paraId="5879D21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shd w:val="clear" w:color="000000" w:fill="FFFFFF"/>
            <w:vAlign w:val="bottom"/>
          </w:tcPr>
          <w:p w14:paraId="547CB3A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C104047" w14:textId="77777777" w:rsidTr="00F0752D">
        <w:trPr>
          <w:trHeight w:val="20"/>
        </w:trPr>
        <w:tc>
          <w:tcPr>
            <w:tcW w:w="3443" w:type="pct"/>
            <w:tcBorders>
              <w:top w:val="nil"/>
              <w:left w:val="nil"/>
              <w:bottom w:val="nil"/>
              <w:right w:val="nil"/>
            </w:tcBorders>
            <w:shd w:val="clear" w:color="000000" w:fill="FFFFFF"/>
            <w:vAlign w:val="bottom"/>
          </w:tcPr>
          <w:p w14:paraId="3C23F8A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Annual Leave</w:t>
            </w:r>
          </w:p>
        </w:tc>
        <w:tc>
          <w:tcPr>
            <w:tcW w:w="626" w:type="pct"/>
            <w:tcBorders>
              <w:top w:val="nil"/>
              <w:left w:val="nil"/>
              <w:bottom w:val="nil"/>
              <w:right w:val="nil"/>
            </w:tcBorders>
            <w:shd w:val="clear" w:color="000000" w:fill="FFFFFF"/>
            <w:vAlign w:val="bottom"/>
          </w:tcPr>
          <w:p w14:paraId="4B07259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193</w:t>
            </w:r>
          </w:p>
        </w:tc>
        <w:tc>
          <w:tcPr>
            <w:tcW w:w="305" w:type="pct"/>
            <w:tcBorders>
              <w:top w:val="nil"/>
              <w:left w:val="nil"/>
              <w:bottom w:val="nil"/>
              <w:right w:val="nil"/>
            </w:tcBorders>
            <w:shd w:val="clear" w:color="000000" w:fill="FFFFFF"/>
            <w:vAlign w:val="bottom"/>
          </w:tcPr>
          <w:p w14:paraId="6C3AD70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shd w:val="clear" w:color="000000" w:fill="FFFFFF"/>
            <w:vAlign w:val="bottom"/>
          </w:tcPr>
          <w:p w14:paraId="2858A72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162</w:t>
            </w:r>
          </w:p>
        </w:tc>
      </w:tr>
      <w:tr w:rsidR="00717BA5" w:rsidRPr="00717BA5" w14:paraId="3BC003CA" w14:textId="77777777" w:rsidTr="00F0752D">
        <w:trPr>
          <w:trHeight w:val="20"/>
        </w:trPr>
        <w:tc>
          <w:tcPr>
            <w:tcW w:w="3443" w:type="pct"/>
            <w:tcBorders>
              <w:top w:val="nil"/>
              <w:left w:val="nil"/>
              <w:bottom w:val="nil"/>
              <w:right w:val="nil"/>
            </w:tcBorders>
            <w:shd w:val="clear" w:color="000000" w:fill="FFFFFF"/>
            <w:vAlign w:val="bottom"/>
          </w:tcPr>
          <w:p w14:paraId="467ED2D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w:t>
            </w:r>
          </w:p>
        </w:tc>
        <w:tc>
          <w:tcPr>
            <w:tcW w:w="626" w:type="pct"/>
            <w:tcBorders>
              <w:top w:val="nil"/>
              <w:left w:val="nil"/>
              <w:bottom w:val="nil"/>
              <w:right w:val="nil"/>
            </w:tcBorders>
            <w:shd w:val="clear" w:color="000000" w:fill="FFFFFF"/>
            <w:vAlign w:val="bottom"/>
          </w:tcPr>
          <w:p w14:paraId="0A6B3D1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568</w:t>
            </w:r>
          </w:p>
        </w:tc>
        <w:tc>
          <w:tcPr>
            <w:tcW w:w="305" w:type="pct"/>
            <w:tcBorders>
              <w:top w:val="nil"/>
              <w:left w:val="nil"/>
              <w:bottom w:val="nil"/>
              <w:right w:val="nil"/>
            </w:tcBorders>
            <w:shd w:val="clear" w:color="000000" w:fill="FFFFFF"/>
            <w:vAlign w:val="bottom"/>
          </w:tcPr>
          <w:p w14:paraId="4F12D9D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26" w:type="pct"/>
            <w:tcBorders>
              <w:top w:val="nil"/>
              <w:left w:val="nil"/>
              <w:bottom w:val="nil"/>
              <w:right w:val="nil"/>
            </w:tcBorders>
            <w:shd w:val="clear" w:color="000000" w:fill="FFFFFF"/>
            <w:vAlign w:val="bottom"/>
          </w:tcPr>
          <w:p w14:paraId="213CFCE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497</w:t>
            </w:r>
          </w:p>
        </w:tc>
      </w:tr>
      <w:tr w:rsidR="00717BA5" w:rsidRPr="00717BA5" w14:paraId="20C3F2EB" w14:textId="77777777" w:rsidTr="00F0752D">
        <w:trPr>
          <w:trHeight w:val="20"/>
        </w:trPr>
        <w:tc>
          <w:tcPr>
            <w:tcW w:w="3443" w:type="pct"/>
            <w:tcBorders>
              <w:left w:val="nil"/>
              <w:right w:val="nil"/>
            </w:tcBorders>
            <w:shd w:val="clear" w:color="000000" w:fill="FFFFFF"/>
            <w:vAlign w:val="bottom"/>
          </w:tcPr>
          <w:p w14:paraId="505E213E"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Employee Benefits Payable after 12 Months</w:t>
            </w:r>
          </w:p>
        </w:tc>
        <w:tc>
          <w:tcPr>
            <w:tcW w:w="626" w:type="pct"/>
            <w:tcBorders>
              <w:top w:val="single" w:sz="4" w:space="0" w:color="auto"/>
              <w:left w:val="nil"/>
              <w:bottom w:val="single" w:sz="4" w:space="0" w:color="auto"/>
              <w:right w:val="nil"/>
            </w:tcBorders>
            <w:shd w:val="clear" w:color="000000" w:fill="FFFFFF"/>
            <w:vAlign w:val="bottom"/>
          </w:tcPr>
          <w:p w14:paraId="462E1E9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761</w:t>
            </w:r>
          </w:p>
        </w:tc>
        <w:tc>
          <w:tcPr>
            <w:tcW w:w="305" w:type="pct"/>
            <w:tcBorders>
              <w:left w:val="nil"/>
              <w:right w:val="nil"/>
            </w:tcBorders>
            <w:shd w:val="clear" w:color="000000" w:fill="FFFFFF"/>
            <w:vAlign w:val="bottom"/>
          </w:tcPr>
          <w:p w14:paraId="7258633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single" w:sz="4" w:space="0" w:color="auto"/>
              <w:left w:val="nil"/>
              <w:bottom w:val="single" w:sz="4" w:space="0" w:color="auto"/>
              <w:right w:val="nil"/>
            </w:tcBorders>
            <w:shd w:val="clear" w:color="000000" w:fill="FFFFFF"/>
            <w:vAlign w:val="bottom"/>
          </w:tcPr>
          <w:p w14:paraId="43E419F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659</w:t>
            </w:r>
          </w:p>
        </w:tc>
      </w:tr>
      <w:tr w:rsidR="00717BA5" w:rsidRPr="00717BA5" w14:paraId="541C0164" w14:textId="77777777" w:rsidTr="00F0752D">
        <w:trPr>
          <w:trHeight w:val="20"/>
        </w:trPr>
        <w:tc>
          <w:tcPr>
            <w:tcW w:w="3443" w:type="pct"/>
            <w:tcBorders>
              <w:left w:val="nil"/>
              <w:right w:val="nil"/>
            </w:tcBorders>
            <w:shd w:val="clear" w:color="000000" w:fill="FFFFFF"/>
            <w:vAlign w:val="bottom"/>
          </w:tcPr>
          <w:p w14:paraId="184AD5F9"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Employee Benefits</w:t>
            </w:r>
          </w:p>
        </w:tc>
        <w:tc>
          <w:tcPr>
            <w:tcW w:w="626" w:type="pct"/>
            <w:tcBorders>
              <w:top w:val="single" w:sz="4" w:space="0" w:color="auto"/>
              <w:left w:val="nil"/>
              <w:bottom w:val="double" w:sz="4" w:space="0" w:color="auto"/>
              <w:right w:val="nil"/>
            </w:tcBorders>
            <w:shd w:val="clear" w:color="000000" w:fill="FFFFFF"/>
            <w:vAlign w:val="bottom"/>
          </w:tcPr>
          <w:p w14:paraId="09FF789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1,457</w:t>
            </w:r>
          </w:p>
        </w:tc>
        <w:tc>
          <w:tcPr>
            <w:tcW w:w="305" w:type="pct"/>
            <w:tcBorders>
              <w:left w:val="nil"/>
              <w:right w:val="nil"/>
            </w:tcBorders>
            <w:shd w:val="clear" w:color="000000" w:fill="FFFFFF"/>
            <w:vAlign w:val="bottom"/>
          </w:tcPr>
          <w:p w14:paraId="28C1149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626" w:type="pct"/>
            <w:tcBorders>
              <w:top w:val="single" w:sz="4" w:space="0" w:color="auto"/>
              <w:left w:val="nil"/>
              <w:bottom w:val="double" w:sz="4" w:space="0" w:color="auto"/>
              <w:right w:val="nil"/>
            </w:tcBorders>
            <w:shd w:val="clear" w:color="000000" w:fill="FFFFFF"/>
            <w:vAlign w:val="bottom"/>
          </w:tcPr>
          <w:p w14:paraId="12409EE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1,318</w:t>
            </w:r>
          </w:p>
        </w:tc>
      </w:tr>
    </w:tbl>
    <w:p w14:paraId="516E497F" w14:textId="77777777" w:rsidR="00717BA5" w:rsidRPr="00717BA5" w:rsidRDefault="00717BA5" w:rsidP="00717BA5">
      <w:pPr>
        <w:spacing w:after="120" w:line="240" w:lineRule="auto"/>
        <w:jc w:val="both"/>
        <w:outlineLvl w:val="1"/>
        <w:rPr>
          <w:rFonts w:ascii="Arial" w:eastAsia="Times New Roman" w:hAnsi="Arial" w:cs="Arial"/>
          <w:color w:val="auto"/>
          <w:sz w:val="18"/>
          <w:szCs w:val="18"/>
          <w:lang w:val="en-AU" w:eastAsia="en-US"/>
        </w:rPr>
      </w:pPr>
    </w:p>
    <w:p w14:paraId="0F0663C2"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At 30 June 2026, ACT Leave employed 44.8 full time equivalent (FTE) staff. There were 39.2 FTE staff at 30 June 2025.</w:t>
      </w:r>
    </w:p>
    <w:p w14:paraId="032DBC0F"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SimSun" w:hAnsi="Arial" w:cs="Arial"/>
          <w:i/>
          <w:iCs/>
          <w:color w:val="auto"/>
          <w:sz w:val="18"/>
          <w:szCs w:val="18"/>
          <w:lang w:val="en-AU"/>
        </w:rPr>
        <w:br w:type="page"/>
      </w:r>
    </w:p>
    <w:p w14:paraId="0C942FDE" w14:textId="77777777" w:rsidR="00717BA5" w:rsidRPr="00717BA5" w:rsidRDefault="00717BA5" w:rsidP="00717BA5">
      <w:pPr>
        <w:keepNext/>
        <w:spacing w:before="120" w:after="0" w:line="240" w:lineRule="auto"/>
        <w:outlineLvl w:val="1"/>
        <w:rPr>
          <w:rFonts w:ascii="Arial" w:eastAsia="Times New Roman" w:hAnsi="Arial" w:cs="Arial"/>
          <w:b/>
          <w:bCs/>
          <w:color w:val="auto"/>
          <w:sz w:val="24"/>
          <w:szCs w:val="24"/>
          <w:lang w:val="en-AU"/>
        </w:rPr>
      </w:pPr>
    </w:p>
    <w:p w14:paraId="2BFD15C5" w14:textId="77777777" w:rsidR="00717BA5" w:rsidRPr="00717BA5" w:rsidRDefault="00717BA5" w:rsidP="00717BA5">
      <w:pPr>
        <w:keepNext/>
        <w:spacing w:after="240" w:line="240" w:lineRule="auto"/>
        <w:ind w:left="1276" w:hanging="1276"/>
        <w:outlineLvl w:val="1"/>
        <w:rPr>
          <w:rFonts w:ascii="Arial" w:eastAsia="Times New Roman" w:hAnsi="Arial" w:cs="Arial"/>
          <w:b/>
          <w:bCs/>
          <w:color w:val="auto"/>
          <w:sz w:val="24"/>
          <w:szCs w:val="24"/>
          <w:lang w:val="en-AU"/>
        </w:rPr>
      </w:pPr>
      <w:bookmarkStart w:id="117" w:name="_Toc240533531"/>
      <w:r w:rsidRPr="00717BA5">
        <w:rPr>
          <w:rFonts w:ascii="Arial" w:eastAsia="Times New Roman" w:hAnsi="Arial" w:cs="Arial"/>
          <w:b/>
          <w:bCs/>
          <w:color w:val="auto"/>
          <w:sz w:val="24"/>
          <w:szCs w:val="24"/>
          <w:lang w:val="en-AU"/>
        </w:rPr>
        <w:t>NOTE 17.   OPERATING STATEMENT AND BALANCE SHEET FOR LONG SERVICE LEAVE SCHEMES</w:t>
      </w:r>
      <w:bookmarkEnd w:id="117"/>
    </w:p>
    <w:p w14:paraId="2738E0EE"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color w:val="auto"/>
          <w:lang w:val="en-AU"/>
        </w:rPr>
        <w:t>ACT Leave established separate funds for each of the administered schemes, with no cross-subsidisation of funds.</w:t>
      </w:r>
      <w:r w:rsidRPr="00717BA5" w:rsidDel="00E32C7F">
        <w:rPr>
          <w:rFonts w:ascii="Arial" w:eastAsia="Times New Roman" w:hAnsi="Arial" w:cs="Arial"/>
          <w:color w:val="auto"/>
          <w:lang w:val="en-AU"/>
        </w:rPr>
        <w:t xml:space="preserve"> </w:t>
      </w:r>
      <w:r w:rsidRPr="00717BA5">
        <w:rPr>
          <w:rFonts w:ascii="Arial" w:eastAsia="Times New Roman" w:hAnsi="Arial" w:cs="Arial"/>
          <w:color w:val="auto"/>
          <w:lang w:val="en-AU"/>
        </w:rPr>
        <w:t>Indirect costs are allocated to the schemes based on the percentage of active members in each scheme out of the total active members. In 2025-26 indirect costs, apart from capital expenditure related to the office accommodation fit out and furniture, were paid by the Construction Scheme first and reimbursement payments were made by the other schemes to Construction each month. The Community Scheme paid for office accommodation fit out and furniture, and invoiced the Construction, Services, and Security Schemes each month for their share of depreciation costs associated with the office fit out and furniture.</w:t>
      </w:r>
    </w:p>
    <w:p w14:paraId="4C19C1CC"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color w:val="auto"/>
          <w:lang w:val="en-AU"/>
        </w:rPr>
        <w:t>The Services Industry Scheme commenced on 1 April 2025 and as at 30 June 2026 incorporated the previously existing Contract Cleaning Scheme only. The Services Industry Scheme will expand into hairdressing and beauty and food and accommodation industries from 1 January 2027</w:t>
      </w:r>
      <w:r w:rsidRPr="00717BA5">
        <w:rPr>
          <w:rFonts w:ascii="Arial" w:eastAsia="Times New Roman" w:hAnsi="Arial" w:cs="Arial"/>
          <w:color w:val="auto"/>
          <w:sz w:val="18"/>
          <w:szCs w:val="18"/>
          <w:lang w:val="en-AU"/>
        </w:rPr>
        <w:t>.</w:t>
      </w:r>
    </w:p>
    <w:p w14:paraId="132C7B34" w14:textId="77777777" w:rsidR="00717BA5" w:rsidRPr="00717BA5" w:rsidRDefault="00717BA5" w:rsidP="00717BA5">
      <w:pPr>
        <w:spacing w:before="120" w:after="120" w:line="240" w:lineRule="auto"/>
        <w:jc w:val="center"/>
        <w:rPr>
          <w:rFonts w:ascii="Arial" w:eastAsia="Times New Roman" w:hAnsi="Arial" w:cs="Arial"/>
          <w:b/>
          <w:color w:val="auto"/>
          <w:sz w:val="22"/>
          <w:szCs w:val="22"/>
          <w:lang w:val="en-AU"/>
        </w:rPr>
      </w:pPr>
      <w:r w:rsidRPr="00717BA5">
        <w:rPr>
          <w:rFonts w:ascii="Arial" w:eastAsia="Times New Roman" w:hAnsi="Arial" w:cs="Arial"/>
          <w:b/>
          <w:color w:val="auto"/>
          <w:sz w:val="22"/>
          <w:szCs w:val="22"/>
          <w:lang w:val="en-AU"/>
        </w:rPr>
        <w:t>Building and Construction Industry Scheme – Operating Statement</w:t>
      </w:r>
    </w:p>
    <w:tbl>
      <w:tblPr>
        <w:tblpPr w:leftFromText="180" w:rightFromText="180" w:vertAnchor="text" w:tblpY="1"/>
        <w:tblOverlap w:val="never"/>
        <w:tblW w:w="9949" w:type="dxa"/>
        <w:tblLook w:val="04A0" w:firstRow="1" w:lastRow="0" w:firstColumn="1" w:lastColumn="0" w:noHBand="0" w:noVBand="1"/>
      </w:tblPr>
      <w:tblGrid>
        <w:gridCol w:w="5928"/>
        <w:gridCol w:w="1128"/>
        <w:gridCol w:w="1560"/>
        <w:gridCol w:w="1333"/>
      </w:tblGrid>
      <w:tr w:rsidR="00717BA5" w:rsidRPr="00717BA5" w14:paraId="31B5D107" w14:textId="77777777" w:rsidTr="00717BA5">
        <w:trPr>
          <w:trHeight w:val="300"/>
        </w:trPr>
        <w:tc>
          <w:tcPr>
            <w:tcW w:w="5928" w:type="dxa"/>
            <w:tcBorders>
              <w:top w:val="nil"/>
              <w:left w:val="nil"/>
              <w:bottom w:val="nil"/>
              <w:right w:val="nil"/>
            </w:tcBorders>
            <w:shd w:val="clear" w:color="auto" w:fill="FFFFFF"/>
          </w:tcPr>
          <w:p w14:paraId="2C7F2BA5"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128" w:type="dxa"/>
            <w:tcBorders>
              <w:top w:val="nil"/>
              <w:left w:val="nil"/>
              <w:bottom w:val="nil"/>
              <w:right w:val="nil"/>
            </w:tcBorders>
            <w:shd w:val="clear" w:color="auto" w:fill="FFFFFF"/>
            <w:vAlign w:val="bottom"/>
          </w:tcPr>
          <w:p w14:paraId="25BA23C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w:t>
            </w:r>
          </w:p>
        </w:tc>
        <w:tc>
          <w:tcPr>
            <w:tcW w:w="1560" w:type="dxa"/>
            <w:tcBorders>
              <w:top w:val="nil"/>
              <w:left w:val="nil"/>
              <w:bottom w:val="nil"/>
              <w:right w:val="nil"/>
            </w:tcBorders>
            <w:shd w:val="clear" w:color="auto" w:fill="FFFFFF"/>
            <w:vAlign w:val="bottom"/>
          </w:tcPr>
          <w:p w14:paraId="70FC0E3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Original</w:t>
            </w:r>
          </w:p>
        </w:tc>
        <w:tc>
          <w:tcPr>
            <w:tcW w:w="1333" w:type="dxa"/>
            <w:tcBorders>
              <w:top w:val="nil"/>
              <w:left w:val="nil"/>
              <w:bottom w:val="nil"/>
              <w:right w:val="nil"/>
            </w:tcBorders>
            <w:shd w:val="clear" w:color="auto" w:fill="FFFFFF"/>
            <w:noWrap/>
            <w:vAlign w:val="bottom"/>
          </w:tcPr>
          <w:p w14:paraId="10B959C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 </w:t>
            </w:r>
          </w:p>
        </w:tc>
      </w:tr>
      <w:tr w:rsidR="00717BA5" w:rsidRPr="00717BA5" w14:paraId="62582F8B" w14:textId="77777777" w:rsidTr="00717BA5">
        <w:trPr>
          <w:trHeight w:val="300"/>
        </w:trPr>
        <w:tc>
          <w:tcPr>
            <w:tcW w:w="5928" w:type="dxa"/>
            <w:tcBorders>
              <w:top w:val="nil"/>
              <w:left w:val="nil"/>
              <w:bottom w:val="nil"/>
              <w:right w:val="nil"/>
            </w:tcBorders>
            <w:shd w:val="clear" w:color="auto" w:fill="FFFFFF"/>
          </w:tcPr>
          <w:p w14:paraId="2720DA0D" w14:textId="77777777" w:rsidR="00717BA5" w:rsidRPr="00717BA5" w:rsidRDefault="00717BA5" w:rsidP="00717BA5">
            <w:pPr>
              <w:spacing w:after="0" w:line="240" w:lineRule="auto"/>
              <w:ind w:left="-360"/>
              <w:rPr>
                <w:rFonts w:ascii="Arial" w:eastAsia="Times New Roman" w:hAnsi="Arial" w:cs="Arial"/>
                <w:b/>
                <w:bCs/>
                <w:color w:val="auto"/>
                <w:sz w:val="18"/>
                <w:szCs w:val="18"/>
                <w:lang w:val="en-AU"/>
              </w:rPr>
            </w:pPr>
          </w:p>
        </w:tc>
        <w:tc>
          <w:tcPr>
            <w:tcW w:w="1128" w:type="dxa"/>
            <w:tcBorders>
              <w:top w:val="nil"/>
              <w:left w:val="nil"/>
              <w:bottom w:val="nil"/>
              <w:right w:val="nil"/>
            </w:tcBorders>
            <w:shd w:val="clear" w:color="auto" w:fill="FFFFFF"/>
            <w:vAlign w:val="bottom"/>
          </w:tcPr>
          <w:p w14:paraId="3259FCC4" w14:textId="77777777" w:rsidR="00717BA5" w:rsidRPr="00717BA5" w:rsidRDefault="00717BA5" w:rsidP="00717BA5">
            <w:pPr>
              <w:spacing w:after="0" w:line="240" w:lineRule="auto"/>
              <w:ind w:left="-360"/>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c>
          <w:tcPr>
            <w:tcW w:w="1560" w:type="dxa"/>
            <w:tcBorders>
              <w:top w:val="nil"/>
              <w:left w:val="nil"/>
              <w:bottom w:val="nil"/>
              <w:right w:val="nil"/>
            </w:tcBorders>
            <w:shd w:val="clear" w:color="auto" w:fill="FFFFFF"/>
            <w:vAlign w:val="bottom"/>
          </w:tcPr>
          <w:p w14:paraId="4142AF1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Budget</w:t>
            </w:r>
          </w:p>
        </w:tc>
        <w:tc>
          <w:tcPr>
            <w:tcW w:w="1333" w:type="dxa"/>
            <w:vAlign w:val="bottom"/>
          </w:tcPr>
          <w:p w14:paraId="3643CE90" w14:textId="77777777" w:rsidR="00717BA5" w:rsidRPr="00717BA5" w:rsidRDefault="00717BA5" w:rsidP="00717BA5">
            <w:pPr>
              <w:spacing w:after="0" w:line="240" w:lineRule="auto"/>
              <w:jc w:val="right"/>
              <w:rPr>
                <w:rFonts w:ascii="Arial" w:eastAsia="SimSun" w:hAnsi="Arial" w:cs="Arial"/>
                <w:color w:val="auto"/>
                <w:sz w:val="18"/>
                <w:szCs w:val="18"/>
                <w:lang w:val="en-AU" w:eastAsia="en-US"/>
              </w:rPr>
            </w:pPr>
            <w:r w:rsidRPr="00717BA5">
              <w:rPr>
                <w:rFonts w:ascii="Arial" w:eastAsia="Times New Roman" w:hAnsi="Arial" w:cs="Arial"/>
                <w:b/>
                <w:bCs/>
                <w:color w:val="auto"/>
                <w:sz w:val="18"/>
                <w:szCs w:val="18"/>
                <w:lang w:val="en-AU"/>
              </w:rPr>
              <w:t>Actual</w:t>
            </w:r>
          </w:p>
        </w:tc>
      </w:tr>
      <w:tr w:rsidR="00717BA5" w:rsidRPr="00717BA5" w14:paraId="0B54A5A0" w14:textId="77777777" w:rsidTr="00717BA5">
        <w:trPr>
          <w:trHeight w:val="300"/>
        </w:trPr>
        <w:tc>
          <w:tcPr>
            <w:tcW w:w="5928" w:type="dxa"/>
            <w:tcBorders>
              <w:top w:val="nil"/>
              <w:left w:val="nil"/>
              <w:bottom w:val="nil"/>
              <w:right w:val="nil"/>
            </w:tcBorders>
            <w:shd w:val="clear" w:color="auto" w:fill="FFFFFF"/>
          </w:tcPr>
          <w:p w14:paraId="6C24E167"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128" w:type="dxa"/>
            <w:tcBorders>
              <w:top w:val="nil"/>
              <w:left w:val="nil"/>
              <w:bottom w:val="nil"/>
              <w:right w:val="nil"/>
            </w:tcBorders>
            <w:shd w:val="clear" w:color="auto" w:fill="FFFFFF"/>
            <w:vAlign w:val="bottom"/>
          </w:tcPr>
          <w:p w14:paraId="5DE81A9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1560" w:type="dxa"/>
            <w:tcBorders>
              <w:top w:val="nil"/>
              <w:left w:val="nil"/>
              <w:bottom w:val="nil"/>
              <w:right w:val="nil"/>
            </w:tcBorders>
            <w:shd w:val="clear" w:color="auto" w:fill="FFFFFF"/>
            <w:vAlign w:val="bottom"/>
          </w:tcPr>
          <w:p w14:paraId="2C4FE0C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000000"/>
                <w:sz w:val="18"/>
                <w:szCs w:val="18"/>
                <w:lang w:val="en-AU"/>
              </w:rPr>
              <w:t>2026</w:t>
            </w:r>
          </w:p>
        </w:tc>
        <w:tc>
          <w:tcPr>
            <w:tcW w:w="1333" w:type="dxa"/>
            <w:tcBorders>
              <w:top w:val="nil"/>
              <w:left w:val="nil"/>
              <w:bottom w:val="nil"/>
              <w:right w:val="nil"/>
            </w:tcBorders>
            <w:shd w:val="clear" w:color="auto" w:fill="FFFFFF"/>
            <w:vAlign w:val="bottom"/>
          </w:tcPr>
          <w:p w14:paraId="0F6E08C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4DA700FD" w14:textId="77777777" w:rsidTr="00717BA5">
        <w:trPr>
          <w:trHeight w:val="300"/>
        </w:trPr>
        <w:tc>
          <w:tcPr>
            <w:tcW w:w="5928" w:type="dxa"/>
            <w:tcBorders>
              <w:top w:val="nil"/>
              <w:left w:val="nil"/>
              <w:right w:val="nil"/>
            </w:tcBorders>
            <w:shd w:val="clear" w:color="auto" w:fill="FFFFFF"/>
            <w:vAlign w:val="bottom"/>
          </w:tcPr>
          <w:p w14:paraId="496295FC"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Income</w:t>
            </w:r>
          </w:p>
        </w:tc>
        <w:tc>
          <w:tcPr>
            <w:tcW w:w="1128" w:type="dxa"/>
            <w:tcBorders>
              <w:top w:val="nil"/>
              <w:left w:val="nil"/>
              <w:bottom w:val="single" w:sz="4" w:space="0" w:color="auto"/>
              <w:right w:val="nil"/>
            </w:tcBorders>
            <w:shd w:val="clear" w:color="auto" w:fill="FFFFFF"/>
            <w:vAlign w:val="bottom"/>
          </w:tcPr>
          <w:p w14:paraId="6620BA7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560" w:type="dxa"/>
            <w:tcBorders>
              <w:top w:val="nil"/>
              <w:left w:val="nil"/>
              <w:bottom w:val="single" w:sz="4" w:space="0" w:color="auto"/>
              <w:right w:val="nil"/>
            </w:tcBorders>
            <w:shd w:val="clear" w:color="auto" w:fill="FFFFFF"/>
            <w:vAlign w:val="bottom"/>
          </w:tcPr>
          <w:p w14:paraId="109F345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333" w:type="dxa"/>
            <w:tcBorders>
              <w:top w:val="nil"/>
              <w:left w:val="nil"/>
              <w:bottom w:val="single" w:sz="4" w:space="0" w:color="auto"/>
              <w:right w:val="nil"/>
            </w:tcBorders>
            <w:shd w:val="clear" w:color="auto" w:fill="FFFFFF"/>
            <w:vAlign w:val="bottom"/>
          </w:tcPr>
          <w:p w14:paraId="46A89D4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03D25B34" w14:textId="77777777" w:rsidTr="00717BA5">
        <w:trPr>
          <w:trHeight w:val="20"/>
        </w:trPr>
        <w:tc>
          <w:tcPr>
            <w:tcW w:w="5928" w:type="dxa"/>
            <w:tcBorders>
              <w:top w:val="nil"/>
              <w:left w:val="nil"/>
              <w:bottom w:val="nil"/>
              <w:right w:val="nil"/>
            </w:tcBorders>
            <w:shd w:val="clear" w:color="auto" w:fill="FFFFFF"/>
            <w:vAlign w:val="bottom"/>
          </w:tcPr>
          <w:p w14:paraId="1ADDD35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Contributions from Employers and Contractors</w:t>
            </w:r>
          </w:p>
        </w:tc>
        <w:tc>
          <w:tcPr>
            <w:tcW w:w="1128" w:type="dxa"/>
            <w:tcBorders>
              <w:top w:val="nil"/>
              <w:left w:val="nil"/>
              <w:bottom w:val="nil"/>
              <w:right w:val="nil"/>
            </w:tcBorders>
            <w:shd w:val="clear" w:color="auto" w:fill="FFFFFF"/>
            <w:noWrap/>
            <w:vAlign w:val="bottom"/>
          </w:tcPr>
          <w:p w14:paraId="4B01538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23,392</w:t>
            </w:r>
          </w:p>
        </w:tc>
        <w:tc>
          <w:tcPr>
            <w:tcW w:w="1560" w:type="dxa"/>
            <w:tcBorders>
              <w:top w:val="nil"/>
              <w:left w:val="nil"/>
              <w:bottom w:val="nil"/>
              <w:right w:val="nil"/>
            </w:tcBorders>
            <w:shd w:val="clear" w:color="auto" w:fill="FFFFFF"/>
            <w:noWrap/>
            <w:vAlign w:val="bottom"/>
          </w:tcPr>
          <w:p w14:paraId="0CEE07E3"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23,900</w:t>
            </w:r>
          </w:p>
        </w:tc>
        <w:tc>
          <w:tcPr>
            <w:tcW w:w="1333" w:type="dxa"/>
            <w:tcBorders>
              <w:top w:val="nil"/>
              <w:left w:val="nil"/>
              <w:bottom w:val="nil"/>
              <w:right w:val="nil"/>
            </w:tcBorders>
            <w:shd w:val="clear" w:color="auto" w:fill="FFFFFF"/>
            <w:noWrap/>
            <w:vAlign w:val="bottom"/>
          </w:tcPr>
          <w:p w14:paraId="22B1388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22,170 </w:t>
            </w:r>
          </w:p>
        </w:tc>
      </w:tr>
      <w:tr w:rsidR="00717BA5" w:rsidRPr="00717BA5" w14:paraId="14770C50" w14:textId="77777777" w:rsidTr="00717BA5">
        <w:trPr>
          <w:trHeight w:val="20"/>
        </w:trPr>
        <w:tc>
          <w:tcPr>
            <w:tcW w:w="5928" w:type="dxa"/>
            <w:tcBorders>
              <w:top w:val="nil"/>
              <w:left w:val="nil"/>
              <w:bottom w:val="nil"/>
              <w:right w:val="nil"/>
            </w:tcBorders>
            <w:shd w:val="clear" w:color="auto" w:fill="FFFFFF"/>
            <w:vAlign w:val="bottom"/>
          </w:tcPr>
          <w:p w14:paraId="38018A4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Gains from Remeasurement of Assets</w:t>
            </w:r>
          </w:p>
        </w:tc>
        <w:tc>
          <w:tcPr>
            <w:tcW w:w="1128" w:type="dxa"/>
            <w:tcBorders>
              <w:top w:val="nil"/>
              <w:left w:val="nil"/>
              <w:bottom w:val="nil"/>
              <w:right w:val="nil"/>
            </w:tcBorders>
            <w:shd w:val="clear" w:color="auto" w:fill="FFFFFF"/>
            <w:noWrap/>
            <w:vAlign w:val="bottom"/>
          </w:tcPr>
          <w:p w14:paraId="2E23462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5,180</w:t>
            </w:r>
          </w:p>
        </w:tc>
        <w:tc>
          <w:tcPr>
            <w:tcW w:w="1560" w:type="dxa"/>
            <w:tcBorders>
              <w:top w:val="nil"/>
              <w:left w:val="nil"/>
              <w:bottom w:val="nil"/>
              <w:right w:val="nil"/>
            </w:tcBorders>
            <w:shd w:val="clear" w:color="auto" w:fill="FFFFFF"/>
            <w:noWrap/>
            <w:vAlign w:val="bottom"/>
          </w:tcPr>
          <w:p w14:paraId="1A45FC2A"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7,984</w:t>
            </w:r>
          </w:p>
        </w:tc>
        <w:tc>
          <w:tcPr>
            <w:tcW w:w="1333" w:type="dxa"/>
            <w:tcBorders>
              <w:top w:val="nil"/>
              <w:left w:val="nil"/>
              <w:bottom w:val="nil"/>
              <w:right w:val="nil"/>
            </w:tcBorders>
            <w:shd w:val="clear" w:color="auto" w:fill="FFFFFF"/>
            <w:noWrap/>
            <w:vAlign w:val="bottom"/>
          </w:tcPr>
          <w:p w14:paraId="09E7962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17,427 </w:t>
            </w:r>
          </w:p>
        </w:tc>
      </w:tr>
      <w:tr w:rsidR="00717BA5" w:rsidRPr="00717BA5" w14:paraId="3C266C15" w14:textId="77777777" w:rsidTr="00717BA5">
        <w:trPr>
          <w:trHeight w:val="20"/>
        </w:trPr>
        <w:tc>
          <w:tcPr>
            <w:tcW w:w="5928" w:type="dxa"/>
            <w:tcBorders>
              <w:top w:val="nil"/>
              <w:left w:val="nil"/>
              <w:bottom w:val="nil"/>
              <w:right w:val="nil"/>
            </w:tcBorders>
            <w:shd w:val="clear" w:color="auto" w:fill="FFFFFF"/>
            <w:vAlign w:val="bottom"/>
          </w:tcPr>
          <w:p w14:paraId="362025D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 Revenue</w:t>
            </w:r>
          </w:p>
        </w:tc>
        <w:tc>
          <w:tcPr>
            <w:tcW w:w="1128" w:type="dxa"/>
            <w:tcBorders>
              <w:top w:val="nil"/>
              <w:left w:val="nil"/>
              <w:bottom w:val="nil"/>
              <w:right w:val="nil"/>
            </w:tcBorders>
            <w:shd w:val="clear" w:color="auto" w:fill="FFFFFF"/>
            <w:noWrap/>
            <w:vAlign w:val="bottom"/>
          </w:tcPr>
          <w:p w14:paraId="0A59701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8,837</w:t>
            </w:r>
          </w:p>
        </w:tc>
        <w:tc>
          <w:tcPr>
            <w:tcW w:w="1560" w:type="dxa"/>
            <w:tcBorders>
              <w:top w:val="nil"/>
              <w:left w:val="nil"/>
              <w:bottom w:val="nil"/>
              <w:right w:val="nil"/>
            </w:tcBorders>
            <w:shd w:val="clear" w:color="auto" w:fill="FFFFFF"/>
            <w:noWrap/>
            <w:vAlign w:val="bottom"/>
          </w:tcPr>
          <w:p w14:paraId="242E1646"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4,934</w:t>
            </w:r>
          </w:p>
        </w:tc>
        <w:tc>
          <w:tcPr>
            <w:tcW w:w="1333" w:type="dxa"/>
            <w:tcBorders>
              <w:top w:val="nil"/>
              <w:left w:val="nil"/>
              <w:bottom w:val="nil"/>
              <w:right w:val="nil"/>
            </w:tcBorders>
            <w:shd w:val="clear" w:color="auto" w:fill="FFFFFF"/>
            <w:noWrap/>
            <w:vAlign w:val="bottom"/>
          </w:tcPr>
          <w:p w14:paraId="17192ED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5,602 </w:t>
            </w:r>
          </w:p>
        </w:tc>
      </w:tr>
      <w:tr w:rsidR="00717BA5" w:rsidRPr="00717BA5" w14:paraId="26DE1C7E" w14:textId="77777777" w:rsidTr="00717BA5">
        <w:trPr>
          <w:trHeight w:val="20"/>
        </w:trPr>
        <w:tc>
          <w:tcPr>
            <w:tcW w:w="5928" w:type="dxa"/>
            <w:tcBorders>
              <w:top w:val="nil"/>
              <w:left w:val="nil"/>
              <w:right w:val="nil"/>
            </w:tcBorders>
            <w:shd w:val="clear" w:color="auto" w:fill="FFFFFF"/>
            <w:vAlign w:val="bottom"/>
          </w:tcPr>
          <w:p w14:paraId="290D3F24"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Other Income</w:t>
            </w:r>
          </w:p>
        </w:tc>
        <w:tc>
          <w:tcPr>
            <w:tcW w:w="1128" w:type="dxa"/>
            <w:tcBorders>
              <w:top w:val="nil"/>
              <w:left w:val="nil"/>
              <w:right w:val="nil"/>
            </w:tcBorders>
            <w:shd w:val="clear" w:color="auto" w:fill="FFFFFF"/>
            <w:noWrap/>
            <w:vAlign w:val="bottom"/>
          </w:tcPr>
          <w:p w14:paraId="7C3C15E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662</w:t>
            </w:r>
          </w:p>
        </w:tc>
        <w:tc>
          <w:tcPr>
            <w:tcW w:w="1560" w:type="dxa"/>
            <w:tcBorders>
              <w:top w:val="nil"/>
              <w:left w:val="nil"/>
              <w:right w:val="nil"/>
            </w:tcBorders>
            <w:noWrap/>
            <w:vAlign w:val="bottom"/>
          </w:tcPr>
          <w:p w14:paraId="28221ABD"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618</w:t>
            </w:r>
          </w:p>
        </w:tc>
        <w:tc>
          <w:tcPr>
            <w:tcW w:w="1333" w:type="dxa"/>
            <w:tcBorders>
              <w:top w:val="nil"/>
              <w:left w:val="nil"/>
              <w:right w:val="nil"/>
            </w:tcBorders>
            <w:shd w:val="clear" w:color="auto" w:fill="FFFFFF"/>
            <w:noWrap/>
            <w:vAlign w:val="bottom"/>
          </w:tcPr>
          <w:p w14:paraId="3F687F0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447 </w:t>
            </w:r>
          </w:p>
        </w:tc>
      </w:tr>
      <w:tr w:rsidR="00717BA5" w:rsidRPr="00717BA5" w14:paraId="484741E0" w14:textId="77777777" w:rsidTr="00717BA5">
        <w:trPr>
          <w:trHeight w:val="20"/>
        </w:trPr>
        <w:tc>
          <w:tcPr>
            <w:tcW w:w="5928" w:type="dxa"/>
            <w:tcBorders>
              <w:top w:val="nil"/>
              <w:left w:val="nil"/>
              <w:right w:val="nil"/>
            </w:tcBorders>
            <w:shd w:val="clear" w:color="auto" w:fill="FFFFFF"/>
            <w:vAlign w:val="bottom"/>
          </w:tcPr>
          <w:p w14:paraId="31F7C54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Sales of Services from Contracts with Customers</w:t>
            </w:r>
          </w:p>
        </w:tc>
        <w:tc>
          <w:tcPr>
            <w:tcW w:w="1128" w:type="dxa"/>
            <w:tcBorders>
              <w:top w:val="nil"/>
              <w:left w:val="nil"/>
              <w:right w:val="nil"/>
            </w:tcBorders>
            <w:shd w:val="clear" w:color="auto" w:fill="FFFFFF"/>
            <w:noWrap/>
            <w:vAlign w:val="bottom"/>
          </w:tcPr>
          <w:p w14:paraId="0958BEF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50</w:t>
            </w:r>
          </w:p>
        </w:tc>
        <w:tc>
          <w:tcPr>
            <w:tcW w:w="1560" w:type="dxa"/>
            <w:tcBorders>
              <w:top w:val="nil"/>
              <w:left w:val="nil"/>
              <w:right w:val="nil"/>
            </w:tcBorders>
            <w:noWrap/>
            <w:vAlign w:val="bottom"/>
          </w:tcPr>
          <w:p w14:paraId="2CA1DE39"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50</w:t>
            </w:r>
          </w:p>
        </w:tc>
        <w:tc>
          <w:tcPr>
            <w:tcW w:w="1333" w:type="dxa"/>
            <w:tcBorders>
              <w:top w:val="nil"/>
              <w:left w:val="nil"/>
              <w:right w:val="nil"/>
            </w:tcBorders>
            <w:shd w:val="clear" w:color="auto" w:fill="FFFFFF"/>
            <w:noWrap/>
            <w:vAlign w:val="bottom"/>
          </w:tcPr>
          <w:p w14:paraId="58D6ECC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79 </w:t>
            </w:r>
          </w:p>
        </w:tc>
      </w:tr>
      <w:tr w:rsidR="00717BA5" w:rsidRPr="00717BA5" w14:paraId="2B393C7E" w14:textId="77777777" w:rsidTr="00717BA5">
        <w:trPr>
          <w:trHeight w:val="20"/>
        </w:trPr>
        <w:tc>
          <w:tcPr>
            <w:tcW w:w="5928" w:type="dxa"/>
            <w:tcBorders>
              <w:top w:val="nil"/>
              <w:left w:val="nil"/>
              <w:right w:val="nil"/>
            </w:tcBorders>
            <w:shd w:val="clear" w:color="auto" w:fill="FFFFFF"/>
            <w:vAlign w:val="bottom"/>
          </w:tcPr>
          <w:p w14:paraId="70B6FA33"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Grants and Contributions Income</w:t>
            </w:r>
          </w:p>
        </w:tc>
        <w:tc>
          <w:tcPr>
            <w:tcW w:w="1128" w:type="dxa"/>
            <w:tcBorders>
              <w:top w:val="nil"/>
              <w:left w:val="nil"/>
              <w:right w:val="nil"/>
            </w:tcBorders>
            <w:shd w:val="clear" w:color="auto" w:fill="FFFFFF"/>
            <w:noWrap/>
            <w:vAlign w:val="bottom"/>
          </w:tcPr>
          <w:p w14:paraId="36A96FD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9</w:t>
            </w:r>
          </w:p>
        </w:tc>
        <w:tc>
          <w:tcPr>
            <w:tcW w:w="1560" w:type="dxa"/>
            <w:tcBorders>
              <w:top w:val="nil"/>
              <w:left w:val="nil"/>
              <w:right w:val="nil"/>
            </w:tcBorders>
            <w:noWrap/>
            <w:vAlign w:val="bottom"/>
          </w:tcPr>
          <w:p w14:paraId="1D344195"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w:t>
            </w:r>
          </w:p>
        </w:tc>
        <w:tc>
          <w:tcPr>
            <w:tcW w:w="1333" w:type="dxa"/>
            <w:tcBorders>
              <w:top w:val="nil"/>
              <w:left w:val="nil"/>
              <w:right w:val="nil"/>
            </w:tcBorders>
            <w:shd w:val="clear" w:color="auto" w:fill="FFFFFF"/>
            <w:noWrap/>
            <w:vAlign w:val="bottom"/>
          </w:tcPr>
          <w:p w14:paraId="78C4A6A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6 </w:t>
            </w:r>
          </w:p>
        </w:tc>
      </w:tr>
      <w:tr w:rsidR="00717BA5" w:rsidRPr="00717BA5" w14:paraId="471D26EC" w14:textId="77777777" w:rsidTr="00717BA5">
        <w:trPr>
          <w:trHeight w:val="20"/>
        </w:trPr>
        <w:tc>
          <w:tcPr>
            <w:tcW w:w="5928" w:type="dxa"/>
            <w:tcBorders>
              <w:left w:val="nil"/>
              <w:right w:val="nil"/>
            </w:tcBorders>
            <w:shd w:val="clear" w:color="auto" w:fill="FFFFFF"/>
            <w:vAlign w:val="bottom"/>
          </w:tcPr>
          <w:p w14:paraId="4DD264B2" w14:textId="77777777" w:rsidR="00717BA5" w:rsidRPr="00717BA5" w:rsidRDefault="00717BA5" w:rsidP="00717BA5">
            <w:pPr>
              <w:spacing w:after="0" w:line="240" w:lineRule="auto"/>
              <w:rPr>
                <w:rFonts w:ascii="Arial" w:eastAsia="Times New Roman" w:hAnsi="Arial" w:cs="Arial"/>
                <w:b/>
                <w:color w:val="auto"/>
                <w:sz w:val="18"/>
                <w:szCs w:val="18"/>
                <w:highlight w:val="yellow"/>
                <w:lang w:val="en-AU"/>
              </w:rPr>
            </w:pPr>
            <w:r w:rsidRPr="00717BA5">
              <w:rPr>
                <w:rFonts w:ascii="Arial" w:eastAsia="Times New Roman" w:hAnsi="Arial" w:cs="Arial"/>
                <w:b/>
                <w:color w:val="auto"/>
                <w:sz w:val="18"/>
                <w:szCs w:val="18"/>
                <w:lang w:val="en-AU"/>
              </w:rPr>
              <w:t>Total Income</w:t>
            </w:r>
          </w:p>
        </w:tc>
        <w:tc>
          <w:tcPr>
            <w:tcW w:w="1128" w:type="dxa"/>
            <w:tcBorders>
              <w:top w:val="single" w:sz="4" w:space="0" w:color="auto"/>
              <w:left w:val="nil"/>
              <w:bottom w:val="single" w:sz="4" w:space="0" w:color="auto"/>
              <w:right w:val="nil"/>
            </w:tcBorders>
            <w:noWrap/>
            <w:vAlign w:val="bottom"/>
          </w:tcPr>
          <w:p w14:paraId="1B6DDFFA"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SimSun" w:hAnsi="Arial" w:cs="Arial"/>
                <w:b/>
                <w:bCs/>
                <w:color w:val="auto"/>
                <w:sz w:val="18"/>
                <w:szCs w:val="18"/>
                <w:lang w:val="en-AU" w:eastAsia="en-US"/>
              </w:rPr>
              <w:t>38,130</w:t>
            </w:r>
          </w:p>
        </w:tc>
        <w:tc>
          <w:tcPr>
            <w:tcW w:w="1560" w:type="dxa"/>
            <w:tcBorders>
              <w:top w:val="single" w:sz="4" w:space="0" w:color="auto"/>
              <w:left w:val="nil"/>
              <w:bottom w:val="single" w:sz="4" w:space="0" w:color="auto"/>
              <w:right w:val="nil"/>
            </w:tcBorders>
            <w:shd w:val="clear" w:color="auto" w:fill="FFFFFF"/>
            <w:noWrap/>
            <w:vAlign w:val="bottom"/>
          </w:tcPr>
          <w:p w14:paraId="61362F18"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b/>
                <w:color w:val="000000"/>
                <w:sz w:val="18"/>
                <w:szCs w:val="18"/>
                <w:lang w:val="en-AU" w:eastAsia="en-US"/>
              </w:rPr>
              <w:t>37,486</w:t>
            </w:r>
          </w:p>
        </w:tc>
        <w:tc>
          <w:tcPr>
            <w:tcW w:w="1333" w:type="dxa"/>
            <w:tcBorders>
              <w:top w:val="single" w:sz="4" w:space="0" w:color="auto"/>
              <w:left w:val="nil"/>
              <w:bottom w:val="single" w:sz="4" w:space="0" w:color="auto"/>
              <w:right w:val="nil"/>
            </w:tcBorders>
            <w:shd w:val="clear" w:color="auto" w:fill="FFFFFF"/>
            <w:noWrap/>
            <w:vAlign w:val="bottom"/>
          </w:tcPr>
          <w:p w14:paraId="76B98B2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45,731 </w:t>
            </w:r>
          </w:p>
        </w:tc>
      </w:tr>
      <w:tr w:rsidR="00717BA5" w:rsidRPr="00717BA5" w14:paraId="6D756650" w14:textId="77777777" w:rsidTr="00717BA5">
        <w:trPr>
          <w:trHeight w:val="20"/>
        </w:trPr>
        <w:tc>
          <w:tcPr>
            <w:tcW w:w="5928" w:type="dxa"/>
            <w:tcBorders>
              <w:top w:val="nil"/>
              <w:left w:val="nil"/>
              <w:bottom w:val="nil"/>
              <w:right w:val="nil"/>
            </w:tcBorders>
            <w:shd w:val="clear" w:color="auto" w:fill="FFFFFF"/>
            <w:vAlign w:val="bottom"/>
          </w:tcPr>
          <w:p w14:paraId="446B0307"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128" w:type="dxa"/>
            <w:tcBorders>
              <w:top w:val="nil"/>
              <w:left w:val="nil"/>
              <w:bottom w:val="nil"/>
              <w:right w:val="nil"/>
            </w:tcBorders>
            <w:shd w:val="clear" w:color="auto" w:fill="FFFFFF"/>
            <w:noWrap/>
            <w:vAlign w:val="bottom"/>
          </w:tcPr>
          <w:p w14:paraId="585FEE78"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1560" w:type="dxa"/>
            <w:tcBorders>
              <w:top w:val="nil"/>
              <w:left w:val="nil"/>
              <w:bottom w:val="nil"/>
              <w:right w:val="nil"/>
            </w:tcBorders>
            <w:shd w:val="clear" w:color="auto" w:fill="FFFFFF"/>
            <w:noWrap/>
            <w:vAlign w:val="bottom"/>
          </w:tcPr>
          <w:p w14:paraId="734C6402"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1333" w:type="dxa"/>
            <w:tcBorders>
              <w:top w:val="nil"/>
              <w:left w:val="nil"/>
              <w:bottom w:val="nil"/>
              <w:right w:val="nil"/>
            </w:tcBorders>
            <w:shd w:val="clear" w:color="auto" w:fill="FFFFFF"/>
            <w:noWrap/>
            <w:vAlign w:val="bottom"/>
          </w:tcPr>
          <w:p w14:paraId="54A58894"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1C745383" w14:textId="77777777" w:rsidTr="00717BA5">
        <w:trPr>
          <w:trHeight w:val="20"/>
        </w:trPr>
        <w:tc>
          <w:tcPr>
            <w:tcW w:w="5928" w:type="dxa"/>
            <w:tcBorders>
              <w:top w:val="nil"/>
              <w:left w:val="nil"/>
              <w:bottom w:val="nil"/>
              <w:right w:val="nil"/>
            </w:tcBorders>
            <w:shd w:val="clear" w:color="auto" w:fill="FFFFFF"/>
            <w:vAlign w:val="bottom"/>
          </w:tcPr>
          <w:p w14:paraId="4BE2EF04"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Expenses</w:t>
            </w:r>
          </w:p>
        </w:tc>
        <w:tc>
          <w:tcPr>
            <w:tcW w:w="1128" w:type="dxa"/>
            <w:tcBorders>
              <w:top w:val="nil"/>
              <w:left w:val="nil"/>
              <w:bottom w:val="nil"/>
              <w:right w:val="nil"/>
            </w:tcBorders>
            <w:shd w:val="clear" w:color="auto" w:fill="FFFFFF"/>
            <w:noWrap/>
            <w:vAlign w:val="bottom"/>
          </w:tcPr>
          <w:p w14:paraId="5BF85247"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1560" w:type="dxa"/>
            <w:tcBorders>
              <w:top w:val="nil"/>
              <w:left w:val="nil"/>
              <w:bottom w:val="nil"/>
              <w:right w:val="nil"/>
            </w:tcBorders>
            <w:shd w:val="clear" w:color="auto" w:fill="FFFFFF"/>
            <w:noWrap/>
            <w:vAlign w:val="bottom"/>
          </w:tcPr>
          <w:p w14:paraId="60796839"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1333" w:type="dxa"/>
            <w:tcBorders>
              <w:top w:val="nil"/>
              <w:left w:val="nil"/>
              <w:bottom w:val="nil"/>
              <w:right w:val="nil"/>
            </w:tcBorders>
            <w:shd w:val="clear" w:color="auto" w:fill="FFFFFF"/>
            <w:noWrap/>
            <w:vAlign w:val="bottom"/>
          </w:tcPr>
          <w:p w14:paraId="2CA04B4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7FA0E13E" w14:textId="77777777" w:rsidTr="00717BA5">
        <w:trPr>
          <w:trHeight w:val="20"/>
        </w:trPr>
        <w:tc>
          <w:tcPr>
            <w:tcW w:w="5928" w:type="dxa"/>
            <w:tcBorders>
              <w:top w:val="nil"/>
              <w:left w:val="nil"/>
              <w:bottom w:val="nil"/>
              <w:right w:val="nil"/>
            </w:tcBorders>
            <w:shd w:val="clear" w:color="auto" w:fill="FFFFFF"/>
            <w:vAlign w:val="bottom"/>
          </w:tcPr>
          <w:p w14:paraId="35B479F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Employee Expenses</w:t>
            </w:r>
          </w:p>
        </w:tc>
        <w:tc>
          <w:tcPr>
            <w:tcW w:w="1128" w:type="dxa"/>
            <w:tcBorders>
              <w:top w:val="nil"/>
              <w:left w:val="nil"/>
              <w:bottom w:val="nil"/>
              <w:right w:val="nil"/>
            </w:tcBorders>
            <w:shd w:val="clear" w:color="auto" w:fill="FFFFFF"/>
            <w:vAlign w:val="bottom"/>
          </w:tcPr>
          <w:p w14:paraId="67B7ED7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1,787</w:t>
            </w:r>
          </w:p>
        </w:tc>
        <w:tc>
          <w:tcPr>
            <w:tcW w:w="1560" w:type="dxa"/>
            <w:tcBorders>
              <w:top w:val="nil"/>
              <w:left w:val="nil"/>
              <w:bottom w:val="nil"/>
              <w:right w:val="nil"/>
            </w:tcBorders>
            <w:shd w:val="clear" w:color="auto" w:fill="FFFFFF"/>
            <w:vAlign w:val="bottom"/>
          </w:tcPr>
          <w:p w14:paraId="161DEE49"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SimSun" w:hAnsi="Arial" w:cs="Arial"/>
                <w:color w:val="000000"/>
                <w:sz w:val="18"/>
                <w:szCs w:val="18"/>
                <w:lang w:val="en-AU" w:eastAsia="en-US"/>
              </w:rPr>
              <w:t>2,136</w:t>
            </w:r>
          </w:p>
        </w:tc>
        <w:tc>
          <w:tcPr>
            <w:tcW w:w="1333" w:type="dxa"/>
            <w:tcBorders>
              <w:top w:val="nil"/>
              <w:left w:val="nil"/>
              <w:bottom w:val="nil"/>
              <w:right w:val="nil"/>
            </w:tcBorders>
            <w:shd w:val="clear" w:color="auto" w:fill="FFFFFF"/>
            <w:vAlign w:val="bottom"/>
          </w:tcPr>
          <w:p w14:paraId="154B2A4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1,835 </w:t>
            </w:r>
          </w:p>
        </w:tc>
      </w:tr>
      <w:tr w:rsidR="00717BA5" w:rsidRPr="00717BA5" w14:paraId="55F24425" w14:textId="77777777" w:rsidTr="00717BA5">
        <w:trPr>
          <w:trHeight w:val="20"/>
        </w:trPr>
        <w:tc>
          <w:tcPr>
            <w:tcW w:w="5928" w:type="dxa"/>
            <w:tcBorders>
              <w:top w:val="nil"/>
              <w:left w:val="nil"/>
              <w:bottom w:val="nil"/>
              <w:right w:val="nil"/>
            </w:tcBorders>
            <w:shd w:val="clear" w:color="auto" w:fill="FFFFFF"/>
            <w:vAlign w:val="bottom"/>
          </w:tcPr>
          <w:p w14:paraId="59EDFB5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Supplies and Services</w:t>
            </w:r>
          </w:p>
        </w:tc>
        <w:tc>
          <w:tcPr>
            <w:tcW w:w="1128" w:type="dxa"/>
            <w:tcBorders>
              <w:top w:val="nil"/>
              <w:left w:val="nil"/>
              <w:bottom w:val="nil"/>
              <w:right w:val="nil"/>
            </w:tcBorders>
            <w:shd w:val="clear" w:color="auto" w:fill="FFFFFF"/>
            <w:noWrap/>
            <w:vAlign w:val="bottom"/>
          </w:tcPr>
          <w:p w14:paraId="19D0F1B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880</w:t>
            </w:r>
          </w:p>
        </w:tc>
        <w:tc>
          <w:tcPr>
            <w:tcW w:w="1560" w:type="dxa"/>
            <w:tcBorders>
              <w:top w:val="nil"/>
              <w:left w:val="nil"/>
              <w:bottom w:val="nil"/>
              <w:right w:val="nil"/>
            </w:tcBorders>
            <w:shd w:val="clear" w:color="auto" w:fill="FFFFFF"/>
            <w:noWrap/>
            <w:vAlign w:val="bottom"/>
          </w:tcPr>
          <w:p w14:paraId="7FD66FB1"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795</w:t>
            </w:r>
          </w:p>
        </w:tc>
        <w:tc>
          <w:tcPr>
            <w:tcW w:w="1333" w:type="dxa"/>
            <w:tcBorders>
              <w:top w:val="nil"/>
              <w:left w:val="nil"/>
              <w:bottom w:val="nil"/>
              <w:right w:val="nil"/>
            </w:tcBorders>
            <w:shd w:val="clear" w:color="auto" w:fill="FFFFFF"/>
            <w:noWrap/>
            <w:vAlign w:val="bottom"/>
          </w:tcPr>
          <w:p w14:paraId="6087D48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863 </w:t>
            </w:r>
          </w:p>
        </w:tc>
      </w:tr>
      <w:tr w:rsidR="00717BA5" w:rsidRPr="00717BA5" w14:paraId="52E1CEA1" w14:textId="77777777" w:rsidTr="00717BA5">
        <w:trPr>
          <w:trHeight w:val="20"/>
        </w:trPr>
        <w:tc>
          <w:tcPr>
            <w:tcW w:w="5928" w:type="dxa"/>
            <w:tcBorders>
              <w:top w:val="nil"/>
              <w:left w:val="nil"/>
              <w:bottom w:val="nil"/>
              <w:right w:val="nil"/>
            </w:tcBorders>
            <w:shd w:val="clear" w:color="auto" w:fill="FFFFFF"/>
            <w:vAlign w:val="bottom"/>
          </w:tcPr>
          <w:p w14:paraId="4A2D233F"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Depreciation and Amortisation</w:t>
            </w:r>
          </w:p>
        </w:tc>
        <w:tc>
          <w:tcPr>
            <w:tcW w:w="1128" w:type="dxa"/>
            <w:tcBorders>
              <w:top w:val="nil"/>
              <w:left w:val="nil"/>
              <w:bottom w:val="nil"/>
              <w:right w:val="nil"/>
            </w:tcBorders>
            <w:shd w:val="clear" w:color="auto" w:fill="FFFFFF"/>
            <w:noWrap/>
            <w:vAlign w:val="bottom"/>
          </w:tcPr>
          <w:p w14:paraId="40ADFFA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188</w:t>
            </w:r>
          </w:p>
        </w:tc>
        <w:tc>
          <w:tcPr>
            <w:tcW w:w="1560" w:type="dxa"/>
            <w:tcBorders>
              <w:top w:val="nil"/>
              <w:left w:val="nil"/>
              <w:bottom w:val="nil"/>
              <w:right w:val="nil"/>
            </w:tcBorders>
            <w:shd w:val="clear" w:color="auto" w:fill="FFFFFF"/>
            <w:noWrap/>
            <w:vAlign w:val="bottom"/>
          </w:tcPr>
          <w:p w14:paraId="6E3491DC"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193</w:t>
            </w:r>
          </w:p>
        </w:tc>
        <w:tc>
          <w:tcPr>
            <w:tcW w:w="1333" w:type="dxa"/>
            <w:tcBorders>
              <w:top w:val="nil"/>
              <w:left w:val="nil"/>
              <w:bottom w:val="nil"/>
              <w:right w:val="nil"/>
            </w:tcBorders>
            <w:shd w:val="clear" w:color="auto" w:fill="FFFFFF"/>
            <w:noWrap/>
            <w:vAlign w:val="bottom"/>
          </w:tcPr>
          <w:p w14:paraId="71CCA4F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201 </w:t>
            </w:r>
          </w:p>
        </w:tc>
      </w:tr>
      <w:tr w:rsidR="00717BA5" w:rsidRPr="00717BA5" w14:paraId="3179A249" w14:textId="77777777" w:rsidTr="00717BA5">
        <w:trPr>
          <w:trHeight w:val="20"/>
        </w:trPr>
        <w:tc>
          <w:tcPr>
            <w:tcW w:w="5928" w:type="dxa"/>
            <w:tcBorders>
              <w:top w:val="nil"/>
              <w:left w:val="nil"/>
              <w:bottom w:val="nil"/>
              <w:right w:val="nil"/>
            </w:tcBorders>
            <w:shd w:val="clear" w:color="auto" w:fill="FFFFFF"/>
            <w:vAlign w:val="bottom"/>
          </w:tcPr>
          <w:p w14:paraId="3BC0DF2A"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 Benefits Expense</w:t>
            </w:r>
          </w:p>
        </w:tc>
        <w:tc>
          <w:tcPr>
            <w:tcW w:w="1128" w:type="dxa"/>
            <w:tcBorders>
              <w:top w:val="nil"/>
              <w:left w:val="nil"/>
              <w:bottom w:val="nil"/>
              <w:right w:val="nil"/>
            </w:tcBorders>
            <w:shd w:val="clear" w:color="auto" w:fill="FFFFFF"/>
            <w:noWrap/>
            <w:vAlign w:val="bottom"/>
          </w:tcPr>
          <w:p w14:paraId="713E1E9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17,439</w:t>
            </w:r>
          </w:p>
        </w:tc>
        <w:tc>
          <w:tcPr>
            <w:tcW w:w="1560" w:type="dxa"/>
            <w:tcBorders>
              <w:top w:val="nil"/>
              <w:left w:val="nil"/>
              <w:bottom w:val="nil"/>
              <w:right w:val="nil"/>
            </w:tcBorders>
            <w:noWrap/>
            <w:vAlign w:val="bottom"/>
          </w:tcPr>
          <w:p w14:paraId="7728092D"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28,438</w:t>
            </w:r>
          </w:p>
        </w:tc>
        <w:tc>
          <w:tcPr>
            <w:tcW w:w="1333" w:type="dxa"/>
            <w:tcBorders>
              <w:top w:val="nil"/>
              <w:left w:val="nil"/>
              <w:bottom w:val="nil"/>
              <w:right w:val="nil"/>
            </w:tcBorders>
            <w:shd w:val="clear" w:color="auto" w:fill="FFFFFF"/>
            <w:noWrap/>
            <w:vAlign w:val="bottom"/>
          </w:tcPr>
          <w:p w14:paraId="55F4F57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21,830 </w:t>
            </w:r>
          </w:p>
        </w:tc>
      </w:tr>
      <w:tr w:rsidR="00717BA5" w:rsidRPr="00717BA5" w14:paraId="3D0D16F6" w14:textId="77777777" w:rsidTr="00717BA5">
        <w:trPr>
          <w:trHeight w:val="20"/>
        </w:trPr>
        <w:tc>
          <w:tcPr>
            <w:tcW w:w="5928" w:type="dxa"/>
            <w:tcBorders>
              <w:top w:val="nil"/>
              <w:left w:val="nil"/>
              <w:bottom w:val="nil"/>
              <w:right w:val="nil"/>
            </w:tcBorders>
            <w:shd w:val="clear" w:color="auto" w:fill="FFFFFF"/>
            <w:vAlign w:val="bottom"/>
          </w:tcPr>
          <w:p w14:paraId="22538C02"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Finance Costs</w:t>
            </w:r>
          </w:p>
        </w:tc>
        <w:tc>
          <w:tcPr>
            <w:tcW w:w="1128" w:type="dxa"/>
            <w:tcBorders>
              <w:top w:val="nil"/>
              <w:left w:val="nil"/>
              <w:bottom w:val="nil"/>
              <w:right w:val="nil"/>
            </w:tcBorders>
            <w:shd w:val="clear" w:color="auto" w:fill="FFFFFF"/>
            <w:noWrap/>
            <w:vAlign w:val="bottom"/>
          </w:tcPr>
          <w:p w14:paraId="7A2EF91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13,774</w:t>
            </w:r>
          </w:p>
        </w:tc>
        <w:tc>
          <w:tcPr>
            <w:tcW w:w="1560" w:type="dxa"/>
            <w:tcBorders>
              <w:top w:val="nil"/>
              <w:left w:val="nil"/>
              <w:bottom w:val="nil"/>
              <w:right w:val="nil"/>
            </w:tcBorders>
            <w:noWrap/>
            <w:vAlign w:val="bottom"/>
          </w:tcPr>
          <w:p w14:paraId="771816A4"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9,886</w:t>
            </w:r>
          </w:p>
        </w:tc>
        <w:tc>
          <w:tcPr>
            <w:tcW w:w="1333" w:type="dxa"/>
            <w:tcBorders>
              <w:top w:val="nil"/>
              <w:left w:val="nil"/>
              <w:bottom w:val="nil"/>
              <w:right w:val="nil"/>
            </w:tcBorders>
            <w:shd w:val="clear" w:color="auto" w:fill="FFFFFF"/>
            <w:noWrap/>
            <w:vAlign w:val="bottom"/>
          </w:tcPr>
          <w:p w14:paraId="72297F7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8,391 </w:t>
            </w:r>
          </w:p>
        </w:tc>
      </w:tr>
      <w:tr w:rsidR="00717BA5" w:rsidRPr="00717BA5" w14:paraId="347CB95E" w14:textId="77777777" w:rsidTr="00717BA5">
        <w:trPr>
          <w:trHeight w:val="20"/>
        </w:trPr>
        <w:tc>
          <w:tcPr>
            <w:tcW w:w="5928" w:type="dxa"/>
            <w:tcBorders>
              <w:top w:val="nil"/>
              <w:left w:val="nil"/>
              <w:bottom w:val="nil"/>
              <w:right w:val="nil"/>
            </w:tcBorders>
            <w:shd w:val="clear" w:color="auto" w:fill="FFFFFF"/>
            <w:vAlign w:val="bottom"/>
          </w:tcPr>
          <w:p w14:paraId="3A369D8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Other Expenses</w:t>
            </w:r>
          </w:p>
        </w:tc>
        <w:tc>
          <w:tcPr>
            <w:tcW w:w="1128" w:type="dxa"/>
            <w:tcBorders>
              <w:top w:val="nil"/>
              <w:left w:val="nil"/>
              <w:right w:val="nil"/>
            </w:tcBorders>
            <w:shd w:val="clear" w:color="auto" w:fill="FFFFFF"/>
            <w:noWrap/>
            <w:vAlign w:val="bottom"/>
          </w:tcPr>
          <w:p w14:paraId="5C462CC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295</w:t>
            </w:r>
          </w:p>
        </w:tc>
        <w:tc>
          <w:tcPr>
            <w:tcW w:w="1560" w:type="dxa"/>
            <w:tcBorders>
              <w:top w:val="nil"/>
              <w:left w:val="nil"/>
              <w:right w:val="nil"/>
            </w:tcBorders>
            <w:noWrap/>
            <w:vAlign w:val="bottom"/>
          </w:tcPr>
          <w:p w14:paraId="0B313F0B" w14:textId="77777777" w:rsidR="00717BA5" w:rsidRPr="00717BA5" w:rsidRDefault="00717BA5" w:rsidP="00717BA5">
            <w:pPr>
              <w:spacing w:after="0" w:line="240" w:lineRule="auto"/>
              <w:jc w:val="right"/>
              <w:rPr>
                <w:rFonts w:ascii="Arial" w:eastAsia="SimSun" w:hAnsi="Arial" w:cs="Arial"/>
                <w:color w:val="000000"/>
                <w:sz w:val="18"/>
                <w:szCs w:val="18"/>
                <w:lang w:val="en-AU"/>
              </w:rPr>
            </w:pPr>
            <w:r w:rsidRPr="00717BA5">
              <w:rPr>
                <w:rFonts w:ascii="Arial" w:eastAsia="SimSun" w:hAnsi="Arial" w:cs="Arial"/>
                <w:color w:val="000000"/>
                <w:sz w:val="18"/>
                <w:szCs w:val="18"/>
                <w:lang w:val="en-AU" w:eastAsia="en-US"/>
              </w:rPr>
              <w:t>130</w:t>
            </w:r>
          </w:p>
        </w:tc>
        <w:tc>
          <w:tcPr>
            <w:tcW w:w="1333" w:type="dxa"/>
            <w:tcBorders>
              <w:top w:val="nil"/>
              <w:left w:val="nil"/>
              <w:right w:val="nil"/>
            </w:tcBorders>
            <w:shd w:val="clear" w:color="auto" w:fill="FFFFFF"/>
            <w:noWrap/>
            <w:vAlign w:val="bottom"/>
          </w:tcPr>
          <w:p w14:paraId="7B4C2D8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228 </w:t>
            </w:r>
          </w:p>
        </w:tc>
      </w:tr>
      <w:tr w:rsidR="00717BA5" w:rsidRPr="00717BA5" w14:paraId="57C3B8B1" w14:textId="77777777" w:rsidTr="00717BA5">
        <w:trPr>
          <w:trHeight w:val="20"/>
        </w:trPr>
        <w:tc>
          <w:tcPr>
            <w:tcW w:w="5928" w:type="dxa"/>
            <w:tcBorders>
              <w:top w:val="nil"/>
              <w:left w:val="nil"/>
              <w:right w:val="nil"/>
            </w:tcBorders>
            <w:shd w:val="clear" w:color="auto" w:fill="FFFFFF"/>
            <w:vAlign w:val="bottom"/>
          </w:tcPr>
          <w:p w14:paraId="2FE00CB6"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Expenses</w:t>
            </w:r>
          </w:p>
        </w:tc>
        <w:tc>
          <w:tcPr>
            <w:tcW w:w="1128" w:type="dxa"/>
            <w:tcBorders>
              <w:top w:val="single" w:sz="4" w:space="0" w:color="auto"/>
              <w:left w:val="nil"/>
              <w:bottom w:val="single" w:sz="4" w:space="0" w:color="auto"/>
              <w:right w:val="nil"/>
            </w:tcBorders>
            <w:shd w:val="clear" w:color="auto" w:fill="FFFFFF"/>
            <w:vAlign w:val="bottom"/>
          </w:tcPr>
          <w:p w14:paraId="4154797C"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34,363</w:t>
            </w:r>
          </w:p>
        </w:tc>
        <w:tc>
          <w:tcPr>
            <w:tcW w:w="1560" w:type="dxa"/>
            <w:tcBorders>
              <w:top w:val="single" w:sz="4" w:space="0" w:color="auto"/>
              <w:left w:val="nil"/>
              <w:bottom w:val="single" w:sz="4" w:space="0" w:color="auto"/>
              <w:right w:val="nil"/>
            </w:tcBorders>
            <w:shd w:val="clear" w:color="auto" w:fill="FFFFFF"/>
            <w:vAlign w:val="bottom"/>
          </w:tcPr>
          <w:p w14:paraId="60C55BF1"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b/>
                <w:color w:val="000000"/>
                <w:sz w:val="18"/>
                <w:szCs w:val="18"/>
                <w:lang w:val="en-AU" w:eastAsia="en-US"/>
              </w:rPr>
              <w:t>41,578</w:t>
            </w:r>
          </w:p>
        </w:tc>
        <w:tc>
          <w:tcPr>
            <w:tcW w:w="1333" w:type="dxa"/>
            <w:tcBorders>
              <w:top w:val="single" w:sz="4" w:space="0" w:color="auto"/>
              <w:left w:val="nil"/>
              <w:bottom w:val="single" w:sz="4" w:space="0" w:color="auto"/>
              <w:right w:val="nil"/>
            </w:tcBorders>
            <w:shd w:val="clear" w:color="auto" w:fill="FFFFFF"/>
            <w:vAlign w:val="bottom"/>
          </w:tcPr>
          <w:p w14:paraId="0E651AD9"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color w:val="auto"/>
                <w:sz w:val="18"/>
                <w:szCs w:val="18"/>
                <w:lang w:val="en-AU" w:eastAsia="en-US"/>
              </w:rPr>
              <w:t xml:space="preserve"> </w:t>
            </w:r>
            <w:r w:rsidRPr="00717BA5">
              <w:rPr>
                <w:rFonts w:ascii="Arial" w:eastAsia="Calibri" w:hAnsi="Arial" w:cs="Arial"/>
                <w:b/>
                <w:color w:val="auto"/>
                <w:sz w:val="18"/>
                <w:szCs w:val="18"/>
                <w:lang w:val="en-AU" w:eastAsia="en-US"/>
              </w:rPr>
              <w:t xml:space="preserve">33,348 </w:t>
            </w:r>
          </w:p>
        </w:tc>
      </w:tr>
      <w:tr w:rsidR="00717BA5" w:rsidRPr="00717BA5" w14:paraId="6BF6D240" w14:textId="77777777" w:rsidTr="00717BA5">
        <w:trPr>
          <w:trHeight w:val="20"/>
        </w:trPr>
        <w:tc>
          <w:tcPr>
            <w:tcW w:w="5928" w:type="dxa"/>
            <w:tcBorders>
              <w:top w:val="nil"/>
              <w:left w:val="nil"/>
              <w:bottom w:val="nil"/>
              <w:right w:val="nil"/>
            </w:tcBorders>
            <w:shd w:val="clear" w:color="auto" w:fill="FFFFFF"/>
            <w:vAlign w:val="bottom"/>
          </w:tcPr>
          <w:p w14:paraId="0A91518B"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1128" w:type="dxa"/>
            <w:tcBorders>
              <w:top w:val="nil"/>
              <w:left w:val="nil"/>
              <w:bottom w:val="nil"/>
              <w:right w:val="nil"/>
            </w:tcBorders>
            <w:shd w:val="clear" w:color="auto" w:fill="FFFFFF"/>
            <w:noWrap/>
            <w:vAlign w:val="bottom"/>
          </w:tcPr>
          <w:p w14:paraId="03F202EA"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1560" w:type="dxa"/>
            <w:tcBorders>
              <w:top w:val="nil"/>
              <w:left w:val="nil"/>
              <w:bottom w:val="nil"/>
              <w:right w:val="nil"/>
            </w:tcBorders>
            <w:shd w:val="clear" w:color="auto" w:fill="FFFFFF"/>
            <w:noWrap/>
            <w:vAlign w:val="bottom"/>
          </w:tcPr>
          <w:p w14:paraId="76666E12"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1333" w:type="dxa"/>
            <w:tcBorders>
              <w:top w:val="nil"/>
              <w:left w:val="nil"/>
              <w:bottom w:val="nil"/>
              <w:right w:val="nil"/>
            </w:tcBorders>
            <w:shd w:val="clear" w:color="auto" w:fill="FFFFFF"/>
            <w:noWrap/>
            <w:vAlign w:val="bottom"/>
          </w:tcPr>
          <w:p w14:paraId="5299A90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5240107E" w14:textId="77777777" w:rsidTr="00717BA5">
        <w:trPr>
          <w:trHeight w:val="20"/>
        </w:trPr>
        <w:tc>
          <w:tcPr>
            <w:tcW w:w="5928" w:type="dxa"/>
            <w:tcBorders>
              <w:left w:val="nil"/>
              <w:right w:val="nil"/>
            </w:tcBorders>
            <w:shd w:val="clear" w:color="auto" w:fill="FFFFFF"/>
            <w:vAlign w:val="bottom"/>
          </w:tcPr>
          <w:p w14:paraId="76ECD77C" w14:textId="77777777" w:rsidR="00717BA5" w:rsidRPr="00717BA5" w:rsidRDefault="00717BA5" w:rsidP="00717BA5">
            <w:pPr>
              <w:spacing w:before="60"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Operating Result</w:t>
            </w:r>
          </w:p>
        </w:tc>
        <w:tc>
          <w:tcPr>
            <w:tcW w:w="1128" w:type="dxa"/>
            <w:tcBorders>
              <w:top w:val="single" w:sz="4" w:space="0" w:color="auto"/>
              <w:left w:val="nil"/>
              <w:bottom w:val="single" w:sz="4" w:space="0" w:color="auto"/>
              <w:right w:val="nil"/>
            </w:tcBorders>
            <w:shd w:val="clear" w:color="auto" w:fill="FFFFFF"/>
            <w:vAlign w:val="bottom"/>
          </w:tcPr>
          <w:p w14:paraId="7713A229"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3,767</w:t>
            </w:r>
          </w:p>
        </w:tc>
        <w:tc>
          <w:tcPr>
            <w:tcW w:w="1560" w:type="dxa"/>
            <w:tcBorders>
              <w:top w:val="single" w:sz="4" w:space="0" w:color="auto"/>
              <w:left w:val="nil"/>
              <w:bottom w:val="single" w:sz="4" w:space="0" w:color="auto"/>
              <w:right w:val="nil"/>
            </w:tcBorders>
            <w:shd w:val="clear" w:color="auto" w:fill="FFFFFF"/>
            <w:vAlign w:val="bottom"/>
          </w:tcPr>
          <w:p w14:paraId="4740F14F"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SimSun" w:hAnsi="Arial" w:cs="Arial"/>
                <w:b/>
                <w:color w:val="000000"/>
                <w:sz w:val="18"/>
                <w:szCs w:val="18"/>
                <w:lang w:val="en-AU" w:eastAsia="en-US"/>
              </w:rPr>
              <w:t>(</w:t>
            </w:r>
            <w:r w:rsidRPr="00717BA5">
              <w:rPr>
                <w:rFonts w:ascii="Arial" w:eastAsia="Calibri" w:hAnsi="Arial" w:cs="Arial"/>
                <w:b/>
                <w:color w:val="000000"/>
                <w:sz w:val="18"/>
                <w:szCs w:val="18"/>
                <w:lang w:val="en-AU" w:eastAsia="en-US"/>
              </w:rPr>
              <w:t>4,092)</w:t>
            </w:r>
          </w:p>
        </w:tc>
        <w:tc>
          <w:tcPr>
            <w:tcW w:w="1333" w:type="dxa"/>
            <w:tcBorders>
              <w:top w:val="single" w:sz="4" w:space="0" w:color="auto"/>
              <w:left w:val="nil"/>
              <w:bottom w:val="single" w:sz="4" w:space="0" w:color="auto"/>
              <w:right w:val="nil"/>
            </w:tcBorders>
            <w:shd w:val="clear" w:color="auto" w:fill="FFFFFF"/>
            <w:vAlign w:val="bottom"/>
          </w:tcPr>
          <w:p w14:paraId="21764BA0" w14:textId="77777777" w:rsidR="00717BA5" w:rsidRPr="00717BA5" w:rsidRDefault="00717BA5" w:rsidP="00717BA5">
            <w:pPr>
              <w:spacing w:before="60"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12,383 </w:t>
            </w:r>
          </w:p>
        </w:tc>
      </w:tr>
      <w:tr w:rsidR="00717BA5" w:rsidRPr="00717BA5" w14:paraId="565127A1" w14:textId="77777777" w:rsidTr="00717BA5">
        <w:trPr>
          <w:trHeight w:val="20"/>
        </w:trPr>
        <w:tc>
          <w:tcPr>
            <w:tcW w:w="5928" w:type="dxa"/>
            <w:tcBorders>
              <w:top w:val="nil"/>
              <w:left w:val="nil"/>
              <w:bottom w:val="nil"/>
              <w:right w:val="nil"/>
            </w:tcBorders>
            <w:shd w:val="clear" w:color="auto" w:fill="FFFFFF"/>
            <w:vAlign w:val="bottom"/>
          </w:tcPr>
          <w:p w14:paraId="7EC583AB"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1128" w:type="dxa"/>
            <w:tcBorders>
              <w:top w:val="nil"/>
              <w:left w:val="nil"/>
              <w:bottom w:val="nil"/>
              <w:right w:val="nil"/>
            </w:tcBorders>
            <w:shd w:val="clear" w:color="auto" w:fill="FFFFFF"/>
            <w:vAlign w:val="bottom"/>
          </w:tcPr>
          <w:p w14:paraId="7A59256A"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p>
        </w:tc>
        <w:tc>
          <w:tcPr>
            <w:tcW w:w="1560" w:type="dxa"/>
            <w:tcBorders>
              <w:top w:val="nil"/>
              <w:left w:val="nil"/>
              <w:bottom w:val="nil"/>
              <w:right w:val="nil"/>
            </w:tcBorders>
            <w:shd w:val="clear" w:color="auto" w:fill="FFFFFF"/>
            <w:vAlign w:val="bottom"/>
          </w:tcPr>
          <w:p w14:paraId="48FD3BBC"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1333" w:type="dxa"/>
            <w:tcBorders>
              <w:top w:val="nil"/>
              <w:left w:val="nil"/>
              <w:bottom w:val="nil"/>
              <w:right w:val="nil"/>
            </w:tcBorders>
            <w:shd w:val="clear" w:color="auto" w:fill="FFFFFF"/>
            <w:vAlign w:val="bottom"/>
          </w:tcPr>
          <w:p w14:paraId="35E9684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2F7C4665" w14:textId="77777777" w:rsidTr="00717BA5">
        <w:trPr>
          <w:trHeight w:val="20"/>
        </w:trPr>
        <w:tc>
          <w:tcPr>
            <w:tcW w:w="5928" w:type="dxa"/>
            <w:tcBorders>
              <w:left w:val="nil"/>
              <w:right w:val="nil"/>
            </w:tcBorders>
            <w:shd w:val="clear" w:color="auto" w:fill="FFFFFF"/>
            <w:vAlign w:val="bottom"/>
          </w:tcPr>
          <w:p w14:paraId="026A372A"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Total Comprehensive Result </w:t>
            </w:r>
          </w:p>
        </w:tc>
        <w:tc>
          <w:tcPr>
            <w:tcW w:w="1128" w:type="dxa"/>
            <w:tcBorders>
              <w:top w:val="single" w:sz="4" w:space="0" w:color="auto"/>
              <w:left w:val="nil"/>
              <w:bottom w:val="double" w:sz="4" w:space="0" w:color="auto"/>
              <w:right w:val="nil"/>
            </w:tcBorders>
            <w:shd w:val="clear" w:color="auto" w:fill="FFFFFF"/>
            <w:vAlign w:val="bottom"/>
          </w:tcPr>
          <w:p w14:paraId="3FD2FA69"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3,767</w:t>
            </w:r>
          </w:p>
        </w:tc>
        <w:tc>
          <w:tcPr>
            <w:tcW w:w="1560" w:type="dxa"/>
            <w:tcBorders>
              <w:top w:val="single" w:sz="4" w:space="0" w:color="auto"/>
              <w:left w:val="nil"/>
              <w:bottom w:val="double" w:sz="4" w:space="0" w:color="auto"/>
              <w:right w:val="nil"/>
            </w:tcBorders>
            <w:shd w:val="clear" w:color="auto" w:fill="FFFFFF"/>
            <w:vAlign w:val="bottom"/>
          </w:tcPr>
          <w:p w14:paraId="1BDD51CF"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SimSun" w:hAnsi="Arial" w:cs="Arial"/>
                <w:b/>
                <w:color w:val="000000"/>
                <w:sz w:val="18"/>
                <w:szCs w:val="18"/>
                <w:lang w:val="en-AU" w:eastAsia="en-US"/>
              </w:rPr>
              <w:t>(4,092)</w:t>
            </w:r>
          </w:p>
        </w:tc>
        <w:tc>
          <w:tcPr>
            <w:tcW w:w="1333" w:type="dxa"/>
            <w:tcBorders>
              <w:top w:val="single" w:sz="4" w:space="0" w:color="auto"/>
              <w:left w:val="nil"/>
              <w:bottom w:val="double" w:sz="4" w:space="0" w:color="auto"/>
              <w:right w:val="nil"/>
            </w:tcBorders>
            <w:shd w:val="clear" w:color="auto" w:fill="FFFFFF"/>
            <w:vAlign w:val="bottom"/>
          </w:tcPr>
          <w:p w14:paraId="14983D81"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12,383 </w:t>
            </w:r>
          </w:p>
        </w:tc>
      </w:tr>
    </w:tbl>
    <w:p w14:paraId="4DA563F0"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5CF7C075"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br w:type="page"/>
      </w:r>
    </w:p>
    <w:p w14:paraId="279F3347" w14:textId="77777777" w:rsidR="00717BA5" w:rsidRPr="00717BA5" w:rsidRDefault="00717BA5" w:rsidP="00717BA5">
      <w:pPr>
        <w:keepNext/>
        <w:spacing w:after="0" w:line="240" w:lineRule="auto"/>
        <w:ind w:left="1276" w:hanging="1276"/>
        <w:outlineLvl w:val="1"/>
        <w:rPr>
          <w:rFonts w:ascii="Arial" w:eastAsia="Times New Roman" w:hAnsi="Arial" w:cs="Arial"/>
          <w:b/>
          <w:bCs/>
          <w:color w:val="auto"/>
          <w:sz w:val="24"/>
          <w:szCs w:val="24"/>
          <w:lang w:val="en-AU"/>
        </w:rPr>
      </w:pPr>
    </w:p>
    <w:p w14:paraId="217EFE6A" w14:textId="77777777" w:rsidR="00717BA5" w:rsidRPr="00717BA5" w:rsidRDefault="00717BA5" w:rsidP="00717BA5">
      <w:pPr>
        <w:keepNext/>
        <w:spacing w:after="240" w:line="240" w:lineRule="auto"/>
        <w:ind w:left="1276" w:hanging="1276"/>
        <w:outlineLvl w:val="1"/>
        <w:rPr>
          <w:rFonts w:ascii="Arial" w:eastAsia="Times New Roman" w:hAnsi="Arial" w:cs="Arial"/>
          <w:b/>
          <w:bCs/>
          <w:color w:val="auto"/>
          <w:sz w:val="24"/>
          <w:szCs w:val="24"/>
          <w:lang w:val="en-AU"/>
        </w:rPr>
      </w:pPr>
      <w:bookmarkStart w:id="118" w:name="_Toc240533532"/>
      <w:r w:rsidRPr="00717BA5">
        <w:rPr>
          <w:rFonts w:ascii="Arial" w:eastAsia="Times New Roman" w:hAnsi="Arial" w:cs="Arial"/>
          <w:b/>
          <w:bCs/>
          <w:color w:val="auto"/>
          <w:sz w:val="24"/>
          <w:szCs w:val="24"/>
          <w:lang w:val="en-AU"/>
        </w:rPr>
        <w:t>NOTE 17.   OPERATING STATEMENT AND BALANCE SHEET FOR LONG SERVICE LEAVE SCHEMES - CONTINUED</w:t>
      </w:r>
      <w:bookmarkEnd w:id="118"/>
    </w:p>
    <w:p w14:paraId="1FF2F742" w14:textId="77777777" w:rsidR="00717BA5" w:rsidRPr="00717BA5" w:rsidRDefault="00717BA5" w:rsidP="00717BA5">
      <w:pPr>
        <w:spacing w:before="120" w:after="120" w:line="240" w:lineRule="auto"/>
        <w:jc w:val="center"/>
        <w:rPr>
          <w:rFonts w:ascii="Arial" w:eastAsia="Times New Roman" w:hAnsi="Arial" w:cs="Arial"/>
          <w:b/>
          <w:color w:val="auto"/>
          <w:sz w:val="22"/>
          <w:szCs w:val="22"/>
          <w:lang w:val="en-AU"/>
        </w:rPr>
      </w:pPr>
      <w:r w:rsidRPr="00717BA5">
        <w:rPr>
          <w:rFonts w:ascii="Arial" w:eastAsia="Times New Roman" w:hAnsi="Arial" w:cs="Arial"/>
          <w:b/>
          <w:color w:val="auto"/>
          <w:sz w:val="22"/>
          <w:szCs w:val="22"/>
          <w:lang w:val="en-AU"/>
        </w:rPr>
        <w:t>Building and Construction Industry Scheme – Balance Sheet</w:t>
      </w:r>
    </w:p>
    <w:tbl>
      <w:tblPr>
        <w:tblW w:w="9949" w:type="dxa"/>
        <w:tblLook w:val="04A0" w:firstRow="1" w:lastRow="0" w:firstColumn="1" w:lastColumn="0" w:noHBand="0" w:noVBand="1"/>
      </w:tblPr>
      <w:tblGrid>
        <w:gridCol w:w="5358"/>
        <w:gridCol w:w="1353"/>
        <w:gridCol w:w="1560"/>
        <w:gridCol w:w="1678"/>
      </w:tblGrid>
      <w:tr w:rsidR="00717BA5" w:rsidRPr="00717BA5" w14:paraId="3D6DCF40" w14:textId="77777777" w:rsidTr="00717BA5">
        <w:trPr>
          <w:trHeight w:val="300"/>
        </w:trPr>
        <w:tc>
          <w:tcPr>
            <w:tcW w:w="5358" w:type="dxa"/>
            <w:tcBorders>
              <w:top w:val="nil"/>
              <w:left w:val="nil"/>
              <w:bottom w:val="nil"/>
              <w:right w:val="nil"/>
            </w:tcBorders>
            <w:shd w:val="clear" w:color="auto" w:fill="FFFFFF"/>
            <w:vAlign w:val="bottom"/>
          </w:tcPr>
          <w:p w14:paraId="47047525"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nil"/>
              <w:left w:val="nil"/>
              <w:bottom w:val="nil"/>
              <w:right w:val="nil"/>
            </w:tcBorders>
            <w:shd w:val="clear" w:color="auto" w:fill="FFFFFF"/>
            <w:noWrap/>
            <w:vAlign w:val="bottom"/>
          </w:tcPr>
          <w:p w14:paraId="110EE1F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w:t>
            </w:r>
          </w:p>
        </w:tc>
        <w:tc>
          <w:tcPr>
            <w:tcW w:w="1560" w:type="dxa"/>
            <w:tcBorders>
              <w:top w:val="nil"/>
              <w:left w:val="nil"/>
              <w:bottom w:val="nil"/>
              <w:right w:val="nil"/>
            </w:tcBorders>
            <w:shd w:val="clear" w:color="auto" w:fill="FFFFFF"/>
            <w:vAlign w:val="bottom"/>
          </w:tcPr>
          <w:p w14:paraId="02FE715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Original</w:t>
            </w:r>
          </w:p>
        </w:tc>
        <w:tc>
          <w:tcPr>
            <w:tcW w:w="1678" w:type="dxa"/>
            <w:tcBorders>
              <w:top w:val="nil"/>
              <w:left w:val="nil"/>
              <w:bottom w:val="nil"/>
              <w:right w:val="nil"/>
            </w:tcBorders>
            <w:shd w:val="clear" w:color="auto" w:fill="FFFFFF"/>
            <w:noWrap/>
            <w:vAlign w:val="bottom"/>
          </w:tcPr>
          <w:p w14:paraId="764E85B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76357C15" w14:textId="77777777" w:rsidTr="00717BA5">
        <w:trPr>
          <w:trHeight w:val="300"/>
        </w:trPr>
        <w:tc>
          <w:tcPr>
            <w:tcW w:w="5358" w:type="dxa"/>
            <w:tcBorders>
              <w:top w:val="nil"/>
              <w:left w:val="nil"/>
              <w:bottom w:val="nil"/>
              <w:right w:val="nil"/>
            </w:tcBorders>
            <w:shd w:val="clear" w:color="auto" w:fill="FFFFFF"/>
            <w:vAlign w:val="bottom"/>
          </w:tcPr>
          <w:p w14:paraId="38B49328"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nil"/>
              <w:left w:val="nil"/>
              <w:bottom w:val="nil"/>
              <w:right w:val="nil"/>
            </w:tcBorders>
            <w:shd w:val="clear" w:color="auto" w:fill="FFFFFF"/>
            <w:vAlign w:val="bottom"/>
          </w:tcPr>
          <w:p w14:paraId="027E354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c>
          <w:tcPr>
            <w:tcW w:w="1560" w:type="dxa"/>
            <w:tcBorders>
              <w:top w:val="nil"/>
              <w:left w:val="nil"/>
              <w:bottom w:val="nil"/>
              <w:right w:val="nil"/>
            </w:tcBorders>
            <w:shd w:val="clear" w:color="auto" w:fill="FFFFFF"/>
            <w:vAlign w:val="bottom"/>
          </w:tcPr>
          <w:p w14:paraId="3ECDE2A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Budget</w:t>
            </w:r>
          </w:p>
        </w:tc>
        <w:tc>
          <w:tcPr>
            <w:tcW w:w="1678" w:type="dxa"/>
            <w:tcBorders>
              <w:top w:val="nil"/>
              <w:left w:val="nil"/>
              <w:bottom w:val="nil"/>
              <w:right w:val="nil"/>
            </w:tcBorders>
            <w:shd w:val="clear" w:color="auto" w:fill="FFFFFF"/>
            <w:vAlign w:val="bottom"/>
          </w:tcPr>
          <w:p w14:paraId="7B7C9A3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r>
      <w:tr w:rsidR="00717BA5" w:rsidRPr="00717BA5" w14:paraId="79278ED5" w14:textId="77777777" w:rsidTr="00717BA5">
        <w:trPr>
          <w:trHeight w:val="300"/>
        </w:trPr>
        <w:tc>
          <w:tcPr>
            <w:tcW w:w="5358" w:type="dxa"/>
            <w:tcBorders>
              <w:top w:val="nil"/>
              <w:left w:val="nil"/>
              <w:right w:val="nil"/>
            </w:tcBorders>
            <w:shd w:val="clear" w:color="auto" w:fill="FFFFFF"/>
            <w:vAlign w:val="bottom"/>
          </w:tcPr>
          <w:p w14:paraId="7CE629BC"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nil"/>
              <w:left w:val="nil"/>
              <w:bottom w:val="nil"/>
              <w:right w:val="nil"/>
            </w:tcBorders>
            <w:shd w:val="clear" w:color="auto" w:fill="FFFFFF"/>
            <w:vAlign w:val="bottom"/>
          </w:tcPr>
          <w:p w14:paraId="24DC181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1560" w:type="dxa"/>
            <w:tcBorders>
              <w:top w:val="nil"/>
              <w:left w:val="nil"/>
              <w:bottom w:val="nil"/>
              <w:right w:val="nil"/>
            </w:tcBorders>
            <w:shd w:val="clear" w:color="auto" w:fill="FFFFFF"/>
            <w:vAlign w:val="bottom"/>
          </w:tcPr>
          <w:p w14:paraId="2A9521D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000000"/>
                <w:sz w:val="18"/>
                <w:szCs w:val="18"/>
                <w:lang w:val="en-AU"/>
              </w:rPr>
              <w:t>2026</w:t>
            </w:r>
          </w:p>
        </w:tc>
        <w:tc>
          <w:tcPr>
            <w:tcW w:w="1678" w:type="dxa"/>
            <w:tcBorders>
              <w:top w:val="nil"/>
              <w:left w:val="nil"/>
              <w:bottom w:val="nil"/>
              <w:right w:val="nil"/>
            </w:tcBorders>
            <w:shd w:val="clear" w:color="auto" w:fill="FFFFFF"/>
            <w:vAlign w:val="bottom"/>
          </w:tcPr>
          <w:p w14:paraId="364110A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79FADAF2" w14:textId="77777777" w:rsidTr="00717BA5">
        <w:trPr>
          <w:trHeight w:val="300"/>
        </w:trPr>
        <w:tc>
          <w:tcPr>
            <w:tcW w:w="5358" w:type="dxa"/>
            <w:tcBorders>
              <w:top w:val="nil"/>
              <w:left w:val="nil"/>
              <w:right w:val="nil"/>
            </w:tcBorders>
            <w:shd w:val="clear" w:color="auto" w:fill="FFFFFF"/>
            <w:vAlign w:val="bottom"/>
          </w:tcPr>
          <w:p w14:paraId="7D9F70DE"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Current Assets</w:t>
            </w:r>
          </w:p>
        </w:tc>
        <w:tc>
          <w:tcPr>
            <w:tcW w:w="1353" w:type="dxa"/>
            <w:tcBorders>
              <w:top w:val="nil"/>
              <w:left w:val="nil"/>
              <w:bottom w:val="single" w:sz="4" w:space="0" w:color="auto"/>
              <w:right w:val="nil"/>
            </w:tcBorders>
            <w:shd w:val="clear" w:color="auto" w:fill="FFFFFF"/>
            <w:vAlign w:val="bottom"/>
          </w:tcPr>
          <w:p w14:paraId="68B9FFA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560" w:type="dxa"/>
            <w:tcBorders>
              <w:top w:val="nil"/>
              <w:left w:val="nil"/>
              <w:bottom w:val="single" w:sz="4" w:space="0" w:color="auto"/>
              <w:right w:val="nil"/>
            </w:tcBorders>
            <w:shd w:val="clear" w:color="auto" w:fill="FFFFFF"/>
            <w:vAlign w:val="bottom"/>
          </w:tcPr>
          <w:p w14:paraId="42910E5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678" w:type="dxa"/>
            <w:tcBorders>
              <w:top w:val="nil"/>
              <w:left w:val="nil"/>
              <w:bottom w:val="single" w:sz="4" w:space="0" w:color="auto"/>
              <w:right w:val="nil"/>
            </w:tcBorders>
            <w:shd w:val="clear" w:color="auto" w:fill="FFFFFF"/>
            <w:vAlign w:val="bottom"/>
          </w:tcPr>
          <w:p w14:paraId="51DF2E2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36B0A169" w14:textId="77777777" w:rsidTr="00717BA5">
        <w:trPr>
          <w:trHeight w:val="20"/>
        </w:trPr>
        <w:tc>
          <w:tcPr>
            <w:tcW w:w="5358" w:type="dxa"/>
            <w:tcBorders>
              <w:top w:val="nil"/>
              <w:left w:val="nil"/>
              <w:bottom w:val="nil"/>
              <w:right w:val="nil"/>
            </w:tcBorders>
            <w:shd w:val="clear" w:color="auto" w:fill="FFFFFF"/>
            <w:vAlign w:val="bottom"/>
          </w:tcPr>
          <w:p w14:paraId="27AE6004"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Cash </w:t>
            </w:r>
          </w:p>
        </w:tc>
        <w:tc>
          <w:tcPr>
            <w:tcW w:w="1353" w:type="dxa"/>
            <w:tcBorders>
              <w:top w:val="nil"/>
              <w:left w:val="nil"/>
              <w:bottom w:val="nil"/>
              <w:right w:val="nil"/>
            </w:tcBorders>
            <w:shd w:val="clear" w:color="auto" w:fill="FFFFFF"/>
            <w:noWrap/>
            <w:vAlign w:val="bottom"/>
          </w:tcPr>
          <w:p w14:paraId="67A634B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5,069</w:t>
            </w:r>
          </w:p>
        </w:tc>
        <w:tc>
          <w:tcPr>
            <w:tcW w:w="1560" w:type="dxa"/>
            <w:tcBorders>
              <w:top w:val="nil"/>
              <w:left w:val="nil"/>
              <w:bottom w:val="nil"/>
              <w:right w:val="nil"/>
            </w:tcBorders>
            <w:shd w:val="clear" w:color="auto" w:fill="FFFFFF"/>
            <w:noWrap/>
            <w:vAlign w:val="bottom"/>
          </w:tcPr>
          <w:p w14:paraId="6E416AAE"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6,271</w:t>
            </w:r>
          </w:p>
        </w:tc>
        <w:tc>
          <w:tcPr>
            <w:tcW w:w="1678" w:type="dxa"/>
            <w:tcBorders>
              <w:top w:val="nil"/>
              <w:left w:val="nil"/>
              <w:bottom w:val="nil"/>
              <w:right w:val="nil"/>
            </w:tcBorders>
            <w:shd w:val="clear" w:color="auto" w:fill="FFFFFF"/>
            <w:noWrap/>
            <w:vAlign w:val="bottom"/>
          </w:tcPr>
          <w:p w14:paraId="5EA68E5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3,863 </w:t>
            </w:r>
          </w:p>
        </w:tc>
      </w:tr>
      <w:tr w:rsidR="00717BA5" w:rsidRPr="00717BA5" w14:paraId="725773FB" w14:textId="77777777" w:rsidTr="00717BA5">
        <w:trPr>
          <w:trHeight w:val="20"/>
        </w:trPr>
        <w:tc>
          <w:tcPr>
            <w:tcW w:w="5358" w:type="dxa"/>
            <w:tcBorders>
              <w:top w:val="nil"/>
              <w:left w:val="nil"/>
              <w:bottom w:val="nil"/>
              <w:right w:val="nil"/>
            </w:tcBorders>
            <w:shd w:val="clear" w:color="auto" w:fill="FFFFFF"/>
            <w:vAlign w:val="bottom"/>
          </w:tcPr>
          <w:p w14:paraId="312D1D40"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Investments</w:t>
            </w:r>
          </w:p>
        </w:tc>
        <w:tc>
          <w:tcPr>
            <w:tcW w:w="1353" w:type="dxa"/>
            <w:tcBorders>
              <w:top w:val="nil"/>
              <w:left w:val="nil"/>
              <w:bottom w:val="nil"/>
              <w:right w:val="nil"/>
            </w:tcBorders>
            <w:shd w:val="clear" w:color="auto" w:fill="FFFFFF"/>
            <w:noWrap/>
            <w:vAlign w:val="bottom"/>
          </w:tcPr>
          <w:p w14:paraId="2AC7ED8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216,233</w:t>
            </w:r>
          </w:p>
        </w:tc>
        <w:tc>
          <w:tcPr>
            <w:tcW w:w="1560" w:type="dxa"/>
            <w:tcBorders>
              <w:top w:val="nil"/>
              <w:left w:val="nil"/>
              <w:bottom w:val="nil"/>
              <w:right w:val="nil"/>
            </w:tcBorders>
            <w:shd w:val="clear" w:color="auto" w:fill="FFFFFF"/>
            <w:noWrap/>
            <w:vAlign w:val="bottom"/>
          </w:tcPr>
          <w:p w14:paraId="52EF2BC1"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218,267</w:t>
            </w:r>
          </w:p>
        </w:tc>
        <w:tc>
          <w:tcPr>
            <w:tcW w:w="1678" w:type="dxa"/>
            <w:tcBorders>
              <w:top w:val="nil"/>
              <w:left w:val="nil"/>
              <w:bottom w:val="nil"/>
              <w:right w:val="nil"/>
            </w:tcBorders>
            <w:shd w:val="clear" w:color="auto" w:fill="FFFFFF"/>
            <w:noWrap/>
            <w:vAlign w:val="bottom"/>
          </w:tcPr>
          <w:p w14:paraId="3C6E664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201,778 </w:t>
            </w:r>
          </w:p>
        </w:tc>
      </w:tr>
      <w:tr w:rsidR="00717BA5" w:rsidRPr="00717BA5" w14:paraId="5226F70E" w14:textId="77777777" w:rsidTr="00717BA5">
        <w:trPr>
          <w:trHeight w:val="20"/>
        </w:trPr>
        <w:tc>
          <w:tcPr>
            <w:tcW w:w="5358" w:type="dxa"/>
            <w:tcBorders>
              <w:top w:val="nil"/>
              <w:left w:val="nil"/>
              <w:bottom w:val="nil"/>
              <w:right w:val="nil"/>
            </w:tcBorders>
            <w:shd w:val="clear" w:color="auto" w:fill="FFFFFF"/>
            <w:vAlign w:val="bottom"/>
          </w:tcPr>
          <w:p w14:paraId="2009667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Receivables</w:t>
            </w:r>
          </w:p>
        </w:tc>
        <w:tc>
          <w:tcPr>
            <w:tcW w:w="1353" w:type="dxa"/>
            <w:tcBorders>
              <w:top w:val="nil"/>
              <w:left w:val="nil"/>
              <w:bottom w:val="nil"/>
              <w:right w:val="nil"/>
            </w:tcBorders>
            <w:shd w:val="clear" w:color="auto" w:fill="FFFFFF"/>
            <w:noWrap/>
            <w:vAlign w:val="bottom"/>
          </w:tcPr>
          <w:p w14:paraId="23AD781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9,385</w:t>
            </w:r>
          </w:p>
        </w:tc>
        <w:tc>
          <w:tcPr>
            <w:tcW w:w="1560" w:type="dxa"/>
            <w:tcBorders>
              <w:top w:val="nil"/>
              <w:left w:val="nil"/>
              <w:bottom w:val="nil"/>
              <w:right w:val="nil"/>
            </w:tcBorders>
            <w:shd w:val="clear" w:color="auto" w:fill="FFFFFF"/>
            <w:noWrap/>
            <w:vAlign w:val="bottom"/>
          </w:tcPr>
          <w:p w14:paraId="50E4EA6A"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7,209</w:t>
            </w:r>
          </w:p>
        </w:tc>
        <w:tc>
          <w:tcPr>
            <w:tcW w:w="1678" w:type="dxa"/>
            <w:tcBorders>
              <w:top w:val="nil"/>
              <w:left w:val="nil"/>
              <w:bottom w:val="nil"/>
              <w:right w:val="nil"/>
            </w:tcBorders>
            <w:shd w:val="clear" w:color="auto" w:fill="FFFFFF"/>
            <w:noWrap/>
            <w:vAlign w:val="bottom"/>
          </w:tcPr>
          <w:p w14:paraId="7901B91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8,327 </w:t>
            </w:r>
          </w:p>
        </w:tc>
      </w:tr>
      <w:tr w:rsidR="00717BA5" w:rsidRPr="00717BA5" w14:paraId="10376421" w14:textId="77777777" w:rsidTr="00717BA5">
        <w:trPr>
          <w:trHeight w:val="20"/>
        </w:trPr>
        <w:tc>
          <w:tcPr>
            <w:tcW w:w="5358" w:type="dxa"/>
            <w:tcBorders>
              <w:top w:val="nil"/>
              <w:left w:val="nil"/>
              <w:bottom w:val="nil"/>
              <w:right w:val="nil"/>
            </w:tcBorders>
            <w:shd w:val="clear" w:color="auto" w:fill="FFFFFF"/>
            <w:vAlign w:val="bottom"/>
          </w:tcPr>
          <w:p w14:paraId="3BE0C16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Prepayments</w:t>
            </w:r>
          </w:p>
        </w:tc>
        <w:tc>
          <w:tcPr>
            <w:tcW w:w="1353" w:type="dxa"/>
            <w:tcBorders>
              <w:top w:val="nil"/>
              <w:left w:val="nil"/>
              <w:bottom w:val="single" w:sz="4" w:space="0" w:color="auto"/>
              <w:right w:val="nil"/>
            </w:tcBorders>
            <w:shd w:val="clear" w:color="auto" w:fill="FFFFFF"/>
            <w:noWrap/>
            <w:vAlign w:val="bottom"/>
          </w:tcPr>
          <w:p w14:paraId="38688D2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13</w:t>
            </w:r>
          </w:p>
        </w:tc>
        <w:tc>
          <w:tcPr>
            <w:tcW w:w="1560" w:type="dxa"/>
            <w:tcBorders>
              <w:top w:val="nil"/>
              <w:left w:val="nil"/>
              <w:bottom w:val="single" w:sz="4" w:space="0" w:color="auto"/>
              <w:right w:val="nil"/>
            </w:tcBorders>
            <w:shd w:val="clear" w:color="auto" w:fill="FFFFFF"/>
            <w:noWrap/>
            <w:vAlign w:val="bottom"/>
          </w:tcPr>
          <w:p w14:paraId="1DFBA08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c>
          <w:tcPr>
            <w:tcW w:w="1678" w:type="dxa"/>
            <w:tcBorders>
              <w:top w:val="nil"/>
              <w:left w:val="nil"/>
              <w:bottom w:val="single" w:sz="4" w:space="0" w:color="auto"/>
              <w:right w:val="nil"/>
            </w:tcBorders>
            <w:shd w:val="clear" w:color="auto" w:fill="FFFFFF"/>
            <w:noWrap/>
            <w:vAlign w:val="bottom"/>
          </w:tcPr>
          <w:p w14:paraId="594A3DF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15 </w:t>
            </w:r>
          </w:p>
        </w:tc>
      </w:tr>
      <w:tr w:rsidR="00717BA5" w:rsidRPr="00717BA5" w14:paraId="6D42A501" w14:textId="77777777" w:rsidTr="00717BA5">
        <w:trPr>
          <w:trHeight w:val="20"/>
        </w:trPr>
        <w:tc>
          <w:tcPr>
            <w:tcW w:w="5358" w:type="dxa"/>
            <w:tcBorders>
              <w:left w:val="nil"/>
              <w:right w:val="nil"/>
            </w:tcBorders>
            <w:shd w:val="clear" w:color="auto" w:fill="FFFFFF"/>
            <w:vAlign w:val="bottom"/>
          </w:tcPr>
          <w:p w14:paraId="3808F917"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Current Assets</w:t>
            </w:r>
          </w:p>
        </w:tc>
        <w:tc>
          <w:tcPr>
            <w:tcW w:w="1353" w:type="dxa"/>
            <w:tcBorders>
              <w:top w:val="single" w:sz="4" w:space="0" w:color="auto"/>
              <w:left w:val="nil"/>
              <w:right w:val="nil"/>
            </w:tcBorders>
            <w:shd w:val="clear" w:color="auto" w:fill="FFFFFF"/>
            <w:noWrap/>
            <w:vAlign w:val="bottom"/>
          </w:tcPr>
          <w:p w14:paraId="4B48BC8C"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SimSun" w:hAnsi="Arial" w:cs="Arial"/>
                <w:b/>
                <w:bCs/>
                <w:color w:val="auto"/>
                <w:sz w:val="18"/>
                <w:szCs w:val="18"/>
                <w:lang w:val="en-AU" w:eastAsia="en-US"/>
              </w:rPr>
              <w:t>230,700</w:t>
            </w:r>
          </w:p>
        </w:tc>
        <w:tc>
          <w:tcPr>
            <w:tcW w:w="1560" w:type="dxa"/>
            <w:tcBorders>
              <w:top w:val="single" w:sz="4" w:space="0" w:color="auto"/>
              <w:left w:val="nil"/>
              <w:right w:val="nil"/>
            </w:tcBorders>
            <w:shd w:val="clear" w:color="auto" w:fill="FFFFFF"/>
            <w:noWrap/>
            <w:vAlign w:val="bottom"/>
          </w:tcPr>
          <w:p w14:paraId="407634DB"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b/>
                <w:color w:val="auto"/>
                <w:sz w:val="18"/>
                <w:szCs w:val="18"/>
                <w:lang w:val="en-AU" w:eastAsia="en-US"/>
              </w:rPr>
              <w:t>231,746</w:t>
            </w:r>
          </w:p>
        </w:tc>
        <w:tc>
          <w:tcPr>
            <w:tcW w:w="1678" w:type="dxa"/>
            <w:tcBorders>
              <w:top w:val="single" w:sz="4" w:space="0" w:color="auto"/>
              <w:left w:val="nil"/>
              <w:right w:val="nil"/>
            </w:tcBorders>
            <w:shd w:val="clear" w:color="auto" w:fill="FFFFFF"/>
            <w:noWrap/>
            <w:vAlign w:val="bottom"/>
          </w:tcPr>
          <w:p w14:paraId="11D681E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color w:val="auto"/>
                <w:sz w:val="18"/>
                <w:szCs w:val="18"/>
                <w:lang w:val="en-AU" w:eastAsia="en-US"/>
              </w:rPr>
              <w:t xml:space="preserve"> </w:t>
            </w:r>
            <w:r w:rsidRPr="00717BA5">
              <w:rPr>
                <w:rFonts w:ascii="Arial" w:eastAsia="Calibri" w:hAnsi="Arial" w:cs="Arial"/>
                <w:b/>
                <w:color w:val="auto"/>
                <w:sz w:val="18"/>
                <w:szCs w:val="18"/>
                <w:lang w:val="en-AU" w:eastAsia="en-US"/>
              </w:rPr>
              <w:t>213,983</w:t>
            </w:r>
            <w:r w:rsidRPr="00717BA5">
              <w:rPr>
                <w:rFonts w:ascii="Arial" w:eastAsia="Calibri" w:hAnsi="Arial" w:cs="Arial"/>
                <w:color w:val="auto"/>
                <w:sz w:val="18"/>
                <w:szCs w:val="18"/>
                <w:lang w:val="en-AU" w:eastAsia="en-US"/>
              </w:rPr>
              <w:t xml:space="preserve"> </w:t>
            </w:r>
          </w:p>
        </w:tc>
      </w:tr>
      <w:tr w:rsidR="00717BA5" w:rsidRPr="00717BA5" w14:paraId="7EFD1D9A" w14:textId="77777777" w:rsidTr="00717BA5">
        <w:trPr>
          <w:trHeight w:val="20"/>
        </w:trPr>
        <w:tc>
          <w:tcPr>
            <w:tcW w:w="5358" w:type="dxa"/>
            <w:tcBorders>
              <w:left w:val="nil"/>
              <w:bottom w:val="nil"/>
              <w:right w:val="nil"/>
            </w:tcBorders>
            <w:shd w:val="clear" w:color="auto" w:fill="FFFFFF"/>
            <w:vAlign w:val="bottom"/>
          </w:tcPr>
          <w:p w14:paraId="30C0FDA4"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Non-Current Assets</w:t>
            </w:r>
          </w:p>
        </w:tc>
        <w:tc>
          <w:tcPr>
            <w:tcW w:w="1353" w:type="dxa"/>
            <w:tcBorders>
              <w:left w:val="nil"/>
              <w:bottom w:val="nil"/>
              <w:right w:val="nil"/>
            </w:tcBorders>
            <w:shd w:val="clear" w:color="auto" w:fill="FFFFFF"/>
            <w:vAlign w:val="bottom"/>
          </w:tcPr>
          <w:p w14:paraId="76CF542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60" w:type="dxa"/>
            <w:tcBorders>
              <w:left w:val="nil"/>
              <w:bottom w:val="nil"/>
              <w:right w:val="nil"/>
            </w:tcBorders>
            <w:shd w:val="clear" w:color="auto" w:fill="FFFFFF"/>
            <w:vAlign w:val="bottom"/>
          </w:tcPr>
          <w:p w14:paraId="0ADCDC6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678" w:type="dxa"/>
            <w:tcBorders>
              <w:left w:val="nil"/>
              <w:bottom w:val="nil"/>
              <w:right w:val="nil"/>
            </w:tcBorders>
            <w:shd w:val="clear" w:color="auto" w:fill="FFFFFF"/>
            <w:vAlign w:val="bottom"/>
          </w:tcPr>
          <w:p w14:paraId="5600FD2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3FF6C80F" w14:textId="77777777" w:rsidTr="00717BA5">
        <w:trPr>
          <w:trHeight w:val="20"/>
        </w:trPr>
        <w:tc>
          <w:tcPr>
            <w:tcW w:w="5358" w:type="dxa"/>
            <w:tcBorders>
              <w:top w:val="nil"/>
              <w:left w:val="nil"/>
              <w:bottom w:val="nil"/>
              <w:right w:val="nil"/>
            </w:tcBorders>
            <w:shd w:val="clear" w:color="auto" w:fill="FFFFFF"/>
            <w:vAlign w:val="bottom"/>
          </w:tcPr>
          <w:p w14:paraId="4F65ABFC" w14:textId="77777777" w:rsidR="00717BA5" w:rsidRPr="00717BA5" w:rsidRDefault="00717BA5" w:rsidP="00717BA5">
            <w:pPr>
              <w:spacing w:before="120"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Intangible Assets</w:t>
            </w:r>
          </w:p>
        </w:tc>
        <w:tc>
          <w:tcPr>
            <w:tcW w:w="1353" w:type="dxa"/>
            <w:tcBorders>
              <w:top w:val="nil"/>
              <w:left w:val="nil"/>
              <w:bottom w:val="nil"/>
              <w:right w:val="nil"/>
            </w:tcBorders>
            <w:shd w:val="clear" w:color="auto" w:fill="FFFFFF"/>
            <w:noWrap/>
            <w:vAlign w:val="bottom"/>
          </w:tcPr>
          <w:p w14:paraId="0A83B2F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28</w:t>
            </w:r>
          </w:p>
        </w:tc>
        <w:tc>
          <w:tcPr>
            <w:tcW w:w="1560" w:type="dxa"/>
            <w:tcBorders>
              <w:top w:val="nil"/>
              <w:left w:val="nil"/>
              <w:bottom w:val="nil"/>
              <w:right w:val="nil"/>
            </w:tcBorders>
            <w:shd w:val="clear" w:color="auto" w:fill="FFFFFF"/>
            <w:noWrap/>
            <w:vAlign w:val="bottom"/>
          </w:tcPr>
          <w:p w14:paraId="7974C3E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38</w:t>
            </w:r>
          </w:p>
        </w:tc>
        <w:tc>
          <w:tcPr>
            <w:tcW w:w="1678" w:type="dxa"/>
            <w:tcBorders>
              <w:top w:val="nil"/>
              <w:left w:val="nil"/>
              <w:bottom w:val="nil"/>
              <w:right w:val="nil"/>
            </w:tcBorders>
            <w:shd w:val="clear" w:color="auto" w:fill="FFFFFF"/>
            <w:noWrap/>
            <w:vAlign w:val="bottom"/>
          </w:tcPr>
          <w:p w14:paraId="0F8D6F6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41 </w:t>
            </w:r>
          </w:p>
        </w:tc>
      </w:tr>
      <w:tr w:rsidR="00717BA5" w:rsidRPr="00717BA5" w14:paraId="663658F4" w14:textId="77777777" w:rsidTr="00717BA5">
        <w:trPr>
          <w:trHeight w:val="20"/>
        </w:trPr>
        <w:tc>
          <w:tcPr>
            <w:tcW w:w="5358" w:type="dxa"/>
            <w:tcBorders>
              <w:top w:val="nil"/>
              <w:left w:val="nil"/>
              <w:bottom w:val="nil"/>
              <w:right w:val="nil"/>
            </w:tcBorders>
            <w:shd w:val="clear" w:color="auto" w:fill="FFFFFF"/>
            <w:vAlign w:val="bottom"/>
          </w:tcPr>
          <w:p w14:paraId="7965CFE5"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Property, Plant and Equipment</w:t>
            </w:r>
          </w:p>
        </w:tc>
        <w:tc>
          <w:tcPr>
            <w:tcW w:w="1353" w:type="dxa"/>
            <w:tcBorders>
              <w:top w:val="nil"/>
              <w:left w:val="nil"/>
              <w:bottom w:val="nil"/>
              <w:right w:val="nil"/>
            </w:tcBorders>
            <w:shd w:val="clear" w:color="auto" w:fill="FFFFFF"/>
            <w:noWrap/>
            <w:vAlign w:val="bottom"/>
          </w:tcPr>
          <w:p w14:paraId="51E58C5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1,076</w:t>
            </w:r>
          </w:p>
        </w:tc>
        <w:tc>
          <w:tcPr>
            <w:tcW w:w="1560" w:type="dxa"/>
            <w:tcBorders>
              <w:top w:val="nil"/>
              <w:left w:val="nil"/>
              <w:bottom w:val="single" w:sz="4" w:space="0" w:color="auto"/>
              <w:right w:val="nil"/>
            </w:tcBorders>
            <w:shd w:val="clear" w:color="auto" w:fill="FFFFFF"/>
            <w:noWrap/>
            <w:vAlign w:val="bottom"/>
          </w:tcPr>
          <w:p w14:paraId="6E459ABA"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1,002</w:t>
            </w:r>
          </w:p>
        </w:tc>
        <w:tc>
          <w:tcPr>
            <w:tcW w:w="1678" w:type="dxa"/>
            <w:tcBorders>
              <w:top w:val="nil"/>
              <w:left w:val="nil"/>
              <w:bottom w:val="nil"/>
              <w:right w:val="nil"/>
            </w:tcBorders>
            <w:shd w:val="clear" w:color="auto" w:fill="FFFFFF"/>
            <w:noWrap/>
            <w:vAlign w:val="bottom"/>
          </w:tcPr>
          <w:p w14:paraId="7F4DC97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1,230 </w:t>
            </w:r>
          </w:p>
        </w:tc>
      </w:tr>
      <w:tr w:rsidR="00717BA5" w:rsidRPr="00717BA5" w14:paraId="415CEACE" w14:textId="77777777" w:rsidTr="00717BA5">
        <w:trPr>
          <w:trHeight w:val="20"/>
        </w:trPr>
        <w:tc>
          <w:tcPr>
            <w:tcW w:w="5358" w:type="dxa"/>
            <w:tcBorders>
              <w:left w:val="nil"/>
              <w:right w:val="nil"/>
            </w:tcBorders>
            <w:shd w:val="clear" w:color="auto" w:fill="FFFFFF"/>
            <w:vAlign w:val="bottom"/>
          </w:tcPr>
          <w:p w14:paraId="4DFF858C"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Non-Current Assets</w:t>
            </w:r>
          </w:p>
        </w:tc>
        <w:tc>
          <w:tcPr>
            <w:tcW w:w="1353" w:type="dxa"/>
            <w:tcBorders>
              <w:top w:val="single" w:sz="4" w:space="0" w:color="auto"/>
              <w:left w:val="nil"/>
              <w:right w:val="nil"/>
            </w:tcBorders>
            <w:shd w:val="clear" w:color="auto" w:fill="FFFFFF"/>
            <w:noWrap/>
            <w:vAlign w:val="bottom"/>
          </w:tcPr>
          <w:p w14:paraId="5EB31DD4"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SimSun" w:hAnsi="Arial" w:cs="Arial"/>
                <w:b/>
                <w:bCs/>
                <w:color w:val="auto"/>
                <w:sz w:val="18"/>
                <w:szCs w:val="18"/>
                <w:lang w:val="en-AU" w:eastAsia="en-US"/>
              </w:rPr>
              <w:t>1,104</w:t>
            </w:r>
          </w:p>
        </w:tc>
        <w:tc>
          <w:tcPr>
            <w:tcW w:w="1560" w:type="dxa"/>
            <w:tcBorders>
              <w:top w:val="single" w:sz="4" w:space="0" w:color="auto"/>
              <w:left w:val="nil"/>
              <w:bottom w:val="single" w:sz="4" w:space="0" w:color="auto"/>
              <w:right w:val="nil"/>
            </w:tcBorders>
            <w:noWrap/>
            <w:vAlign w:val="bottom"/>
          </w:tcPr>
          <w:p w14:paraId="188C4348"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b/>
                <w:color w:val="auto"/>
                <w:sz w:val="18"/>
                <w:szCs w:val="18"/>
                <w:lang w:val="en-AU" w:eastAsia="en-US"/>
              </w:rPr>
              <w:t>1,040</w:t>
            </w:r>
          </w:p>
        </w:tc>
        <w:tc>
          <w:tcPr>
            <w:tcW w:w="1678" w:type="dxa"/>
            <w:tcBorders>
              <w:top w:val="single" w:sz="4" w:space="0" w:color="auto"/>
              <w:left w:val="nil"/>
              <w:right w:val="nil"/>
            </w:tcBorders>
            <w:shd w:val="clear" w:color="auto" w:fill="FFFFFF"/>
            <w:noWrap/>
            <w:vAlign w:val="bottom"/>
          </w:tcPr>
          <w:p w14:paraId="57FDDEE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1,271 </w:t>
            </w:r>
          </w:p>
        </w:tc>
      </w:tr>
      <w:tr w:rsidR="00717BA5" w:rsidRPr="00717BA5" w14:paraId="6EA54139" w14:textId="77777777" w:rsidTr="00717BA5">
        <w:trPr>
          <w:trHeight w:val="20"/>
        </w:trPr>
        <w:tc>
          <w:tcPr>
            <w:tcW w:w="5358" w:type="dxa"/>
            <w:tcBorders>
              <w:left w:val="nil"/>
              <w:right w:val="nil"/>
            </w:tcBorders>
            <w:shd w:val="clear" w:color="auto" w:fill="FFFFFF"/>
            <w:vAlign w:val="bottom"/>
          </w:tcPr>
          <w:p w14:paraId="24A8C518"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Assets</w:t>
            </w:r>
          </w:p>
        </w:tc>
        <w:tc>
          <w:tcPr>
            <w:tcW w:w="1353" w:type="dxa"/>
            <w:tcBorders>
              <w:top w:val="single" w:sz="4" w:space="0" w:color="auto"/>
              <w:left w:val="nil"/>
              <w:bottom w:val="single" w:sz="4" w:space="0" w:color="auto"/>
              <w:right w:val="nil"/>
            </w:tcBorders>
            <w:shd w:val="clear" w:color="auto" w:fill="FFFFFF"/>
            <w:noWrap/>
            <w:vAlign w:val="bottom"/>
          </w:tcPr>
          <w:p w14:paraId="799DDE8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231,804</w:t>
            </w:r>
          </w:p>
        </w:tc>
        <w:tc>
          <w:tcPr>
            <w:tcW w:w="1560" w:type="dxa"/>
            <w:tcBorders>
              <w:top w:val="single" w:sz="4" w:space="0" w:color="auto"/>
              <w:left w:val="nil"/>
              <w:bottom w:val="single" w:sz="4" w:space="0" w:color="auto"/>
              <w:right w:val="nil"/>
            </w:tcBorders>
            <w:noWrap/>
            <w:vAlign w:val="bottom"/>
          </w:tcPr>
          <w:p w14:paraId="386F5682"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b/>
                <w:color w:val="auto"/>
                <w:sz w:val="18"/>
                <w:szCs w:val="18"/>
                <w:lang w:val="en-AU" w:eastAsia="en-US"/>
              </w:rPr>
              <w:t>232,786</w:t>
            </w:r>
          </w:p>
        </w:tc>
        <w:tc>
          <w:tcPr>
            <w:tcW w:w="1678" w:type="dxa"/>
            <w:tcBorders>
              <w:top w:val="single" w:sz="4" w:space="0" w:color="auto"/>
              <w:left w:val="nil"/>
              <w:bottom w:val="single" w:sz="4" w:space="0" w:color="auto"/>
              <w:right w:val="nil"/>
            </w:tcBorders>
            <w:shd w:val="clear" w:color="auto" w:fill="FFFFFF"/>
            <w:noWrap/>
            <w:vAlign w:val="bottom"/>
          </w:tcPr>
          <w:p w14:paraId="2256952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215,253 </w:t>
            </w:r>
          </w:p>
        </w:tc>
      </w:tr>
      <w:tr w:rsidR="00717BA5" w:rsidRPr="00717BA5" w14:paraId="4B2B896F" w14:textId="77777777" w:rsidTr="00717BA5">
        <w:trPr>
          <w:trHeight w:val="20"/>
        </w:trPr>
        <w:tc>
          <w:tcPr>
            <w:tcW w:w="5358" w:type="dxa"/>
            <w:tcBorders>
              <w:top w:val="nil"/>
              <w:left w:val="nil"/>
              <w:bottom w:val="nil"/>
              <w:right w:val="nil"/>
            </w:tcBorders>
            <w:shd w:val="clear" w:color="auto" w:fill="FFFFFF"/>
            <w:vAlign w:val="bottom"/>
          </w:tcPr>
          <w:p w14:paraId="54C42729"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1353" w:type="dxa"/>
            <w:tcBorders>
              <w:top w:val="nil"/>
              <w:left w:val="nil"/>
              <w:bottom w:val="nil"/>
              <w:right w:val="nil"/>
            </w:tcBorders>
            <w:shd w:val="clear" w:color="auto" w:fill="FFFFFF"/>
            <w:vAlign w:val="bottom"/>
          </w:tcPr>
          <w:p w14:paraId="041F28B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60" w:type="dxa"/>
            <w:tcBorders>
              <w:top w:val="single" w:sz="4" w:space="0" w:color="auto"/>
              <w:left w:val="nil"/>
              <w:bottom w:val="nil"/>
              <w:right w:val="nil"/>
            </w:tcBorders>
            <w:shd w:val="clear" w:color="auto" w:fill="FFFFFF"/>
            <w:vAlign w:val="bottom"/>
          </w:tcPr>
          <w:p w14:paraId="3A68A4C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678" w:type="dxa"/>
            <w:tcBorders>
              <w:top w:val="nil"/>
              <w:left w:val="nil"/>
              <w:bottom w:val="nil"/>
              <w:right w:val="nil"/>
            </w:tcBorders>
            <w:shd w:val="clear" w:color="auto" w:fill="FFFFFF"/>
            <w:vAlign w:val="bottom"/>
          </w:tcPr>
          <w:p w14:paraId="5B86530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222127D" w14:textId="77777777" w:rsidTr="00717BA5">
        <w:trPr>
          <w:trHeight w:val="20"/>
        </w:trPr>
        <w:tc>
          <w:tcPr>
            <w:tcW w:w="5358" w:type="dxa"/>
            <w:tcBorders>
              <w:top w:val="nil"/>
              <w:left w:val="nil"/>
              <w:bottom w:val="nil"/>
              <w:right w:val="nil"/>
            </w:tcBorders>
            <w:shd w:val="clear" w:color="auto" w:fill="FFFFFF"/>
            <w:vAlign w:val="bottom"/>
          </w:tcPr>
          <w:p w14:paraId="60443E04"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Current Liabilities</w:t>
            </w:r>
          </w:p>
        </w:tc>
        <w:tc>
          <w:tcPr>
            <w:tcW w:w="1353" w:type="dxa"/>
            <w:tcBorders>
              <w:top w:val="nil"/>
              <w:left w:val="nil"/>
              <w:bottom w:val="nil"/>
              <w:right w:val="nil"/>
            </w:tcBorders>
            <w:shd w:val="clear" w:color="auto" w:fill="FFFFFF"/>
            <w:vAlign w:val="bottom"/>
          </w:tcPr>
          <w:p w14:paraId="350BFF5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60" w:type="dxa"/>
            <w:tcBorders>
              <w:top w:val="nil"/>
              <w:left w:val="nil"/>
              <w:bottom w:val="nil"/>
              <w:right w:val="nil"/>
            </w:tcBorders>
            <w:shd w:val="clear" w:color="auto" w:fill="FFFFFF"/>
            <w:vAlign w:val="bottom"/>
          </w:tcPr>
          <w:p w14:paraId="2850597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678" w:type="dxa"/>
            <w:tcBorders>
              <w:top w:val="nil"/>
              <w:left w:val="nil"/>
              <w:bottom w:val="nil"/>
              <w:right w:val="nil"/>
            </w:tcBorders>
            <w:shd w:val="clear" w:color="auto" w:fill="FFFFFF"/>
            <w:vAlign w:val="bottom"/>
          </w:tcPr>
          <w:p w14:paraId="2D8428E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A618A37" w14:textId="77777777" w:rsidTr="00717BA5">
        <w:trPr>
          <w:trHeight w:val="20"/>
        </w:trPr>
        <w:tc>
          <w:tcPr>
            <w:tcW w:w="5358" w:type="dxa"/>
            <w:tcBorders>
              <w:top w:val="nil"/>
              <w:left w:val="nil"/>
              <w:bottom w:val="nil"/>
              <w:right w:val="nil"/>
            </w:tcBorders>
            <w:shd w:val="clear" w:color="auto" w:fill="FFFFFF"/>
            <w:vAlign w:val="bottom"/>
          </w:tcPr>
          <w:p w14:paraId="302C26D1"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1353" w:type="dxa"/>
            <w:tcBorders>
              <w:top w:val="nil"/>
              <w:left w:val="nil"/>
              <w:bottom w:val="nil"/>
              <w:right w:val="nil"/>
            </w:tcBorders>
            <w:shd w:val="clear" w:color="auto" w:fill="FFFFFF"/>
            <w:vAlign w:val="bottom"/>
          </w:tcPr>
          <w:p w14:paraId="28D9FED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60" w:type="dxa"/>
            <w:tcBorders>
              <w:top w:val="nil"/>
              <w:left w:val="nil"/>
              <w:bottom w:val="nil"/>
              <w:right w:val="nil"/>
            </w:tcBorders>
            <w:shd w:val="clear" w:color="auto" w:fill="FFFFFF"/>
            <w:vAlign w:val="bottom"/>
          </w:tcPr>
          <w:p w14:paraId="4E131D1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678" w:type="dxa"/>
            <w:tcBorders>
              <w:top w:val="nil"/>
              <w:left w:val="nil"/>
              <w:bottom w:val="nil"/>
              <w:right w:val="nil"/>
            </w:tcBorders>
            <w:shd w:val="clear" w:color="auto" w:fill="FFFFFF"/>
            <w:vAlign w:val="bottom"/>
          </w:tcPr>
          <w:p w14:paraId="4E4F7C5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703C16B9" w14:textId="77777777" w:rsidTr="00717BA5">
        <w:trPr>
          <w:trHeight w:val="20"/>
        </w:trPr>
        <w:tc>
          <w:tcPr>
            <w:tcW w:w="5358" w:type="dxa"/>
            <w:tcBorders>
              <w:top w:val="nil"/>
              <w:left w:val="nil"/>
              <w:bottom w:val="nil"/>
              <w:right w:val="nil"/>
            </w:tcBorders>
            <w:shd w:val="clear" w:color="auto" w:fill="FFFFFF"/>
            <w:vAlign w:val="bottom"/>
          </w:tcPr>
          <w:p w14:paraId="6B0048CE"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Payables</w:t>
            </w:r>
          </w:p>
        </w:tc>
        <w:tc>
          <w:tcPr>
            <w:tcW w:w="1353" w:type="dxa"/>
            <w:tcBorders>
              <w:top w:val="nil"/>
              <w:left w:val="nil"/>
              <w:bottom w:val="nil"/>
              <w:right w:val="nil"/>
            </w:tcBorders>
            <w:shd w:val="clear" w:color="auto" w:fill="FFFFFF"/>
            <w:noWrap/>
            <w:vAlign w:val="bottom"/>
          </w:tcPr>
          <w:p w14:paraId="04F5E51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1,790</w:t>
            </w:r>
          </w:p>
        </w:tc>
        <w:tc>
          <w:tcPr>
            <w:tcW w:w="1560" w:type="dxa"/>
            <w:tcBorders>
              <w:top w:val="nil"/>
              <w:left w:val="nil"/>
              <w:bottom w:val="nil"/>
              <w:right w:val="nil"/>
            </w:tcBorders>
            <w:noWrap/>
            <w:vAlign w:val="bottom"/>
          </w:tcPr>
          <w:p w14:paraId="6862B709"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1,070</w:t>
            </w:r>
          </w:p>
        </w:tc>
        <w:tc>
          <w:tcPr>
            <w:tcW w:w="1678" w:type="dxa"/>
            <w:tcBorders>
              <w:top w:val="nil"/>
              <w:left w:val="nil"/>
              <w:bottom w:val="nil"/>
              <w:right w:val="nil"/>
            </w:tcBorders>
            <w:shd w:val="clear" w:color="auto" w:fill="FFFFFF"/>
            <w:noWrap/>
            <w:vAlign w:val="bottom"/>
          </w:tcPr>
          <w:p w14:paraId="2E14D4F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1,208 </w:t>
            </w:r>
          </w:p>
        </w:tc>
      </w:tr>
      <w:tr w:rsidR="00717BA5" w:rsidRPr="00717BA5" w14:paraId="44EC5938" w14:textId="77777777" w:rsidTr="00717BA5">
        <w:trPr>
          <w:trHeight w:val="20"/>
        </w:trPr>
        <w:tc>
          <w:tcPr>
            <w:tcW w:w="5358" w:type="dxa"/>
            <w:tcBorders>
              <w:top w:val="nil"/>
              <w:left w:val="nil"/>
              <w:bottom w:val="nil"/>
              <w:right w:val="nil"/>
            </w:tcBorders>
            <w:shd w:val="clear" w:color="auto" w:fill="FFFFFF"/>
            <w:vAlign w:val="bottom"/>
          </w:tcPr>
          <w:p w14:paraId="4C409A1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Lease Liabilities</w:t>
            </w:r>
          </w:p>
        </w:tc>
        <w:tc>
          <w:tcPr>
            <w:tcW w:w="1353" w:type="dxa"/>
            <w:tcBorders>
              <w:top w:val="nil"/>
              <w:left w:val="nil"/>
              <w:bottom w:val="nil"/>
              <w:right w:val="nil"/>
            </w:tcBorders>
            <w:shd w:val="clear" w:color="auto" w:fill="FFFFFF"/>
            <w:noWrap/>
            <w:vAlign w:val="bottom"/>
          </w:tcPr>
          <w:p w14:paraId="65651B6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150</w:t>
            </w:r>
          </w:p>
        </w:tc>
        <w:tc>
          <w:tcPr>
            <w:tcW w:w="1560" w:type="dxa"/>
            <w:tcBorders>
              <w:top w:val="nil"/>
              <w:left w:val="nil"/>
              <w:bottom w:val="nil"/>
              <w:right w:val="nil"/>
            </w:tcBorders>
            <w:noWrap/>
            <w:vAlign w:val="bottom"/>
          </w:tcPr>
          <w:p w14:paraId="72D85810"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147</w:t>
            </w:r>
          </w:p>
        </w:tc>
        <w:tc>
          <w:tcPr>
            <w:tcW w:w="1678" w:type="dxa"/>
            <w:tcBorders>
              <w:top w:val="nil"/>
              <w:left w:val="nil"/>
              <w:bottom w:val="nil"/>
              <w:right w:val="nil"/>
            </w:tcBorders>
            <w:shd w:val="clear" w:color="auto" w:fill="FFFFFF"/>
            <w:noWrap/>
            <w:vAlign w:val="bottom"/>
          </w:tcPr>
          <w:p w14:paraId="70B7595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146 </w:t>
            </w:r>
          </w:p>
        </w:tc>
      </w:tr>
      <w:tr w:rsidR="00717BA5" w:rsidRPr="00717BA5" w14:paraId="32330756" w14:textId="77777777" w:rsidTr="00717BA5">
        <w:trPr>
          <w:trHeight w:val="20"/>
        </w:trPr>
        <w:tc>
          <w:tcPr>
            <w:tcW w:w="5358" w:type="dxa"/>
            <w:tcBorders>
              <w:top w:val="nil"/>
              <w:left w:val="nil"/>
              <w:bottom w:val="nil"/>
              <w:right w:val="nil"/>
            </w:tcBorders>
            <w:shd w:val="clear" w:color="auto" w:fill="FFFFFF"/>
            <w:vAlign w:val="bottom"/>
          </w:tcPr>
          <w:p w14:paraId="3A278CB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Provision for Long Service Leave Benefits</w:t>
            </w:r>
          </w:p>
        </w:tc>
        <w:tc>
          <w:tcPr>
            <w:tcW w:w="1353" w:type="dxa"/>
            <w:tcBorders>
              <w:top w:val="nil"/>
              <w:left w:val="nil"/>
              <w:bottom w:val="nil"/>
              <w:right w:val="nil"/>
            </w:tcBorders>
            <w:shd w:val="clear" w:color="auto" w:fill="FFFFFF"/>
            <w:noWrap/>
            <w:vAlign w:val="bottom"/>
          </w:tcPr>
          <w:p w14:paraId="1A4F0ED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60" w:type="dxa"/>
            <w:tcBorders>
              <w:top w:val="nil"/>
              <w:left w:val="nil"/>
              <w:bottom w:val="nil"/>
              <w:right w:val="nil"/>
            </w:tcBorders>
            <w:shd w:val="clear" w:color="auto" w:fill="FFFFFF"/>
            <w:noWrap/>
            <w:vAlign w:val="bottom"/>
          </w:tcPr>
          <w:p w14:paraId="65FA3D2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678" w:type="dxa"/>
            <w:tcBorders>
              <w:top w:val="nil"/>
              <w:left w:val="nil"/>
              <w:bottom w:val="nil"/>
              <w:right w:val="nil"/>
            </w:tcBorders>
            <w:shd w:val="clear" w:color="auto" w:fill="FFFFFF"/>
            <w:noWrap/>
            <w:vAlign w:val="bottom"/>
          </w:tcPr>
          <w:p w14:paraId="4C09E21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344369BE" w14:textId="77777777" w:rsidTr="00717BA5">
        <w:trPr>
          <w:trHeight w:val="20"/>
        </w:trPr>
        <w:tc>
          <w:tcPr>
            <w:tcW w:w="5358" w:type="dxa"/>
            <w:tcBorders>
              <w:top w:val="nil"/>
              <w:left w:val="nil"/>
              <w:bottom w:val="nil"/>
              <w:right w:val="nil"/>
            </w:tcBorders>
            <w:shd w:val="clear" w:color="auto" w:fill="FFFFFF"/>
            <w:vAlign w:val="bottom"/>
          </w:tcPr>
          <w:p w14:paraId="6AAD418F"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Expected to be Settled Within 12 months</w:t>
            </w:r>
          </w:p>
        </w:tc>
        <w:tc>
          <w:tcPr>
            <w:tcW w:w="1353" w:type="dxa"/>
            <w:tcBorders>
              <w:top w:val="nil"/>
              <w:left w:val="nil"/>
              <w:bottom w:val="nil"/>
              <w:right w:val="nil"/>
            </w:tcBorders>
            <w:shd w:val="clear" w:color="auto" w:fill="FFFFFF"/>
            <w:noWrap/>
            <w:vAlign w:val="bottom"/>
          </w:tcPr>
          <w:p w14:paraId="13B90A8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17,280</w:t>
            </w:r>
          </w:p>
        </w:tc>
        <w:tc>
          <w:tcPr>
            <w:tcW w:w="1560" w:type="dxa"/>
            <w:tcBorders>
              <w:top w:val="nil"/>
              <w:left w:val="nil"/>
              <w:bottom w:val="nil"/>
              <w:right w:val="nil"/>
            </w:tcBorders>
            <w:shd w:val="clear" w:color="auto" w:fill="FFFFFF"/>
            <w:noWrap/>
            <w:vAlign w:val="bottom"/>
          </w:tcPr>
          <w:p w14:paraId="3CD6A9E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16,489</w:t>
            </w:r>
          </w:p>
        </w:tc>
        <w:tc>
          <w:tcPr>
            <w:tcW w:w="1678" w:type="dxa"/>
            <w:tcBorders>
              <w:top w:val="nil"/>
              <w:left w:val="nil"/>
              <w:bottom w:val="nil"/>
              <w:right w:val="nil"/>
            </w:tcBorders>
            <w:shd w:val="clear" w:color="auto" w:fill="FFFFFF"/>
            <w:noWrap/>
            <w:vAlign w:val="bottom"/>
          </w:tcPr>
          <w:p w14:paraId="123FCA5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14,718 </w:t>
            </w:r>
          </w:p>
        </w:tc>
      </w:tr>
      <w:tr w:rsidR="00717BA5" w:rsidRPr="00717BA5" w14:paraId="4D7B8192" w14:textId="77777777" w:rsidTr="00717BA5">
        <w:trPr>
          <w:trHeight w:val="20"/>
        </w:trPr>
        <w:tc>
          <w:tcPr>
            <w:tcW w:w="5358" w:type="dxa"/>
            <w:tcBorders>
              <w:top w:val="nil"/>
              <w:left w:val="nil"/>
              <w:bottom w:val="nil"/>
              <w:right w:val="nil"/>
            </w:tcBorders>
            <w:shd w:val="clear" w:color="auto" w:fill="FFFFFF"/>
            <w:vAlign w:val="bottom"/>
          </w:tcPr>
          <w:p w14:paraId="193C5F97"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Expected to be Settled After 12 months</w:t>
            </w:r>
          </w:p>
        </w:tc>
        <w:tc>
          <w:tcPr>
            <w:tcW w:w="1353" w:type="dxa"/>
            <w:tcBorders>
              <w:top w:val="nil"/>
              <w:left w:val="nil"/>
              <w:bottom w:val="nil"/>
              <w:right w:val="nil"/>
            </w:tcBorders>
            <w:shd w:val="clear" w:color="auto" w:fill="FFFFFF"/>
            <w:noWrap/>
            <w:vAlign w:val="bottom"/>
          </w:tcPr>
          <w:p w14:paraId="3C2BD4D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136,684</w:t>
            </w:r>
          </w:p>
        </w:tc>
        <w:tc>
          <w:tcPr>
            <w:tcW w:w="1560" w:type="dxa"/>
            <w:tcBorders>
              <w:top w:val="nil"/>
              <w:left w:val="nil"/>
              <w:bottom w:val="nil"/>
              <w:right w:val="nil"/>
            </w:tcBorders>
            <w:shd w:val="clear" w:color="auto" w:fill="FFFFFF"/>
            <w:noWrap/>
            <w:vAlign w:val="bottom"/>
          </w:tcPr>
          <w:p w14:paraId="7891CDD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145,110</w:t>
            </w:r>
          </w:p>
        </w:tc>
        <w:tc>
          <w:tcPr>
            <w:tcW w:w="1678" w:type="dxa"/>
            <w:tcBorders>
              <w:top w:val="nil"/>
              <w:left w:val="nil"/>
              <w:bottom w:val="nil"/>
              <w:right w:val="nil"/>
            </w:tcBorders>
            <w:shd w:val="clear" w:color="auto" w:fill="FFFFFF"/>
            <w:noWrap/>
            <w:vAlign w:val="bottom"/>
          </w:tcPr>
          <w:p w14:paraId="0C91B93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128,530 </w:t>
            </w:r>
          </w:p>
        </w:tc>
      </w:tr>
      <w:tr w:rsidR="00717BA5" w:rsidRPr="00717BA5" w14:paraId="46E0498E" w14:textId="77777777" w:rsidTr="00717BA5">
        <w:trPr>
          <w:trHeight w:val="20"/>
        </w:trPr>
        <w:tc>
          <w:tcPr>
            <w:tcW w:w="5358" w:type="dxa"/>
            <w:tcBorders>
              <w:top w:val="nil"/>
              <w:left w:val="nil"/>
              <w:right w:val="nil"/>
            </w:tcBorders>
            <w:shd w:val="clear" w:color="auto" w:fill="FFFFFF"/>
            <w:vAlign w:val="bottom"/>
          </w:tcPr>
          <w:p w14:paraId="16268AEB"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Employee Benefits</w:t>
            </w:r>
          </w:p>
        </w:tc>
        <w:tc>
          <w:tcPr>
            <w:tcW w:w="1353" w:type="dxa"/>
            <w:tcBorders>
              <w:top w:val="nil"/>
              <w:left w:val="nil"/>
              <w:bottom w:val="single" w:sz="4" w:space="0" w:color="auto"/>
              <w:right w:val="nil"/>
            </w:tcBorders>
            <w:shd w:val="clear" w:color="auto" w:fill="FFFFFF"/>
            <w:noWrap/>
            <w:vAlign w:val="bottom"/>
          </w:tcPr>
          <w:p w14:paraId="5FAC1AC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610</w:t>
            </w:r>
          </w:p>
        </w:tc>
        <w:tc>
          <w:tcPr>
            <w:tcW w:w="1560" w:type="dxa"/>
            <w:tcBorders>
              <w:top w:val="nil"/>
              <w:left w:val="nil"/>
              <w:bottom w:val="single" w:sz="4" w:space="0" w:color="auto"/>
              <w:right w:val="nil"/>
            </w:tcBorders>
            <w:shd w:val="clear" w:color="auto" w:fill="FFFFFF"/>
            <w:noWrap/>
            <w:vAlign w:val="bottom"/>
          </w:tcPr>
          <w:p w14:paraId="688C5A72"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735</w:t>
            </w:r>
          </w:p>
        </w:tc>
        <w:tc>
          <w:tcPr>
            <w:tcW w:w="1678" w:type="dxa"/>
            <w:tcBorders>
              <w:top w:val="nil"/>
              <w:left w:val="nil"/>
              <w:bottom w:val="single" w:sz="4" w:space="0" w:color="auto"/>
              <w:right w:val="nil"/>
            </w:tcBorders>
            <w:shd w:val="clear" w:color="auto" w:fill="FFFFFF"/>
            <w:noWrap/>
            <w:vAlign w:val="bottom"/>
          </w:tcPr>
          <w:p w14:paraId="6B76C7E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659 </w:t>
            </w:r>
          </w:p>
        </w:tc>
      </w:tr>
      <w:tr w:rsidR="00717BA5" w:rsidRPr="00717BA5" w14:paraId="43479608" w14:textId="77777777" w:rsidTr="00717BA5">
        <w:trPr>
          <w:trHeight w:val="20"/>
        </w:trPr>
        <w:tc>
          <w:tcPr>
            <w:tcW w:w="5358" w:type="dxa"/>
            <w:tcBorders>
              <w:left w:val="nil"/>
              <w:right w:val="nil"/>
            </w:tcBorders>
            <w:shd w:val="clear" w:color="auto" w:fill="FFFFFF"/>
            <w:vAlign w:val="bottom"/>
          </w:tcPr>
          <w:p w14:paraId="257295A5"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Current Liabilities</w:t>
            </w:r>
          </w:p>
        </w:tc>
        <w:tc>
          <w:tcPr>
            <w:tcW w:w="1353" w:type="dxa"/>
            <w:tcBorders>
              <w:top w:val="single" w:sz="4" w:space="0" w:color="auto"/>
              <w:left w:val="nil"/>
              <w:right w:val="nil"/>
            </w:tcBorders>
            <w:shd w:val="clear" w:color="auto" w:fill="FFFFFF"/>
            <w:noWrap/>
            <w:vAlign w:val="bottom"/>
          </w:tcPr>
          <w:p w14:paraId="37E3923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156,514</w:t>
            </w:r>
          </w:p>
        </w:tc>
        <w:tc>
          <w:tcPr>
            <w:tcW w:w="1560" w:type="dxa"/>
            <w:tcBorders>
              <w:top w:val="single" w:sz="4" w:space="0" w:color="auto"/>
              <w:left w:val="nil"/>
              <w:right w:val="nil"/>
            </w:tcBorders>
            <w:shd w:val="clear" w:color="auto" w:fill="FFFFFF"/>
            <w:noWrap/>
            <w:vAlign w:val="bottom"/>
          </w:tcPr>
          <w:p w14:paraId="306E09F3"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163,551</w:t>
            </w:r>
          </w:p>
        </w:tc>
        <w:tc>
          <w:tcPr>
            <w:tcW w:w="1678" w:type="dxa"/>
            <w:tcBorders>
              <w:top w:val="single" w:sz="4" w:space="0" w:color="auto"/>
              <w:left w:val="nil"/>
              <w:right w:val="nil"/>
            </w:tcBorders>
            <w:shd w:val="clear" w:color="auto" w:fill="FFFFFF"/>
            <w:noWrap/>
            <w:vAlign w:val="bottom"/>
          </w:tcPr>
          <w:p w14:paraId="0880765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145,261 </w:t>
            </w:r>
          </w:p>
        </w:tc>
      </w:tr>
      <w:tr w:rsidR="00717BA5" w:rsidRPr="00717BA5" w14:paraId="67066568" w14:textId="77777777" w:rsidTr="00717BA5">
        <w:trPr>
          <w:trHeight w:val="20"/>
        </w:trPr>
        <w:tc>
          <w:tcPr>
            <w:tcW w:w="5358" w:type="dxa"/>
            <w:tcBorders>
              <w:top w:val="nil"/>
              <w:left w:val="nil"/>
              <w:bottom w:val="nil"/>
              <w:right w:val="nil"/>
            </w:tcBorders>
            <w:shd w:val="clear" w:color="auto" w:fill="FFFFFF"/>
            <w:vAlign w:val="bottom"/>
          </w:tcPr>
          <w:p w14:paraId="2C5388E0"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1353" w:type="dxa"/>
            <w:tcBorders>
              <w:top w:val="nil"/>
              <w:left w:val="nil"/>
              <w:bottom w:val="nil"/>
              <w:right w:val="nil"/>
            </w:tcBorders>
            <w:shd w:val="clear" w:color="auto" w:fill="FFFFFF"/>
            <w:vAlign w:val="bottom"/>
          </w:tcPr>
          <w:p w14:paraId="1BB6B64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60" w:type="dxa"/>
            <w:tcBorders>
              <w:top w:val="nil"/>
              <w:left w:val="nil"/>
              <w:bottom w:val="nil"/>
              <w:right w:val="nil"/>
            </w:tcBorders>
            <w:shd w:val="clear" w:color="auto" w:fill="FFFFFF"/>
            <w:vAlign w:val="bottom"/>
          </w:tcPr>
          <w:p w14:paraId="4B7C289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678" w:type="dxa"/>
            <w:tcBorders>
              <w:top w:val="nil"/>
              <w:left w:val="nil"/>
              <w:bottom w:val="nil"/>
              <w:right w:val="nil"/>
            </w:tcBorders>
            <w:shd w:val="clear" w:color="auto" w:fill="FFFFFF"/>
            <w:vAlign w:val="bottom"/>
          </w:tcPr>
          <w:p w14:paraId="752D544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3170692" w14:textId="77777777" w:rsidTr="00717BA5">
        <w:trPr>
          <w:trHeight w:val="20"/>
        </w:trPr>
        <w:tc>
          <w:tcPr>
            <w:tcW w:w="5358" w:type="dxa"/>
            <w:tcBorders>
              <w:top w:val="nil"/>
              <w:left w:val="nil"/>
              <w:bottom w:val="nil"/>
              <w:right w:val="nil"/>
            </w:tcBorders>
            <w:shd w:val="clear" w:color="auto" w:fill="FFFFFF"/>
            <w:vAlign w:val="bottom"/>
          </w:tcPr>
          <w:p w14:paraId="7B6D2350"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Non-Current Liabilities</w:t>
            </w:r>
          </w:p>
        </w:tc>
        <w:tc>
          <w:tcPr>
            <w:tcW w:w="1353" w:type="dxa"/>
            <w:tcBorders>
              <w:top w:val="nil"/>
              <w:left w:val="nil"/>
              <w:bottom w:val="nil"/>
              <w:right w:val="nil"/>
            </w:tcBorders>
            <w:shd w:val="clear" w:color="auto" w:fill="FFFFFF"/>
            <w:vAlign w:val="bottom"/>
          </w:tcPr>
          <w:p w14:paraId="24F0C0C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60" w:type="dxa"/>
            <w:tcBorders>
              <w:top w:val="nil"/>
              <w:left w:val="nil"/>
              <w:bottom w:val="nil"/>
              <w:right w:val="nil"/>
            </w:tcBorders>
            <w:shd w:val="clear" w:color="auto" w:fill="FFFFFF"/>
            <w:noWrap/>
            <w:vAlign w:val="bottom"/>
          </w:tcPr>
          <w:p w14:paraId="432070E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678" w:type="dxa"/>
            <w:tcBorders>
              <w:top w:val="nil"/>
              <w:left w:val="nil"/>
              <w:bottom w:val="nil"/>
              <w:right w:val="nil"/>
            </w:tcBorders>
            <w:shd w:val="clear" w:color="auto" w:fill="FFFFFF"/>
            <w:vAlign w:val="bottom"/>
          </w:tcPr>
          <w:p w14:paraId="4E991DB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23E2C547" w14:textId="77777777" w:rsidTr="00717BA5">
        <w:trPr>
          <w:trHeight w:val="20"/>
        </w:trPr>
        <w:tc>
          <w:tcPr>
            <w:tcW w:w="5358" w:type="dxa"/>
            <w:tcBorders>
              <w:top w:val="nil"/>
              <w:left w:val="nil"/>
              <w:bottom w:val="nil"/>
              <w:right w:val="nil"/>
            </w:tcBorders>
            <w:shd w:val="clear" w:color="auto" w:fill="FFFFFF"/>
            <w:vAlign w:val="bottom"/>
          </w:tcPr>
          <w:p w14:paraId="0563F53F"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Lease Liabilities</w:t>
            </w:r>
          </w:p>
        </w:tc>
        <w:tc>
          <w:tcPr>
            <w:tcW w:w="1353" w:type="dxa"/>
            <w:tcBorders>
              <w:top w:val="nil"/>
              <w:left w:val="nil"/>
              <w:bottom w:val="nil"/>
              <w:right w:val="nil"/>
            </w:tcBorders>
            <w:shd w:val="clear" w:color="auto" w:fill="FFFFFF"/>
            <w:noWrap/>
            <w:vAlign w:val="bottom"/>
          </w:tcPr>
          <w:p w14:paraId="66C41C1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1,198</w:t>
            </w:r>
          </w:p>
        </w:tc>
        <w:tc>
          <w:tcPr>
            <w:tcW w:w="1560" w:type="dxa"/>
            <w:tcBorders>
              <w:top w:val="nil"/>
              <w:left w:val="nil"/>
              <w:bottom w:val="nil"/>
              <w:right w:val="nil"/>
            </w:tcBorders>
            <w:shd w:val="clear" w:color="auto" w:fill="FFFFFF"/>
            <w:noWrap/>
            <w:vAlign w:val="bottom"/>
          </w:tcPr>
          <w:p w14:paraId="0C75C27F"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1,207</w:t>
            </w:r>
          </w:p>
        </w:tc>
        <w:tc>
          <w:tcPr>
            <w:tcW w:w="1678" w:type="dxa"/>
            <w:tcBorders>
              <w:top w:val="nil"/>
              <w:left w:val="nil"/>
              <w:bottom w:val="nil"/>
              <w:right w:val="nil"/>
            </w:tcBorders>
            <w:shd w:val="clear" w:color="auto" w:fill="FFFFFF"/>
            <w:noWrap/>
            <w:vAlign w:val="bottom"/>
          </w:tcPr>
          <w:p w14:paraId="1CB3417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1,353 </w:t>
            </w:r>
          </w:p>
        </w:tc>
      </w:tr>
      <w:tr w:rsidR="00717BA5" w:rsidRPr="00717BA5" w14:paraId="02454CEE" w14:textId="77777777" w:rsidTr="00717BA5">
        <w:trPr>
          <w:trHeight w:val="20"/>
        </w:trPr>
        <w:tc>
          <w:tcPr>
            <w:tcW w:w="5358" w:type="dxa"/>
            <w:tcBorders>
              <w:top w:val="nil"/>
              <w:left w:val="nil"/>
              <w:bottom w:val="nil"/>
              <w:right w:val="nil"/>
            </w:tcBorders>
            <w:shd w:val="clear" w:color="auto" w:fill="FFFFFF"/>
            <w:vAlign w:val="bottom"/>
          </w:tcPr>
          <w:p w14:paraId="4DB6E8DE"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Provision for Long Service Leave Benefits</w:t>
            </w:r>
          </w:p>
        </w:tc>
        <w:tc>
          <w:tcPr>
            <w:tcW w:w="1353" w:type="dxa"/>
            <w:tcBorders>
              <w:top w:val="nil"/>
              <w:left w:val="nil"/>
              <w:bottom w:val="nil"/>
              <w:right w:val="nil"/>
            </w:tcBorders>
            <w:shd w:val="clear" w:color="auto" w:fill="FFFFFF"/>
            <w:noWrap/>
            <w:vAlign w:val="bottom"/>
          </w:tcPr>
          <w:p w14:paraId="7D106FB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19,331</w:t>
            </w:r>
          </w:p>
        </w:tc>
        <w:tc>
          <w:tcPr>
            <w:tcW w:w="1560" w:type="dxa"/>
            <w:tcBorders>
              <w:top w:val="nil"/>
              <w:left w:val="nil"/>
              <w:bottom w:val="nil"/>
              <w:right w:val="nil"/>
            </w:tcBorders>
            <w:shd w:val="clear" w:color="auto" w:fill="FFFFFF"/>
            <w:noWrap/>
            <w:vAlign w:val="bottom"/>
          </w:tcPr>
          <w:p w14:paraId="7A9A2B2C"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34,136</w:t>
            </w:r>
          </w:p>
        </w:tc>
        <w:tc>
          <w:tcPr>
            <w:tcW w:w="1678" w:type="dxa"/>
            <w:tcBorders>
              <w:top w:val="nil"/>
              <w:left w:val="nil"/>
              <w:bottom w:val="nil"/>
              <w:right w:val="nil"/>
            </w:tcBorders>
            <w:shd w:val="clear" w:color="auto" w:fill="FFFFFF"/>
            <w:noWrap/>
            <w:vAlign w:val="bottom"/>
          </w:tcPr>
          <w:p w14:paraId="07772EA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17,654 </w:t>
            </w:r>
          </w:p>
        </w:tc>
      </w:tr>
      <w:tr w:rsidR="00717BA5" w:rsidRPr="00717BA5" w14:paraId="66D819AA" w14:textId="77777777" w:rsidTr="00717BA5">
        <w:trPr>
          <w:trHeight w:val="20"/>
        </w:trPr>
        <w:tc>
          <w:tcPr>
            <w:tcW w:w="5358" w:type="dxa"/>
            <w:tcBorders>
              <w:top w:val="nil"/>
              <w:left w:val="nil"/>
              <w:right w:val="nil"/>
            </w:tcBorders>
            <w:shd w:val="clear" w:color="auto" w:fill="FFFFFF"/>
            <w:vAlign w:val="bottom"/>
          </w:tcPr>
          <w:p w14:paraId="37A509E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Employee Benefits</w:t>
            </w:r>
          </w:p>
        </w:tc>
        <w:tc>
          <w:tcPr>
            <w:tcW w:w="1353" w:type="dxa"/>
            <w:tcBorders>
              <w:top w:val="nil"/>
              <w:left w:val="nil"/>
              <w:bottom w:val="single" w:sz="4" w:space="0" w:color="auto"/>
              <w:right w:val="nil"/>
            </w:tcBorders>
            <w:shd w:val="clear" w:color="auto" w:fill="FFFFFF"/>
            <w:noWrap/>
            <w:vAlign w:val="bottom"/>
          </w:tcPr>
          <w:p w14:paraId="5179825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49</w:t>
            </w:r>
          </w:p>
        </w:tc>
        <w:tc>
          <w:tcPr>
            <w:tcW w:w="1560" w:type="dxa"/>
            <w:tcBorders>
              <w:top w:val="nil"/>
              <w:left w:val="nil"/>
              <w:bottom w:val="single" w:sz="4" w:space="0" w:color="auto"/>
              <w:right w:val="nil"/>
            </w:tcBorders>
            <w:shd w:val="clear" w:color="auto" w:fill="FFFFFF"/>
            <w:noWrap/>
            <w:vAlign w:val="bottom"/>
          </w:tcPr>
          <w:p w14:paraId="3D892C07"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39</w:t>
            </w:r>
          </w:p>
        </w:tc>
        <w:tc>
          <w:tcPr>
            <w:tcW w:w="1678" w:type="dxa"/>
            <w:tcBorders>
              <w:top w:val="nil"/>
              <w:left w:val="nil"/>
              <w:bottom w:val="single" w:sz="4" w:space="0" w:color="auto"/>
              <w:right w:val="nil"/>
            </w:tcBorders>
            <w:shd w:val="clear" w:color="auto" w:fill="FFFFFF"/>
            <w:noWrap/>
            <w:vAlign w:val="bottom"/>
          </w:tcPr>
          <w:p w14:paraId="526AD0C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42 </w:t>
            </w:r>
          </w:p>
        </w:tc>
      </w:tr>
      <w:tr w:rsidR="00717BA5" w:rsidRPr="00717BA5" w14:paraId="49105F85" w14:textId="77777777" w:rsidTr="00717BA5">
        <w:trPr>
          <w:trHeight w:val="20"/>
        </w:trPr>
        <w:tc>
          <w:tcPr>
            <w:tcW w:w="5358" w:type="dxa"/>
            <w:tcBorders>
              <w:top w:val="nil"/>
              <w:left w:val="nil"/>
              <w:right w:val="nil"/>
            </w:tcBorders>
            <w:shd w:val="clear" w:color="auto" w:fill="FFFFFF"/>
            <w:vAlign w:val="bottom"/>
          </w:tcPr>
          <w:p w14:paraId="0B5D7184"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Non-Current Liabilities</w:t>
            </w:r>
          </w:p>
        </w:tc>
        <w:tc>
          <w:tcPr>
            <w:tcW w:w="1353" w:type="dxa"/>
            <w:tcBorders>
              <w:top w:val="nil"/>
              <w:left w:val="nil"/>
              <w:right w:val="nil"/>
            </w:tcBorders>
            <w:shd w:val="clear" w:color="auto" w:fill="FFFFFF"/>
            <w:noWrap/>
            <w:vAlign w:val="bottom"/>
          </w:tcPr>
          <w:p w14:paraId="1AD897DE"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SimSun" w:hAnsi="Arial" w:cs="Arial"/>
                <w:b/>
                <w:bCs/>
                <w:color w:val="auto"/>
                <w:sz w:val="18"/>
                <w:szCs w:val="18"/>
                <w:lang w:val="en-AU" w:eastAsia="en-US"/>
              </w:rPr>
              <w:t>20,578</w:t>
            </w:r>
          </w:p>
        </w:tc>
        <w:tc>
          <w:tcPr>
            <w:tcW w:w="1560" w:type="dxa"/>
            <w:tcBorders>
              <w:top w:val="nil"/>
              <w:left w:val="nil"/>
              <w:right w:val="nil"/>
            </w:tcBorders>
            <w:shd w:val="clear" w:color="auto" w:fill="FFFFFF"/>
            <w:noWrap/>
            <w:vAlign w:val="bottom"/>
          </w:tcPr>
          <w:p w14:paraId="0246DAFF"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35,382</w:t>
            </w:r>
          </w:p>
        </w:tc>
        <w:tc>
          <w:tcPr>
            <w:tcW w:w="1678" w:type="dxa"/>
            <w:tcBorders>
              <w:top w:val="nil"/>
              <w:left w:val="nil"/>
              <w:right w:val="nil"/>
            </w:tcBorders>
            <w:shd w:val="clear" w:color="auto" w:fill="FFFFFF"/>
            <w:noWrap/>
            <w:vAlign w:val="bottom"/>
          </w:tcPr>
          <w:p w14:paraId="734C16B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19,049 </w:t>
            </w:r>
          </w:p>
        </w:tc>
      </w:tr>
      <w:tr w:rsidR="00717BA5" w:rsidRPr="00717BA5" w14:paraId="57D769C2" w14:textId="77777777" w:rsidTr="00717BA5">
        <w:trPr>
          <w:trHeight w:val="20"/>
        </w:trPr>
        <w:tc>
          <w:tcPr>
            <w:tcW w:w="5358" w:type="dxa"/>
            <w:tcBorders>
              <w:left w:val="nil"/>
              <w:right w:val="nil"/>
            </w:tcBorders>
            <w:shd w:val="clear" w:color="auto" w:fill="FFFFFF"/>
            <w:vAlign w:val="bottom"/>
          </w:tcPr>
          <w:p w14:paraId="142D5799"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Liabilities</w:t>
            </w:r>
          </w:p>
        </w:tc>
        <w:tc>
          <w:tcPr>
            <w:tcW w:w="1353" w:type="dxa"/>
            <w:tcBorders>
              <w:top w:val="single" w:sz="4" w:space="0" w:color="auto"/>
              <w:left w:val="nil"/>
              <w:bottom w:val="single" w:sz="4" w:space="0" w:color="auto"/>
              <w:right w:val="nil"/>
            </w:tcBorders>
            <w:shd w:val="clear" w:color="auto" w:fill="FFFFFF"/>
            <w:noWrap/>
            <w:vAlign w:val="bottom"/>
          </w:tcPr>
          <w:p w14:paraId="2A8639B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177,092</w:t>
            </w:r>
          </w:p>
        </w:tc>
        <w:tc>
          <w:tcPr>
            <w:tcW w:w="1560" w:type="dxa"/>
            <w:tcBorders>
              <w:top w:val="single" w:sz="4" w:space="0" w:color="auto"/>
              <w:left w:val="nil"/>
              <w:bottom w:val="single" w:sz="4" w:space="0" w:color="auto"/>
              <w:right w:val="nil"/>
            </w:tcBorders>
            <w:shd w:val="clear" w:color="auto" w:fill="FFFFFF"/>
            <w:noWrap/>
            <w:vAlign w:val="bottom"/>
          </w:tcPr>
          <w:p w14:paraId="7A61C120"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198,933</w:t>
            </w:r>
          </w:p>
        </w:tc>
        <w:tc>
          <w:tcPr>
            <w:tcW w:w="1678" w:type="dxa"/>
            <w:tcBorders>
              <w:top w:val="single" w:sz="4" w:space="0" w:color="auto"/>
              <w:left w:val="nil"/>
              <w:bottom w:val="single" w:sz="4" w:space="0" w:color="auto"/>
              <w:right w:val="nil"/>
            </w:tcBorders>
            <w:shd w:val="clear" w:color="auto" w:fill="FFFFFF"/>
            <w:noWrap/>
            <w:vAlign w:val="bottom"/>
          </w:tcPr>
          <w:p w14:paraId="133AF50B"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164,310</w:t>
            </w:r>
          </w:p>
        </w:tc>
      </w:tr>
      <w:tr w:rsidR="00717BA5" w:rsidRPr="00717BA5" w14:paraId="2D2D4DD5" w14:textId="77777777" w:rsidTr="00717BA5">
        <w:trPr>
          <w:trHeight w:val="20"/>
        </w:trPr>
        <w:tc>
          <w:tcPr>
            <w:tcW w:w="5358" w:type="dxa"/>
            <w:tcBorders>
              <w:top w:val="nil"/>
              <w:left w:val="nil"/>
              <w:bottom w:val="nil"/>
              <w:right w:val="nil"/>
            </w:tcBorders>
            <w:shd w:val="clear" w:color="auto" w:fill="FFFFFF"/>
            <w:vAlign w:val="bottom"/>
          </w:tcPr>
          <w:p w14:paraId="7E010B3E"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nil"/>
              <w:left w:val="nil"/>
              <w:bottom w:val="nil"/>
              <w:right w:val="nil"/>
            </w:tcBorders>
            <w:shd w:val="clear" w:color="auto" w:fill="FFFFFF"/>
            <w:noWrap/>
            <w:vAlign w:val="bottom"/>
          </w:tcPr>
          <w:p w14:paraId="09194C94"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1560" w:type="dxa"/>
            <w:tcBorders>
              <w:top w:val="nil"/>
              <w:left w:val="nil"/>
              <w:bottom w:val="nil"/>
              <w:right w:val="nil"/>
            </w:tcBorders>
            <w:shd w:val="clear" w:color="auto" w:fill="FFFFFF"/>
            <w:noWrap/>
            <w:vAlign w:val="bottom"/>
          </w:tcPr>
          <w:p w14:paraId="2A9B7168"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1678" w:type="dxa"/>
            <w:tcBorders>
              <w:top w:val="nil"/>
              <w:left w:val="nil"/>
              <w:bottom w:val="nil"/>
              <w:right w:val="nil"/>
            </w:tcBorders>
            <w:shd w:val="clear" w:color="auto" w:fill="FFFFFF"/>
            <w:noWrap/>
            <w:vAlign w:val="bottom"/>
          </w:tcPr>
          <w:p w14:paraId="285A59A1"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0DAADBA5" w14:textId="77777777" w:rsidTr="00717BA5">
        <w:trPr>
          <w:trHeight w:val="20"/>
        </w:trPr>
        <w:tc>
          <w:tcPr>
            <w:tcW w:w="5358" w:type="dxa"/>
            <w:tcBorders>
              <w:left w:val="nil"/>
              <w:right w:val="nil"/>
            </w:tcBorders>
            <w:shd w:val="clear" w:color="auto" w:fill="FFFFFF"/>
            <w:vAlign w:val="bottom"/>
          </w:tcPr>
          <w:p w14:paraId="3E0F9DC6"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Net Assets</w:t>
            </w:r>
          </w:p>
        </w:tc>
        <w:tc>
          <w:tcPr>
            <w:tcW w:w="1353" w:type="dxa"/>
            <w:tcBorders>
              <w:top w:val="single" w:sz="4" w:space="0" w:color="auto"/>
              <w:left w:val="nil"/>
              <w:bottom w:val="double" w:sz="6" w:space="0" w:color="auto"/>
              <w:right w:val="nil"/>
            </w:tcBorders>
            <w:shd w:val="clear" w:color="auto" w:fill="FFFFFF"/>
            <w:noWrap/>
            <w:vAlign w:val="bottom"/>
          </w:tcPr>
          <w:p w14:paraId="78249403"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54,711</w:t>
            </w:r>
          </w:p>
        </w:tc>
        <w:tc>
          <w:tcPr>
            <w:tcW w:w="1560" w:type="dxa"/>
            <w:tcBorders>
              <w:top w:val="single" w:sz="4" w:space="0" w:color="auto"/>
              <w:left w:val="nil"/>
              <w:bottom w:val="double" w:sz="6" w:space="0" w:color="auto"/>
              <w:right w:val="nil"/>
            </w:tcBorders>
            <w:shd w:val="clear" w:color="auto" w:fill="FFFFFF"/>
            <w:noWrap/>
            <w:vAlign w:val="bottom"/>
          </w:tcPr>
          <w:p w14:paraId="2E4F2430"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33,853</w:t>
            </w:r>
          </w:p>
        </w:tc>
        <w:tc>
          <w:tcPr>
            <w:tcW w:w="1678" w:type="dxa"/>
            <w:tcBorders>
              <w:top w:val="single" w:sz="4" w:space="0" w:color="auto"/>
              <w:left w:val="nil"/>
              <w:bottom w:val="double" w:sz="6" w:space="0" w:color="auto"/>
              <w:right w:val="nil"/>
            </w:tcBorders>
            <w:shd w:val="clear" w:color="auto" w:fill="FFFFFF"/>
            <w:noWrap/>
            <w:vAlign w:val="bottom"/>
          </w:tcPr>
          <w:p w14:paraId="2D2C0AE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50,943</w:t>
            </w:r>
          </w:p>
        </w:tc>
      </w:tr>
      <w:tr w:rsidR="00717BA5" w:rsidRPr="00717BA5" w14:paraId="7C629C50" w14:textId="77777777" w:rsidTr="00717BA5">
        <w:trPr>
          <w:trHeight w:val="20"/>
        </w:trPr>
        <w:tc>
          <w:tcPr>
            <w:tcW w:w="5358" w:type="dxa"/>
            <w:tcBorders>
              <w:left w:val="nil"/>
              <w:bottom w:val="nil"/>
              <w:right w:val="nil"/>
            </w:tcBorders>
            <w:shd w:val="clear" w:color="auto" w:fill="FFFFFF"/>
            <w:vAlign w:val="bottom"/>
          </w:tcPr>
          <w:p w14:paraId="6EB9045B"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1353" w:type="dxa"/>
            <w:tcBorders>
              <w:top w:val="double" w:sz="6" w:space="0" w:color="003366"/>
              <w:left w:val="nil"/>
              <w:bottom w:val="nil"/>
              <w:right w:val="nil"/>
            </w:tcBorders>
            <w:shd w:val="clear" w:color="auto" w:fill="FFFFFF"/>
            <w:vAlign w:val="bottom"/>
          </w:tcPr>
          <w:p w14:paraId="4AE918D6"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1560" w:type="dxa"/>
            <w:tcBorders>
              <w:top w:val="nil"/>
              <w:left w:val="nil"/>
              <w:bottom w:val="nil"/>
              <w:right w:val="nil"/>
            </w:tcBorders>
            <w:shd w:val="clear" w:color="auto" w:fill="FFFFFF"/>
            <w:vAlign w:val="bottom"/>
          </w:tcPr>
          <w:p w14:paraId="6B6A944B"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p>
        </w:tc>
        <w:tc>
          <w:tcPr>
            <w:tcW w:w="1678" w:type="dxa"/>
            <w:tcBorders>
              <w:top w:val="double" w:sz="6" w:space="0" w:color="003366"/>
              <w:left w:val="nil"/>
              <w:bottom w:val="nil"/>
              <w:right w:val="nil"/>
            </w:tcBorders>
            <w:shd w:val="clear" w:color="auto" w:fill="FFFFFF"/>
            <w:vAlign w:val="bottom"/>
          </w:tcPr>
          <w:p w14:paraId="72C7F72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722CDE97" w14:textId="77777777" w:rsidTr="00717BA5">
        <w:trPr>
          <w:trHeight w:val="20"/>
        </w:trPr>
        <w:tc>
          <w:tcPr>
            <w:tcW w:w="5358" w:type="dxa"/>
            <w:tcBorders>
              <w:top w:val="nil"/>
              <w:left w:val="nil"/>
              <w:bottom w:val="nil"/>
              <w:right w:val="nil"/>
            </w:tcBorders>
            <w:shd w:val="clear" w:color="auto" w:fill="FFFFFF"/>
            <w:vAlign w:val="bottom"/>
          </w:tcPr>
          <w:p w14:paraId="6E13ABF6"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Equity</w:t>
            </w:r>
          </w:p>
        </w:tc>
        <w:tc>
          <w:tcPr>
            <w:tcW w:w="1353" w:type="dxa"/>
            <w:tcBorders>
              <w:top w:val="nil"/>
              <w:left w:val="nil"/>
              <w:bottom w:val="nil"/>
              <w:right w:val="nil"/>
            </w:tcBorders>
            <w:shd w:val="clear" w:color="auto" w:fill="FFFFFF"/>
            <w:vAlign w:val="bottom"/>
          </w:tcPr>
          <w:p w14:paraId="03B8E2CC"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1560" w:type="dxa"/>
            <w:tcBorders>
              <w:top w:val="nil"/>
              <w:left w:val="nil"/>
              <w:bottom w:val="nil"/>
              <w:right w:val="nil"/>
            </w:tcBorders>
            <w:shd w:val="clear" w:color="auto" w:fill="FFFFFF"/>
            <w:vAlign w:val="bottom"/>
          </w:tcPr>
          <w:p w14:paraId="66E16B4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678" w:type="dxa"/>
            <w:tcBorders>
              <w:top w:val="nil"/>
              <w:left w:val="nil"/>
              <w:bottom w:val="nil"/>
              <w:right w:val="nil"/>
            </w:tcBorders>
            <w:shd w:val="clear" w:color="auto" w:fill="FFFFFF"/>
            <w:vAlign w:val="bottom"/>
          </w:tcPr>
          <w:p w14:paraId="70DD3AF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F66D649" w14:textId="77777777" w:rsidTr="00717BA5">
        <w:trPr>
          <w:trHeight w:val="20"/>
        </w:trPr>
        <w:tc>
          <w:tcPr>
            <w:tcW w:w="5358" w:type="dxa"/>
            <w:tcBorders>
              <w:top w:val="nil"/>
              <w:left w:val="nil"/>
              <w:bottom w:val="nil"/>
              <w:right w:val="nil"/>
            </w:tcBorders>
            <w:shd w:val="clear" w:color="auto" w:fill="FFFFFF"/>
            <w:vAlign w:val="bottom"/>
          </w:tcPr>
          <w:p w14:paraId="3E64293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Accumulated Funds</w:t>
            </w:r>
          </w:p>
        </w:tc>
        <w:tc>
          <w:tcPr>
            <w:tcW w:w="1353" w:type="dxa"/>
            <w:tcBorders>
              <w:top w:val="nil"/>
              <w:left w:val="nil"/>
              <w:right w:val="nil"/>
            </w:tcBorders>
            <w:shd w:val="clear" w:color="auto" w:fill="FFFFFF"/>
            <w:noWrap/>
            <w:vAlign w:val="bottom"/>
          </w:tcPr>
          <w:p w14:paraId="238ECFAB"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SimSun" w:hAnsi="Arial" w:cs="Arial"/>
                <w:color w:val="auto"/>
                <w:sz w:val="18"/>
                <w:szCs w:val="18"/>
                <w:lang w:val="en-AU" w:eastAsia="en-US"/>
              </w:rPr>
              <w:t>54,711</w:t>
            </w:r>
          </w:p>
        </w:tc>
        <w:tc>
          <w:tcPr>
            <w:tcW w:w="1560" w:type="dxa"/>
            <w:tcBorders>
              <w:top w:val="nil"/>
              <w:left w:val="nil"/>
              <w:right w:val="nil"/>
            </w:tcBorders>
            <w:shd w:val="clear" w:color="auto" w:fill="FFFFFF"/>
            <w:noWrap/>
            <w:vAlign w:val="bottom"/>
          </w:tcPr>
          <w:p w14:paraId="38C1AA0A"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33,853</w:t>
            </w:r>
          </w:p>
        </w:tc>
        <w:tc>
          <w:tcPr>
            <w:tcW w:w="1678" w:type="dxa"/>
            <w:tcBorders>
              <w:top w:val="nil"/>
              <w:left w:val="nil"/>
              <w:right w:val="nil"/>
            </w:tcBorders>
            <w:shd w:val="clear" w:color="auto" w:fill="FFFFFF"/>
            <w:noWrap/>
            <w:vAlign w:val="bottom"/>
          </w:tcPr>
          <w:p w14:paraId="78A5101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50,943 </w:t>
            </w:r>
          </w:p>
        </w:tc>
      </w:tr>
      <w:tr w:rsidR="00717BA5" w:rsidRPr="00717BA5" w14:paraId="485DEE9A" w14:textId="77777777" w:rsidTr="00717BA5">
        <w:trPr>
          <w:trHeight w:val="20"/>
        </w:trPr>
        <w:tc>
          <w:tcPr>
            <w:tcW w:w="5358" w:type="dxa"/>
            <w:tcBorders>
              <w:top w:val="nil"/>
              <w:left w:val="nil"/>
              <w:right w:val="nil"/>
            </w:tcBorders>
            <w:shd w:val="clear" w:color="auto" w:fill="FFFFFF"/>
            <w:vAlign w:val="bottom"/>
          </w:tcPr>
          <w:p w14:paraId="573794A5"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Equity</w:t>
            </w:r>
          </w:p>
        </w:tc>
        <w:tc>
          <w:tcPr>
            <w:tcW w:w="1353" w:type="dxa"/>
            <w:tcBorders>
              <w:top w:val="single" w:sz="4" w:space="0" w:color="auto"/>
              <w:left w:val="nil"/>
              <w:bottom w:val="double" w:sz="6" w:space="0" w:color="auto"/>
              <w:right w:val="nil"/>
            </w:tcBorders>
            <w:shd w:val="clear" w:color="auto" w:fill="FFFFFF"/>
            <w:noWrap/>
            <w:vAlign w:val="bottom"/>
          </w:tcPr>
          <w:p w14:paraId="0A4E6DF6"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SimSun" w:hAnsi="Arial" w:cs="Arial"/>
                <w:b/>
                <w:bCs/>
                <w:color w:val="auto"/>
                <w:sz w:val="18"/>
                <w:szCs w:val="18"/>
                <w:lang w:val="en-AU" w:eastAsia="en-US"/>
              </w:rPr>
              <w:t>54,711</w:t>
            </w:r>
          </w:p>
        </w:tc>
        <w:tc>
          <w:tcPr>
            <w:tcW w:w="1560" w:type="dxa"/>
            <w:tcBorders>
              <w:top w:val="single" w:sz="4" w:space="0" w:color="auto"/>
              <w:left w:val="nil"/>
              <w:bottom w:val="double" w:sz="6" w:space="0" w:color="auto"/>
              <w:right w:val="nil"/>
            </w:tcBorders>
            <w:shd w:val="clear" w:color="auto" w:fill="FFFFFF"/>
            <w:noWrap/>
            <w:vAlign w:val="bottom"/>
          </w:tcPr>
          <w:p w14:paraId="7DDD3F0B"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33,853</w:t>
            </w:r>
          </w:p>
        </w:tc>
        <w:tc>
          <w:tcPr>
            <w:tcW w:w="1678" w:type="dxa"/>
            <w:tcBorders>
              <w:top w:val="single" w:sz="4" w:space="0" w:color="auto"/>
              <w:left w:val="nil"/>
              <w:bottom w:val="double" w:sz="6" w:space="0" w:color="auto"/>
              <w:right w:val="nil"/>
            </w:tcBorders>
            <w:shd w:val="clear" w:color="auto" w:fill="FFFFFF"/>
            <w:noWrap/>
            <w:vAlign w:val="bottom"/>
          </w:tcPr>
          <w:p w14:paraId="2BC8908B"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color w:val="auto"/>
                <w:sz w:val="18"/>
                <w:szCs w:val="18"/>
                <w:lang w:val="en-AU" w:eastAsia="en-US"/>
              </w:rPr>
              <w:t xml:space="preserve"> 50,943 </w:t>
            </w:r>
          </w:p>
        </w:tc>
      </w:tr>
    </w:tbl>
    <w:p w14:paraId="56975612" w14:textId="77777777" w:rsidR="00717BA5" w:rsidRPr="00717BA5" w:rsidRDefault="00717BA5" w:rsidP="00717BA5">
      <w:pPr>
        <w:spacing w:after="40" w:line="240" w:lineRule="auto"/>
        <w:rPr>
          <w:rFonts w:ascii="Arial" w:eastAsia="Times New Roman" w:hAnsi="Arial" w:cs="Arial"/>
          <w:b/>
          <w:bCs/>
          <w:color w:val="auto"/>
          <w:sz w:val="18"/>
          <w:szCs w:val="18"/>
          <w:lang w:val="en-AU"/>
        </w:rPr>
      </w:pPr>
    </w:p>
    <w:p w14:paraId="06CDDF5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br w:type="page"/>
      </w:r>
    </w:p>
    <w:p w14:paraId="22FE98B3" w14:textId="77777777" w:rsidR="00717BA5" w:rsidRPr="00717BA5" w:rsidRDefault="00717BA5" w:rsidP="00717BA5">
      <w:pPr>
        <w:spacing w:after="0" w:line="240" w:lineRule="auto"/>
        <w:rPr>
          <w:rFonts w:ascii="Arial" w:eastAsia="SimSun" w:hAnsi="Arial" w:cs="Arial"/>
          <w:color w:val="auto"/>
          <w:lang w:val="en-AU"/>
        </w:rPr>
      </w:pPr>
    </w:p>
    <w:p w14:paraId="1C34E16C" w14:textId="77777777" w:rsidR="00717BA5" w:rsidRPr="00717BA5" w:rsidRDefault="00717BA5" w:rsidP="00717BA5">
      <w:pPr>
        <w:keepNext/>
        <w:spacing w:after="240" w:line="240" w:lineRule="auto"/>
        <w:ind w:left="1276" w:hanging="1276"/>
        <w:outlineLvl w:val="1"/>
        <w:rPr>
          <w:rFonts w:ascii="Arial" w:eastAsia="Times New Roman" w:hAnsi="Arial" w:cs="Arial"/>
          <w:b/>
          <w:bCs/>
          <w:color w:val="auto"/>
          <w:sz w:val="24"/>
          <w:szCs w:val="24"/>
          <w:lang w:val="en-AU"/>
        </w:rPr>
      </w:pPr>
      <w:bookmarkStart w:id="119" w:name="_Toc240533533"/>
      <w:r w:rsidRPr="00717BA5">
        <w:rPr>
          <w:rFonts w:ascii="Arial" w:eastAsia="Times New Roman" w:hAnsi="Arial" w:cs="Arial"/>
          <w:b/>
          <w:bCs/>
          <w:color w:val="auto"/>
          <w:sz w:val="24"/>
          <w:szCs w:val="24"/>
          <w:lang w:val="en-AU"/>
        </w:rPr>
        <w:t>NOTE 17.   OPERATING STATEMENT AND BALANCE SHEET FOR LONG SERVICE LEAVE SCHEMES - CONTINUED</w:t>
      </w:r>
      <w:bookmarkEnd w:id="119"/>
    </w:p>
    <w:p w14:paraId="33B8B045" w14:textId="77777777" w:rsidR="00717BA5" w:rsidRPr="00717BA5" w:rsidRDefault="00717BA5" w:rsidP="00717BA5">
      <w:pPr>
        <w:spacing w:before="120" w:after="120" w:line="240" w:lineRule="auto"/>
        <w:jc w:val="center"/>
        <w:rPr>
          <w:rFonts w:ascii="Arial" w:eastAsia="Times New Roman" w:hAnsi="Arial" w:cs="Arial"/>
          <w:b/>
          <w:color w:val="auto"/>
          <w:sz w:val="22"/>
          <w:szCs w:val="22"/>
          <w:lang w:val="en-AU"/>
        </w:rPr>
      </w:pPr>
      <w:r w:rsidRPr="00717BA5">
        <w:rPr>
          <w:rFonts w:ascii="Arial" w:eastAsia="Times New Roman" w:hAnsi="Arial" w:cs="Arial"/>
          <w:b/>
          <w:color w:val="auto"/>
          <w:sz w:val="22"/>
          <w:szCs w:val="22"/>
          <w:lang w:val="en-AU"/>
        </w:rPr>
        <w:t>Services Industry Scheme – Operating Statement</w:t>
      </w:r>
    </w:p>
    <w:tbl>
      <w:tblPr>
        <w:tblW w:w="5000" w:type="pct"/>
        <w:tblLook w:val="04A0" w:firstRow="1" w:lastRow="0" w:firstColumn="1" w:lastColumn="0" w:noHBand="0" w:noVBand="1"/>
      </w:tblPr>
      <w:tblGrid>
        <w:gridCol w:w="5900"/>
        <w:gridCol w:w="1353"/>
        <w:gridCol w:w="1353"/>
        <w:gridCol w:w="1343"/>
      </w:tblGrid>
      <w:tr w:rsidR="00717BA5" w:rsidRPr="00717BA5" w14:paraId="188D3AD3" w14:textId="77777777" w:rsidTr="00717BA5">
        <w:trPr>
          <w:trHeight w:val="272"/>
        </w:trPr>
        <w:tc>
          <w:tcPr>
            <w:tcW w:w="2965" w:type="pct"/>
            <w:tcBorders>
              <w:top w:val="nil"/>
              <w:left w:val="nil"/>
              <w:right w:val="nil"/>
            </w:tcBorders>
            <w:shd w:val="clear" w:color="auto" w:fill="FFFFFF"/>
            <w:vAlign w:val="bottom"/>
          </w:tcPr>
          <w:p w14:paraId="4F4F1E35"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0" w:type="pct"/>
            <w:tcBorders>
              <w:top w:val="nil"/>
              <w:left w:val="nil"/>
              <w:bottom w:val="nil"/>
              <w:right w:val="nil"/>
            </w:tcBorders>
            <w:shd w:val="clear" w:color="auto" w:fill="FFFFFF"/>
            <w:vAlign w:val="bottom"/>
          </w:tcPr>
          <w:p w14:paraId="2946BA9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w:t>
            </w:r>
          </w:p>
        </w:tc>
        <w:tc>
          <w:tcPr>
            <w:tcW w:w="680" w:type="pct"/>
            <w:tcBorders>
              <w:top w:val="nil"/>
              <w:left w:val="nil"/>
              <w:bottom w:val="nil"/>
              <w:right w:val="nil"/>
            </w:tcBorders>
            <w:shd w:val="clear" w:color="auto" w:fill="FFFFFF"/>
            <w:vAlign w:val="bottom"/>
          </w:tcPr>
          <w:p w14:paraId="1971C6F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Original</w:t>
            </w:r>
          </w:p>
        </w:tc>
        <w:tc>
          <w:tcPr>
            <w:tcW w:w="675" w:type="pct"/>
            <w:tcBorders>
              <w:top w:val="nil"/>
              <w:left w:val="nil"/>
              <w:bottom w:val="nil"/>
              <w:right w:val="nil"/>
            </w:tcBorders>
            <w:shd w:val="clear" w:color="auto" w:fill="FFFFFF"/>
            <w:noWrap/>
            <w:vAlign w:val="bottom"/>
          </w:tcPr>
          <w:p w14:paraId="3CEAD8D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06A0CEBD" w14:textId="77777777" w:rsidTr="00717BA5">
        <w:trPr>
          <w:trHeight w:val="272"/>
        </w:trPr>
        <w:tc>
          <w:tcPr>
            <w:tcW w:w="2965" w:type="pct"/>
            <w:tcBorders>
              <w:top w:val="nil"/>
              <w:left w:val="nil"/>
              <w:bottom w:val="nil"/>
              <w:right w:val="nil"/>
            </w:tcBorders>
            <w:shd w:val="clear" w:color="auto" w:fill="FFFFFF"/>
            <w:vAlign w:val="bottom"/>
          </w:tcPr>
          <w:p w14:paraId="7D166327" w14:textId="77777777" w:rsidR="00717BA5" w:rsidRPr="00717BA5" w:rsidRDefault="00717BA5" w:rsidP="00717BA5">
            <w:pPr>
              <w:spacing w:after="0" w:line="240" w:lineRule="auto"/>
              <w:ind w:left="-360"/>
              <w:rPr>
                <w:rFonts w:ascii="Arial" w:eastAsia="Times New Roman" w:hAnsi="Arial" w:cs="Arial"/>
                <w:b/>
                <w:bCs/>
                <w:color w:val="auto"/>
                <w:sz w:val="18"/>
                <w:szCs w:val="18"/>
                <w:lang w:val="en-AU"/>
              </w:rPr>
            </w:pPr>
          </w:p>
        </w:tc>
        <w:tc>
          <w:tcPr>
            <w:tcW w:w="680" w:type="pct"/>
            <w:tcBorders>
              <w:top w:val="nil"/>
              <w:left w:val="nil"/>
              <w:bottom w:val="nil"/>
              <w:right w:val="nil"/>
            </w:tcBorders>
            <w:shd w:val="clear" w:color="auto" w:fill="FFFFFF"/>
            <w:vAlign w:val="bottom"/>
          </w:tcPr>
          <w:p w14:paraId="5EE6B957" w14:textId="77777777" w:rsidR="00717BA5" w:rsidRPr="00717BA5" w:rsidRDefault="00717BA5" w:rsidP="00717BA5">
            <w:pPr>
              <w:spacing w:after="0" w:line="240" w:lineRule="auto"/>
              <w:ind w:left="-360"/>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c>
          <w:tcPr>
            <w:tcW w:w="680" w:type="pct"/>
            <w:tcBorders>
              <w:top w:val="nil"/>
              <w:left w:val="nil"/>
              <w:bottom w:val="nil"/>
              <w:right w:val="nil"/>
            </w:tcBorders>
            <w:shd w:val="clear" w:color="auto" w:fill="FFFFFF"/>
            <w:vAlign w:val="bottom"/>
          </w:tcPr>
          <w:p w14:paraId="5461274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Budget</w:t>
            </w:r>
          </w:p>
        </w:tc>
        <w:tc>
          <w:tcPr>
            <w:tcW w:w="675" w:type="pct"/>
            <w:tcBorders>
              <w:top w:val="nil"/>
              <w:left w:val="nil"/>
              <w:bottom w:val="nil"/>
              <w:right w:val="nil"/>
            </w:tcBorders>
            <w:shd w:val="clear" w:color="auto" w:fill="FFFFFF"/>
            <w:vAlign w:val="bottom"/>
          </w:tcPr>
          <w:p w14:paraId="2E2CC57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r>
      <w:tr w:rsidR="00717BA5" w:rsidRPr="00717BA5" w14:paraId="45921B88" w14:textId="77777777" w:rsidTr="00717BA5">
        <w:trPr>
          <w:trHeight w:val="272"/>
        </w:trPr>
        <w:tc>
          <w:tcPr>
            <w:tcW w:w="2965" w:type="pct"/>
            <w:tcBorders>
              <w:top w:val="nil"/>
              <w:left w:val="nil"/>
              <w:bottom w:val="nil"/>
              <w:right w:val="nil"/>
            </w:tcBorders>
            <w:shd w:val="clear" w:color="auto" w:fill="FFFFFF"/>
            <w:vAlign w:val="bottom"/>
          </w:tcPr>
          <w:p w14:paraId="6227CDF9"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0" w:type="pct"/>
            <w:tcBorders>
              <w:top w:val="nil"/>
              <w:left w:val="nil"/>
              <w:bottom w:val="nil"/>
              <w:right w:val="nil"/>
            </w:tcBorders>
            <w:shd w:val="clear" w:color="auto" w:fill="FFFFFF"/>
            <w:vAlign w:val="bottom"/>
          </w:tcPr>
          <w:p w14:paraId="2C15B4D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680" w:type="pct"/>
            <w:tcBorders>
              <w:top w:val="nil"/>
              <w:left w:val="nil"/>
              <w:bottom w:val="nil"/>
              <w:right w:val="nil"/>
            </w:tcBorders>
            <w:shd w:val="clear" w:color="auto" w:fill="FFFFFF"/>
            <w:vAlign w:val="bottom"/>
          </w:tcPr>
          <w:p w14:paraId="57C70E0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675" w:type="pct"/>
            <w:tcBorders>
              <w:top w:val="nil"/>
              <w:left w:val="nil"/>
              <w:bottom w:val="nil"/>
              <w:right w:val="nil"/>
            </w:tcBorders>
            <w:shd w:val="clear" w:color="auto" w:fill="FFFFFF"/>
            <w:vAlign w:val="bottom"/>
          </w:tcPr>
          <w:p w14:paraId="0A71A9F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27C4A411" w14:textId="77777777" w:rsidTr="00717BA5">
        <w:trPr>
          <w:trHeight w:val="272"/>
        </w:trPr>
        <w:tc>
          <w:tcPr>
            <w:tcW w:w="2965" w:type="pct"/>
            <w:tcBorders>
              <w:top w:val="nil"/>
              <w:left w:val="nil"/>
              <w:right w:val="nil"/>
            </w:tcBorders>
            <w:shd w:val="clear" w:color="auto" w:fill="FFFFFF"/>
            <w:vAlign w:val="bottom"/>
          </w:tcPr>
          <w:p w14:paraId="11371018"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0" w:type="pct"/>
            <w:tcBorders>
              <w:top w:val="nil"/>
              <w:left w:val="nil"/>
              <w:bottom w:val="single" w:sz="4" w:space="0" w:color="auto"/>
              <w:right w:val="nil"/>
            </w:tcBorders>
            <w:shd w:val="clear" w:color="auto" w:fill="FFFFFF"/>
            <w:vAlign w:val="bottom"/>
          </w:tcPr>
          <w:p w14:paraId="08711A7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680" w:type="pct"/>
            <w:tcBorders>
              <w:top w:val="nil"/>
              <w:left w:val="nil"/>
              <w:bottom w:val="single" w:sz="4" w:space="0" w:color="auto"/>
              <w:right w:val="nil"/>
            </w:tcBorders>
            <w:shd w:val="clear" w:color="auto" w:fill="FFFFFF"/>
            <w:vAlign w:val="bottom"/>
          </w:tcPr>
          <w:p w14:paraId="76115EC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675" w:type="pct"/>
            <w:tcBorders>
              <w:top w:val="nil"/>
              <w:left w:val="nil"/>
              <w:bottom w:val="single" w:sz="4" w:space="0" w:color="auto"/>
              <w:right w:val="nil"/>
            </w:tcBorders>
            <w:shd w:val="clear" w:color="auto" w:fill="FFFFFF"/>
            <w:vAlign w:val="bottom"/>
          </w:tcPr>
          <w:p w14:paraId="136F16A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68CD9055" w14:textId="77777777" w:rsidTr="00717BA5">
        <w:trPr>
          <w:trHeight w:val="20"/>
        </w:trPr>
        <w:tc>
          <w:tcPr>
            <w:tcW w:w="2965" w:type="pct"/>
            <w:tcBorders>
              <w:top w:val="nil"/>
              <w:left w:val="nil"/>
              <w:bottom w:val="nil"/>
              <w:right w:val="nil"/>
            </w:tcBorders>
            <w:shd w:val="clear" w:color="auto" w:fill="FFFFFF"/>
            <w:vAlign w:val="bottom"/>
          </w:tcPr>
          <w:p w14:paraId="3DD6D7C6"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Income</w:t>
            </w:r>
          </w:p>
        </w:tc>
        <w:tc>
          <w:tcPr>
            <w:tcW w:w="680" w:type="pct"/>
            <w:tcBorders>
              <w:top w:val="nil"/>
              <w:left w:val="nil"/>
              <w:bottom w:val="nil"/>
              <w:right w:val="nil"/>
            </w:tcBorders>
            <w:shd w:val="clear" w:color="auto" w:fill="FFFFFF"/>
            <w:vAlign w:val="bottom"/>
          </w:tcPr>
          <w:p w14:paraId="7620983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vAlign w:val="bottom"/>
          </w:tcPr>
          <w:p w14:paraId="5B7CC5F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675" w:type="pct"/>
            <w:tcBorders>
              <w:top w:val="nil"/>
              <w:left w:val="nil"/>
              <w:bottom w:val="nil"/>
              <w:right w:val="nil"/>
            </w:tcBorders>
            <w:shd w:val="clear" w:color="auto" w:fill="FFFFFF"/>
            <w:vAlign w:val="bottom"/>
          </w:tcPr>
          <w:p w14:paraId="5CC4110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2654C35E" w14:textId="77777777" w:rsidTr="00717BA5">
        <w:trPr>
          <w:trHeight w:val="20"/>
        </w:trPr>
        <w:tc>
          <w:tcPr>
            <w:tcW w:w="2965" w:type="pct"/>
            <w:tcBorders>
              <w:top w:val="nil"/>
              <w:left w:val="nil"/>
              <w:bottom w:val="nil"/>
              <w:right w:val="nil"/>
            </w:tcBorders>
            <w:shd w:val="clear" w:color="auto" w:fill="FFFFFF"/>
            <w:vAlign w:val="bottom"/>
          </w:tcPr>
          <w:p w14:paraId="3126EA77"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Contributions from Employers and Contractors</w:t>
            </w:r>
          </w:p>
        </w:tc>
        <w:tc>
          <w:tcPr>
            <w:tcW w:w="680" w:type="pct"/>
            <w:tcBorders>
              <w:top w:val="nil"/>
              <w:left w:val="nil"/>
              <w:bottom w:val="nil"/>
              <w:right w:val="nil"/>
            </w:tcBorders>
            <w:shd w:val="clear" w:color="auto" w:fill="FFFFFF"/>
            <w:noWrap/>
            <w:vAlign w:val="bottom"/>
          </w:tcPr>
          <w:p w14:paraId="3CFDAC0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1,577</w:t>
            </w:r>
          </w:p>
        </w:tc>
        <w:tc>
          <w:tcPr>
            <w:tcW w:w="680" w:type="pct"/>
            <w:tcBorders>
              <w:top w:val="nil"/>
              <w:left w:val="nil"/>
              <w:bottom w:val="nil"/>
              <w:right w:val="nil"/>
            </w:tcBorders>
            <w:noWrap/>
            <w:vAlign w:val="bottom"/>
          </w:tcPr>
          <w:p w14:paraId="6ABE39E0"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1,683</w:t>
            </w:r>
          </w:p>
        </w:tc>
        <w:tc>
          <w:tcPr>
            <w:tcW w:w="675" w:type="pct"/>
            <w:tcBorders>
              <w:top w:val="nil"/>
              <w:left w:val="nil"/>
              <w:bottom w:val="nil"/>
              <w:right w:val="nil"/>
            </w:tcBorders>
            <w:shd w:val="clear" w:color="auto" w:fill="FFFFFF"/>
            <w:noWrap/>
            <w:vAlign w:val="bottom"/>
          </w:tcPr>
          <w:p w14:paraId="1EBF275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1,560 </w:t>
            </w:r>
          </w:p>
        </w:tc>
      </w:tr>
      <w:tr w:rsidR="00717BA5" w:rsidRPr="00717BA5" w14:paraId="33F02C4B" w14:textId="77777777" w:rsidTr="00717BA5">
        <w:trPr>
          <w:trHeight w:val="20"/>
        </w:trPr>
        <w:tc>
          <w:tcPr>
            <w:tcW w:w="2965" w:type="pct"/>
            <w:tcBorders>
              <w:top w:val="nil"/>
              <w:left w:val="nil"/>
              <w:bottom w:val="nil"/>
              <w:right w:val="nil"/>
            </w:tcBorders>
            <w:shd w:val="clear" w:color="auto" w:fill="FFFFFF"/>
            <w:vAlign w:val="bottom"/>
          </w:tcPr>
          <w:p w14:paraId="1CD7BEA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Gains from Remeasurement of Assets</w:t>
            </w:r>
          </w:p>
        </w:tc>
        <w:tc>
          <w:tcPr>
            <w:tcW w:w="680" w:type="pct"/>
            <w:tcBorders>
              <w:top w:val="nil"/>
              <w:left w:val="nil"/>
              <w:bottom w:val="nil"/>
              <w:right w:val="nil"/>
            </w:tcBorders>
            <w:shd w:val="clear" w:color="auto" w:fill="FFFFFF"/>
            <w:noWrap/>
            <w:vAlign w:val="bottom"/>
          </w:tcPr>
          <w:p w14:paraId="1BBA97F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575</w:t>
            </w:r>
          </w:p>
        </w:tc>
        <w:tc>
          <w:tcPr>
            <w:tcW w:w="680" w:type="pct"/>
            <w:tcBorders>
              <w:top w:val="nil"/>
              <w:left w:val="nil"/>
              <w:bottom w:val="nil"/>
              <w:right w:val="nil"/>
            </w:tcBorders>
            <w:noWrap/>
            <w:vAlign w:val="bottom"/>
          </w:tcPr>
          <w:p w14:paraId="6063A8A7"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874</w:t>
            </w:r>
          </w:p>
        </w:tc>
        <w:tc>
          <w:tcPr>
            <w:tcW w:w="675" w:type="pct"/>
            <w:tcBorders>
              <w:top w:val="nil"/>
              <w:left w:val="nil"/>
              <w:bottom w:val="nil"/>
              <w:right w:val="nil"/>
            </w:tcBorders>
            <w:shd w:val="clear" w:color="auto" w:fill="FFFFFF"/>
            <w:noWrap/>
            <w:vAlign w:val="bottom"/>
          </w:tcPr>
          <w:p w14:paraId="6A4A000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2,084 </w:t>
            </w:r>
          </w:p>
        </w:tc>
      </w:tr>
      <w:tr w:rsidR="00717BA5" w:rsidRPr="00717BA5" w14:paraId="74F4ED4F" w14:textId="77777777" w:rsidTr="00717BA5">
        <w:trPr>
          <w:trHeight w:val="20"/>
        </w:trPr>
        <w:tc>
          <w:tcPr>
            <w:tcW w:w="2965" w:type="pct"/>
            <w:tcBorders>
              <w:top w:val="nil"/>
              <w:left w:val="nil"/>
              <w:bottom w:val="nil"/>
              <w:right w:val="nil"/>
            </w:tcBorders>
            <w:shd w:val="clear" w:color="auto" w:fill="FFFFFF"/>
            <w:vAlign w:val="bottom"/>
          </w:tcPr>
          <w:p w14:paraId="1FDFF69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 Revenue</w:t>
            </w:r>
          </w:p>
        </w:tc>
        <w:tc>
          <w:tcPr>
            <w:tcW w:w="680" w:type="pct"/>
            <w:tcBorders>
              <w:top w:val="nil"/>
              <w:left w:val="nil"/>
              <w:right w:val="nil"/>
            </w:tcBorders>
            <w:shd w:val="clear" w:color="auto" w:fill="FFFFFF"/>
            <w:noWrap/>
            <w:vAlign w:val="bottom"/>
          </w:tcPr>
          <w:p w14:paraId="6E04B5C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994</w:t>
            </w:r>
          </w:p>
        </w:tc>
        <w:tc>
          <w:tcPr>
            <w:tcW w:w="680" w:type="pct"/>
            <w:tcBorders>
              <w:top w:val="nil"/>
              <w:left w:val="nil"/>
              <w:bottom w:val="nil"/>
              <w:right w:val="nil"/>
            </w:tcBorders>
            <w:noWrap/>
            <w:vAlign w:val="bottom"/>
          </w:tcPr>
          <w:p w14:paraId="45BF98B2"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595</w:t>
            </w:r>
          </w:p>
        </w:tc>
        <w:tc>
          <w:tcPr>
            <w:tcW w:w="675" w:type="pct"/>
            <w:tcBorders>
              <w:top w:val="nil"/>
              <w:left w:val="nil"/>
              <w:right w:val="nil"/>
            </w:tcBorders>
            <w:shd w:val="clear" w:color="auto" w:fill="FFFFFF"/>
            <w:noWrap/>
            <w:vAlign w:val="bottom"/>
          </w:tcPr>
          <w:p w14:paraId="6251BE0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668 </w:t>
            </w:r>
          </w:p>
        </w:tc>
      </w:tr>
      <w:tr w:rsidR="00717BA5" w:rsidRPr="00717BA5" w14:paraId="04B2AC04" w14:textId="77777777" w:rsidTr="00717BA5">
        <w:trPr>
          <w:trHeight w:val="20"/>
        </w:trPr>
        <w:tc>
          <w:tcPr>
            <w:tcW w:w="2965" w:type="pct"/>
            <w:tcBorders>
              <w:top w:val="nil"/>
              <w:left w:val="nil"/>
              <w:right w:val="nil"/>
            </w:tcBorders>
            <w:shd w:val="clear" w:color="auto" w:fill="FFFFFF"/>
            <w:vAlign w:val="bottom"/>
          </w:tcPr>
          <w:p w14:paraId="7340E1D0"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Other Income</w:t>
            </w:r>
          </w:p>
        </w:tc>
        <w:tc>
          <w:tcPr>
            <w:tcW w:w="680" w:type="pct"/>
            <w:tcBorders>
              <w:top w:val="nil"/>
              <w:left w:val="nil"/>
              <w:right w:val="nil"/>
            </w:tcBorders>
            <w:shd w:val="clear" w:color="auto" w:fill="FFFFFF"/>
            <w:noWrap/>
            <w:vAlign w:val="bottom"/>
          </w:tcPr>
          <w:p w14:paraId="1B23DAF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29</w:t>
            </w:r>
          </w:p>
        </w:tc>
        <w:tc>
          <w:tcPr>
            <w:tcW w:w="680" w:type="pct"/>
            <w:tcBorders>
              <w:top w:val="nil"/>
              <w:left w:val="nil"/>
              <w:bottom w:val="nil"/>
              <w:right w:val="nil"/>
            </w:tcBorders>
            <w:noWrap/>
            <w:vAlign w:val="bottom"/>
          </w:tcPr>
          <w:p w14:paraId="499490BF"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33</w:t>
            </w:r>
          </w:p>
        </w:tc>
        <w:tc>
          <w:tcPr>
            <w:tcW w:w="675" w:type="pct"/>
            <w:tcBorders>
              <w:top w:val="nil"/>
              <w:left w:val="nil"/>
              <w:right w:val="nil"/>
            </w:tcBorders>
            <w:shd w:val="clear" w:color="auto" w:fill="FFFFFF"/>
            <w:noWrap/>
            <w:vAlign w:val="bottom"/>
          </w:tcPr>
          <w:p w14:paraId="6381C6C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18 </w:t>
            </w:r>
          </w:p>
        </w:tc>
      </w:tr>
      <w:tr w:rsidR="00717BA5" w:rsidRPr="00717BA5" w14:paraId="3C7409E3" w14:textId="77777777" w:rsidTr="00717BA5">
        <w:trPr>
          <w:trHeight w:val="20"/>
        </w:trPr>
        <w:tc>
          <w:tcPr>
            <w:tcW w:w="2965" w:type="pct"/>
            <w:tcBorders>
              <w:top w:val="nil"/>
              <w:left w:val="nil"/>
              <w:right w:val="nil"/>
            </w:tcBorders>
            <w:shd w:val="clear" w:color="auto" w:fill="FFFFFF"/>
            <w:vAlign w:val="bottom"/>
          </w:tcPr>
          <w:p w14:paraId="557DB705"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color w:val="auto"/>
                <w:sz w:val="18"/>
                <w:szCs w:val="18"/>
                <w:lang w:val="en-AU"/>
              </w:rPr>
              <w:t>Grants and Contributions Income</w:t>
            </w:r>
          </w:p>
        </w:tc>
        <w:tc>
          <w:tcPr>
            <w:tcW w:w="680" w:type="pct"/>
            <w:tcBorders>
              <w:left w:val="nil"/>
              <w:bottom w:val="single" w:sz="4" w:space="0" w:color="auto"/>
              <w:right w:val="nil"/>
            </w:tcBorders>
            <w:shd w:val="clear" w:color="auto" w:fill="FFFFFF"/>
            <w:noWrap/>
            <w:vAlign w:val="bottom"/>
          </w:tcPr>
          <w:p w14:paraId="52E3230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3</w:t>
            </w:r>
          </w:p>
        </w:tc>
        <w:tc>
          <w:tcPr>
            <w:tcW w:w="680" w:type="pct"/>
            <w:tcBorders>
              <w:left w:val="nil"/>
              <w:bottom w:val="single" w:sz="4" w:space="0" w:color="auto"/>
              <w:right w:val="nil"/>
            </w:tcBorders>
            <w:shd w:val="clear" w:color="auto" w:fill="FFFFFF"/>
            <w:noWrap/>
            <w:vAlign w:val="bottom"/>
          </w:tcPr>
          <w:p w14:paraId="6EC429DF"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w:t>
            </w:r>
          </w:p>
        </w:tc>
        <w:tc>
          <w:tcPr>
            <w:tcW w:w="675" w:type="pct"/>
            <w:tcBorders>
              <w:left w:val="nil"/>
              <w:bottom w:val="single" w:sz="4" w:space="0" w:color="auto"/>
              <w:right w:val="nil"/>
            </w:tcBorders>
            <w:shd w:val="clear" w:color="auto" w:fill="FFFFFF"/>
            <w:noWrap/>
            <w:vAlign w:val="bottom"/>
          </w:tcPr>
          <w:p w14:paraId="768737C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   </w:t>
            </w:r>
          </w:p>
        </w:tc>
      </w:tr>
      <w:tr w:rsidR="00717BA5" w:rsidRPr="00717BA5" w14:paraId="4363F58A" w14:textId="77777777" w:rsidTr="00717BA5">
        <w:trPr>
          <w:trHeight w:val="20"/>
        </w:trPr>
        <w:tc>
          <w:tcPr>
            <w:tcW w:w="2965" w:type="pct"/>
            <w:tcBorders>
              <w:top w:val="nil"/>
              <w:left w:val="nil"/>
              <w:right w:val="nil"/>
            </w:tcBorders>
            <w:shd w:val="clear" w:color="auto" w:fill="FFFFFF"/>
            <w:vAlign w:val="bottom"/>
          </w:tcPr>
          <w:p w14:paraId="4AAC2AA6"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Income</w:t>
            </w:r>
          </w:p>
        </w:tc>
        <w:tc>
          <w:tcPr>
            <w:tcW w:w="680" w:type="pct"/>
            <w:tcBorders>
              <w:top w:val="single" w:sz="4" w:space="0" w:color="auto"/>
              <w:left w:val="nil"/>
              <w:bottom w:val="single" w:sz="4" w:space="0" w:color="auto"/>
              <w:right w:val="nil"/>
            </w:tcBorders>
            <w:shd w:val="clear" w:color="auto" w:fill="FFFFFF"/>
            <w:noWrap/>
            <w:vAlign w:val="bottom"/>
          </w:tcPr>
          <w:p w14:paraId="49ECEC5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3,178</w:t>
            </w:r>
          </w:p>
        </w:tc>
        <w:tc>
          <w:tcPr>
            <w:tcW w:w="680" w:type="pct"/>
            <w:tcBorders>
              <w:top w:val="single" w:sz="4" w:space="0" w:color="auto"/>
              <w:left w:val="nil"/>
              <w:bottom w:val="single" w:sz="4" w:space="0" w:color="auto"/>
              <w:right w:val="nil"/>
            </w:tcBorders>
            <w:shd w:val="clear" w:color="auto" w:fill="FFFFFF"/>
            <w:noWrap/>
            <w:vAlign w:val="bottom"/>
          </w:tcPr>
          <w:p w14:paraId="21336467"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3,185</w:t>
            </w:r>
          </w:p>
        </w:tc>
        <w:tc>
          <w:tcPr>
            <w:tcW w:w="675" w:type="pct"/>
            <w:tcBorders>
              <w:top w:val="single" w:sz="4" w:space="0" w:color="auto"/>
              <w:left w:val="nil"/>
              <w:bottom w:val="single" w:sz="4" w:space="0" w:color="auto"/>
              <w:right w:val="nil"/>
            </w:tcBorders>
            <w:shd w:val="clear" w:color="auto" w:fill="FFFFFF"/>
            <w:noWrap/>
            <w:vAlign w:val="bottom"/>
          </w:tcPr>
          <w:p w14:paraId="4B9F8FFF"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4,330</w:t>
            </w:r>
          </w:p>
        </w:tc>
      </w:tr>
      <w:tr w:rsidR="00717BA5" w:rsidRPr="00717BA5" w14:paraId="5E697230" w14:textId="77777777" w:rsidTr="00717BA5">
        <w:trPr>
          <w:trHeight w:val="20"/>
        </w:trPr>
        <w:tc>
          <w:tcPr>
            <w:tcW w:w="2965" w:type="pct"/>
            <w:tcBorders>
              <w:top w:val="nil"/>
              <w:left w:val="nil"/>
              <w:bottom w:val="nil"/>
              <w:right w:val="nil"/>
            </w:tcBorders>
            <w:shd w:val="clear" w:color="auto" w:fill="FFFFFF"/>
            <w:vAlign w:val="bottom"/>
          </w:tcPr>
          <w:p w14:paraId="6CCF890B"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noWrap/>
            <w:vAlign w:val="bottom"/>
          </w:tcPr>
          <w:p w14:paraId="70C969F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noWrap/>
            <w:vAlign w:val="bottom"/>
          </w:tcPr>
          <w:p w14:paraId="79F45757"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top w:val="nil"/>
              <w:left w:val="nil"/>
              <w:bottom w:val="nil"/>
              <w:right w:val="nil"/>
            </w:tcBorders>
            <w:shd w:val="clear" w:color="auto" w:fill="FFFFFF"/>
            <w:noWrap/>
            <w:vAlign w:val="bottom"/>
          </w:tcPr>
          <w:p w14:paraId="2DC7A09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9A18AB8" w14:textId="77777777" w:rsidTr="00717BA5">
        <w:trPr>
          <w:trHeight w:val="20"/>
        </w:trPr>
        <w:tc>
          <w:tcPr>
            <w:tcW w:w="2965" w:type="pct"/>
            <w:tcBorders>
              <w:top w:val="nil"/>
              <w:left w:val="nil"/>
              <w:bottom w:val="nil"/>
              <w:right w:val="nil"/>
            </w:tcBorders>
            <w:shd w:val="clear" w:color="auto" w:fill="FFFFFF"/>
            <w:vAlign w:val="bottom"/>
          </w:tcPr>
          <w:p w14:paraId="0E4E7C66"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Expenses</w:t>
            </w:r>
          </w:p>
        </w:tc>
        <w:tc>
          <w:tcPr>
            <w:tcW w:w="680" w:type="pct"/>
            <w:tcBorders>
              <w:top w:val="nil"/>
              <w:left w:val="nil"/>
              <w:bottom w:val="nil"/>
              <w:right w:val="nil"/>
            </w:tcBorders>
            <w:shd w:val="clear" w:color="auto" w:fill="FFFFFF"/>
            <w:noWrap/>
            <w:vAlign w:val="bottom"/>
          </w:tcPr>
          <w:p w14:paraId="74070A2D"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680" w:type="pct"/>
            <w:tcBorders>
              <w:top w:val="nil"/>
              <w:left w:val="nil"/>
              <w:bottom w:val="nil"/>
              <w:right w:val="nil"/>
            </w:tcBorders>
            <w:shd w:val="clear" w:color="auto" w:fill="FFFFFF"/>
            <w:noWrap/>
            <w:vAlign w:val="bottom"/>
          </w:tcPr>
          <w:p w14:paraId="4D1E583C"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75" w:type="pct"/>
            <w:tcBorders>
              <w:top w:val="nil"/>
              <w:left w:val="nil"/>
              <w:bottom w:val="nil"/>
              <w:right w:val="nil"/>
            </w:tcBorders>
            <w:shd w:val="clear" w:color="auto" w:fill="FFFFFF"/>
            <w:noWrap/>
            <w:vAlign w:val="bottom"/>
          </w:tcPr>
          <w:p w14:paraId="202BC14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5CF08161" w14:textId="77777777" w:rsidTr="00717BA5">
        <w:trPr>
          <w:trHeight w:val="20"/>
        </w:trPr>
        <w:tc>
          <w:tcPr>
            <w:tcW w:w="2965" w:type="pct"/>
            <w:tcBorders>
              <w:top w:val="nil"/>
              <w:left w:val="nil"/>
              <w:bottom w:val="nil"/>
              <w:right w:val="nil"/>
            </w:tcBorders>
            <w:shd w:val="clear" w:color="auto" w:fill="FFFFFF"/>
            <w:vAlign w:val="bottom"/>
          </w:tcPr>
          <w:p w14:paraId="55537FD9"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Employee Expenses</w:t>
            </w:r>
          </w:p>
        </w:tc>
        <w:tc>
          <w:tcPr>
            <w:tcW w:w="680" w:type="pct"/>
            <w:tcBorders>
              <w:top w:val="nil"/>
              <w:left w:val="nil"/>
              <w:bottom w:val="nil"/>
              <w:right w:val="nil"/>
            </w:tcBorders>
            <w:shd w:val="clear" w:color="auto" w:fill="FFFFFF"/>
            <w:vAlign w:val="bottom"/>
          </w:tcPr>
          <w:p w14:paraId="7F5C7AD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581</w:t>
            </w:r>
          </w:p>
        </w:tc>
        <w:tc>
          <w:tcPr>
            <w:tcW w:w="680" w:type="pct"/>
            <w:tcBorders>
              <w:top w:val="nil"/>
              <w:left w:val="nil"/>
              <w:bottom w:val="nil"/>
              <w:right w:val="nil"/>
            </w:tcBorders>
            <w:vAlign w:val="bottom"/>
          </w:tcPr>
          <w:p w14:paraId="19E1E0ED"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574</w:t>
            </w:r>
          </w:p>
        </w:tc>
        <w:tc>
          <w:tcPr>
            <w:tcW w:w="675" w:type="pct"/>
            <w:tcBorders>
              <w:top w:val="nil"/>
              <w:left w:val="nil"/>
              <w:bottom w:val="nil"/>
              <w:right w:val="nil"/>
            </w:tcBorders>
            <w:shd w:val="clear" w:color="auto" w:fill="FFFFFF"/>
            <w:vAlign w:val="bottom"/>
          </w:tcPr>
          <w:p w14:paraId="097EB4F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491 </w:t>
            </w:r>
          </w:p>
        </w:tc>
      </w:tr>
      <w:tr w:rsidR="00717BA5" w:rsidRPr="00717BA5" w14:paraId="4F7C824C" w14:textId="77777777" w:rsidTr="00717BA5">
        <w:trPr>
          <w:trHeight w:val="20"/>
        </w:trPr>
        <w:tc>
          <w:tcPr>
            <w:tcW w:w="2965" w:type="pct"/>
            <w:tcBorders>
              <w:top w:val="nil"/>
              <w:left w:val="nil"/>
              <w:bottom w:val="nil"/>
              <w:right w:val="nil"/>
            </w:tcBorders>
            <w:shd w:val="clear" w:color="auto" w:fill="FFFFFF"/>
            <w:vAlign w:val="bottom"/>
          </w:tcPr>
          <w:p w14:paraId="11A03B6F"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Supplies and Services</w:t>
            </w:r>
          </w:p>
        </w:tc>
        <w:tc>
          <w:tcPr>
            <w:tcW w:w="680" w:type="pct"/>
            <w:tcBorders>
              <w:top w:val="nil"/>
              <w:left w:val="nil"/>
              <w:bottom w:val="nil"/>
              <w:right w:val="nil"/>
            </w:tcBorders>
            <w:shd w:val="clear" w:color="auto" w:fill="FFFFFF"/>
            <w:vAlign w:val="bottom"/>
          </w:tcPr>
          <w:p w14:paraId="4B14D8F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430</w:t>
            </w:r>
          </w:p>
        </w:tc>
        <w:tc>
          <w:tcPr>
            <w:tcW w:w="680" w:type="pct"/>
            <w:tcBorders>
              <w:top w:val="nil"/>
              <w:left w:val="nil"/>
              <w:bottom w:val="nil"/>
              <w:right w:val="nil"/>
            </w:tcBorders>
            <w:vAlign w:val="bottom"/>
          </w:tcPr>
          <w:p w14:paraId="79D3FB5A"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363</w:t>
            </w:r>
          </w:p>
        </w:tc>
        <w:tc>
          <w:tcPr>
            <w:tcW w:w="675" w:type="pct"/>
            <w:tcBorders>
              <w:top w:val="nil"/>
              <w:left w:val="nil"/>
              <w:bottom w:val="nil"/>
              <w:right w:val="nil"/>
            </w:tcBorders>
            <w:shd w:val="clear" w:color="auto" w:fill="FFFFFF"/>
            <w:vAlign w:val="bottom"/>
          </w:tcPr>
          <w:p w14:paraId="545EAF6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412 </w:t>
            </w:r>
          </w:p>
        </w:tc>
      </w:tr>
      <w:tr w:rsidR="00717BA5" w:rsidRPr="00717BA5" w14:paraId="031CE8AC" w14:textId="77777777" w:rsidTr="00717BA5">
        <w:trPr>
          <w:trHeight w:val="20"/>
        </w:trPr>
        <w:tc>
          <w:tcPr>
            <w:tcW w:w="2965" w:type="pct"/>
            <w:tcBorders>
              <w:top w:val="nil"/>
              <w:left w:val="nil"/>
              <w:bottom w:val="nil"/>
              <w:right w:val="nil"/>
            </w:tcBorders>
            <w:shd w:val="clear" w:color="auto" w:fill="FFFFFF"/>
            <w:vAlign w:val="bottom"/>
          </w:tcPr>
          <w:p w14:paraId="769F830F"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 Benefits Expense</w:t>
            </w:r>
          </w:p>
        </w:tc>
        <w:tc>
          <w:tcPr>
            <w:tcW w:w="680" w:type="pct"/>
            <w:tcBorders>
              <w:top w:val="nil"/>
              <w:left w:val="nil"/>
              <w:right w:val="nil"/>
            </w:tcBorders>
            <w:shd w:val="clear" w:color="auto" w:fill="FFFFFF"/>
            <w:noWrap/>
            <w:vAlign w:val="bottom"/>
          </w:tcPr>
          <w:p w14:paraId="6073D46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1,492</w:t>
            </w:r>
          </w:p>
        </w:tc>
        <w:tc>
          <w:tcPr>
            <w:tcW w:w="680" w:type="pct"/>
            <w:tcBorders>
              <w:top w:val="nil"/>
              <w:left w:val="nil"/>
              <w:right w:val="nil"/>
            </w:tcBorders>
            <w:noWrap/>
            <w:vAlign w:val="bottom"/>
          </w:tcPr>
          <w:p w14:paraId="56A85A4B"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2,534</w:t>
            </w:r>
          </w:p>
        </w:tc>
        <w:tc>
          <w:tcPr>
            <w:tcW w:w="675" w:type="pct"/>
            <w:tcBorders>
              <w:top w:val="nil"/>
              <w:left w:val="nil"/>
              <w:right w:val="nil"/>
            </w:tcBorders>
            <w:shd w:val="clear" w:color="auto" w:fill="FFFFFF"/>
            <w:noWrap/>
            <w:vAlign w:val="bottom"/>
          </w:tcPr>
          <w:p w14:paraId="139CD82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1,457 </w:t>
            </w:r>
          </w:p>
        </w:tc>
      </w:tr>
      <w:tr w:rsidR="00717BA5" w:rsidRPr="00717BA5" w14:paraId="4DE5F59F" w14:textId="77777777" w:rsidTr="00717BA5">
        <w:trPr>
          <w:trHeight w:val="20"/>
        </w:trPr>
        <w:tc>
          <w:tcPr>
            <w:tcW w:w="2965" w:type="pct"/>
            <w:tcBorders>
              <w:top w:val="nil"/>
              <w:left w:val="nil"/>
              <w:bottom w:val="nil"/>
              <w:right w:val="nil"/>
            </w:tcBorders>
            <w:shd w:val="clear" w:color="auto" w:fill="FFFFFF"/>
            <w:vAlign w:val="bottom"/>
          </w:tcPr>
          <w:p w14:paraId="0716D12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Finance Costs</w:t>
            </w:r>
          </w:p>
        </w:tc>
        <w:tc>
          <w:tcPr>
            <w:tcW w:w="680" w:type="pct"/>
            <w:tcBorders>
              <w:top w:val="nil"/>
              <w:left w:val="nil"/>
              <w:right w:val="nil"/>
            </w:tcBorders>
            <w:shd w:val="clear" w:color="auto" w:fill="FFFFFF"/>
            <w:noWrap/>
            <w:vAlign w:val="bottom"/>
          </w:tcPr>
          <w:p w14:paraId="116351C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1,017</w:t>
            </w:r>
          </w:p>
        </w:tc>
        <w:tc>
          <w:tcPr>
            <w:tcW w:w="680" w:type="pct"/>
            <w:tcBorders>
              <w:top w:val="nil"/>
              <w:left w:val="nil"/>
              <w:right w:val="nil"/>
            </w:tcBorders>
            <w:noWrap/>
            <w:vAlign w:val="bottom"/>
          </w:tcPr>
          <w:p w14:paraId="2A4583D2"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758</w:t>
            </w:r>
          </w:p>
        </w:tc>
        <w:tc>
          <w:tcPr>
            <w:tcW w:w="675" w:type="pct"/>
            <w:tcBorders>
              <w:top w:val="nil"/>
              <w:left w:val="nil"/>
              <w:right w:val="nil"/>
            </w:tcBorders>
            <w:shd w:val="clear" w:color="auto" w:fill="FFFFFF"/>
            <w:noWrap/>
            <w:vAlign w:val="bottom"/>
          </w:tcPr>
          <w:p w14:paraId="47DEEAE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661 </w:t>
            </w:r>
          </w:p>
        </w:tc>
      </w:tr>
      <w:tr w:rsidR="00717BA5" w:rsidRPr="00717BA5" w14:paraId="013ED46B" w14:textId="77777777" w:rsidTr="00717BA5">
        <w:trPr>
          <w:trHeight w:val="20"/>
        </w:trPr>
        <w:tc>
          <w:tcPr>
            <w:tcW w:w="2965" w:type="pct"/>
            <w:tcBorders>
              <w:top w:val="nil"/>
              <w:left w:val="nil"/>
              <w:bottom w:val="nil"/>
              <w:right w:val="nil"/>
            </w:tcBorders>
            <w:shd w:val="clear" w:color="auto" w:fill="FFFFFF"/>
            <w:vAlign w:val="bottom"/>
          </w:tcPr>
          <w:p w14:paraId="0A0CAD2E"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Other Expenses</w:t>
            </w:r>
          </w:p>
        </w:tc>
        <w:tc>
          <w:tcPr>
            <w:tcW w:w="680" w:type="pct"/>
            <w:tcBorders>
              <w:top w:val="nil"/>
              <w:left w:val="nil"/>
              <w:bottom w:val="single" w:sz="4" w:space="0" w:color="auto"/>
              <w:right w:val="nil"/>
            </w:tcBorders>
            <w:shd w:val="clear" w:color="auto" w:fill="FFFFFF"/>
            <w:noWrap/>
            <w:vAlign w:val="bottom"/>
          </w:tcPr>
          <w:p w14:paraId="235C7E1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7</w:t>
            </w:r>
          </w:p>
        </w:tc>
        <w:tc>
          <w:tcPr>
            <w:tcW w:w="680" w:type="pct"/>
            <w:tcBorders>
              <w:top w:val="nil"/>
              <w:left w:val="nil"/>
              <w:bottom w:val="single" w:sz="4" w:space="0" w:color="auto"/>
              <w:right w:val="nil"/>
            </w:tcBorders>
            <w:shd w:val="clear" w:color="auto" w:fill="FFFFFF"/>
            <w:noWrap/>
            <w:vAlign w:val="bottom"/>
          </w:tcPr>
          <w:p w14:paraId="2E5D79DE"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3</w:t>
            </w:r>
          </w:p>
        </w:tc>
        <w:tc>
          <w:tcPr>
            <w:tcW w:w="675" w:type="pct"/>
            <w:tcBorders>
              <w:top w:val="nil"/>
              <w:left w:val="nil"/>
              <w:bottom w:val="single" w:sz="4" w:space="0" w:color="auto"/>
              <w:right w:val="nil"/>
            </w:tcBorders>
            <w:shd w:val="clear" w:color="auto" w:fill="FFFFFF"/>
            <w:noWrap/>
            <w:vAlign w:val="bottom"/>
          </w:tcPr>
          <w:p w14:paraId="531900C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6 </w:t>
            </w:r>
          </w:p>
        </w:tc>
      </w:tr>
      <w:tr w:rsidR="00717BA5" w:rsidRPr="00717BA5" w14:paraId="1ADE2230" w14:textId="77777777" w:rsidTr="00717BA5">
        <w:trPr>
          <w:trHeight w:val="20"/>
        </w:trPr>
        <w:tc>
          <w:tcPr>
            <w:tcW w:w="2965" w:type="pct"/>
            <w:tcBorders>
              <w:top w:val="nil"/>
              <w:left w:val="nil"/>
              <w:right w:val="nil"/>
            </w:tcBorders>
            <w:shd w:val="clear" w:color="auto" w:fill="FFFFFF"/>
            <w:vAlign w:val="bottom"/>
          </w:tcPr>
          <w:p w14:paraId="6267BA5A"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Expenses</w:t>
            </w:r>
          </w:p>
        </w:tc>
        <w:tc>
          <w:tcPr>
            <w:tcW w:w="680" w:type="pct"/>
            <w:tcBorders>
              <w:top w:val="single" w:sz="4" w:space="0" w:color="auto"/>
              <w:left w:val="nil"/>
              <w:bottom w:val="single" w:sz="4" w:space="0" w:color="auto"/>
              <w:right w:val="nil"/>
            </w:tcBorders>
            <w:shd w:val="clear" w:color="auto" w:fill="FFFFFF"/>
            <w:noWrap/>
            <w:vAlign w:val="bottom"/>
          </w:tcPr>
          <w:p w14:paraId="4064F25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3,527</w:t>
            </w:r>
          </w:p>
        </w:tc>
        <w:tc>
          <w:tcPr>
            <w:tcW w:w="680" w:type="pct"/>
            <w:tcBorders>
              <w:top w:val="single" w:sz="4" w:space="0" w:color="auto"/>
              <w:left w:val="nil"/>
              <w:bottom w:val="single" w:sz="4" w:space="0" w:color="auto"/>
              <w:right w:val="nil"/>
            </w:tcBorders>
            <w:shd w:val="clear" w:color="auto" w:fill="FFFFFF"/>
            <w:noWrap/>
            <w:vAlign w:val="bottom"/>
          </w:tcPr>
          <w:p w14:paraId="7BB23BF6"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4,233</w:t>
            </w:r>
          </w:p>
        </w:tc>
        <w:tc>
          <w:tcPr>
            <w:tcW w:w="675" w:type="pct"/>
            <w:tcBorders>
              <w:top w:val="single" w:sz="4" w:space="0" w:color="auto"/>
              <w:left w:val="nil"/>
              <w:bottom w:val="single" w:sz="4" w:space="0" w:color="auto"/>
              <w:right w:val="nil"/>
            </w:tcBorders>
            <w:shd w:val="clear" w:color="auto" w:fill="FFFFFF"/>
            <w:noWrap/>
            <w:vAlign w:val="bottom"/>
          </w:tcPr>
          <w:p w14:paraId="7FB34154"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3,027 </w:t>
            </w:r>
          </w:p>
        </w:tc>
      </w:tr>
      <w:tr w:rsidR="00717BA5" w:rsidRPr="00717BA5" w14:paraId="2344A59D" w14:textId="77777777" w:rsidTr="00717BA5">
        <w:trPr>
          <w:trHeight w:val="20"/>
        </w:trPr>
        <w:tc>
          <w:tcPr>
            <w:tcW w:w="2965" w:type="pct"/>
            <w:tcBorders>
              <w:top w:val="nil"/>
              <w:left w:val="nil"/>
              <w:bottom w:val="nil"/>
              <w:right w:val="nil"/>
            </w:tcBorders>
            <w:shd w:val="clear" w:color="auto" w:fill="FFFFFF"/>
            <w:vAlign w:val="bottom"/>
          </w:tcPr>
          <w:p w14:paraId="56D249DA"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noWrap/>
            <w:vAlign w:val="bottom"/>
          </w:tcPr>
          <w:p w14:paraId="5C6815C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noWrap/>
            <w:vAlign w:val="bottom"/>
          </w:tcPr>
          <w:p w14:paraId="201918A4"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top w:val="nil"/>
              <w:left w:val="nil"/>
              <w:bottom w:val="nil"/>
              <w:right w:val="nil"/>
            </w:tcBorders>
            <w:shd w:val="clear" w:color="auto" w:fill="FFFFFF"/>
            <w:noWrap/>
            <w:vAlign w:val="bottom"/>
          </w:tcPr>
          <w:p w14:paraId="7DD303C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FAB71B6" w14:textId="77777777" w:rsidTr="00717BA5">
        <w:trPr>
          <w:trHeight w:val="20"/>
        </w:trPr>
        <w:tc>
          <w:tcPr>
            <w:tcW w:w="2965" w:type="pct"/>
            <w:tcBorders>
              <w:left w:val="nil"/>
              <w:right w:val="nil"/>
            </w:tcBorders>
            <w:shd w:val="clear" w:color="auto" w:fill="FFFFFF"/>
            <w:vAlign w:val="bottom"/>
          </w:tcPr>
          <w:p w14:paraId="1B92340E"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Operating Result</w:t>
            </w:r>
          </w:p>
        </w:tc>
        <w:tc>
          <w:tcPr>
            <w:tcW w:w="680" w:type="pct"/>
            <w:tcBorders>
              <w:top w:val="single" w:sz="4" w:space="0" w:color="auto"/>
              <w:left w:val="nil"/>
              <w:bottom w:val="single" w:sz="4" w:space="0" w:color="auto"/>
              <w:right w:val="nil"/>
            </w:tcBorders>
            <w:shd w:val="clear" w:color="auto" w:fill="FFFFFF"/>
            <w:noWrap/>
            <w:vAlign w:val="bottom"/>
          </w:tcPr>
          <w:p w14:paraId="52E3C385"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(349)</w:t>
            </w:r>
          </w:p>
        </w:tc>
        <w:tc>
          <w:tcPr>
            <w:tcW w:w="680" w:type="pct"/>
            <w:tcBorders>
              <w:top w:val="single" w:sz="4" w:space="0" w:color="auto"/>
              <w:left w:val="nil"/>
              <w:bottom w:val="single" w:sz="4" w:space="0" w:color="auto"/>
              <w:right w:val="nil"/>
            </w:tcBorders>
            <w:shd w:val="clear" w:color="auto" w:fill="FFFFFF"/>
            <w:noWrap/>
            <w:vAlign w:val="bottom"/>
          </w:tcPr>
          <w:p w14:paraId="06D09545"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(1,047)</w:t>
            </w:r>
          </w:p>
        </w:tc>
        <w:tc>
          <w:tcPr>
            <w:tcW w:w="675" w:type="pct"/>
            <w:tcBorders>
              <w:top w:val="single" w:sz="4" w:space="0" w:color="auto"/>
              <w:left w:val="nil"/>
              <w:bottom w:val="single" w:sz="4" w:space="0" w:color="auto"/>
              <w:right w:val="nil"/>
            </w:tcBorders>
            <w:shd w:val="clear" w:color="auto" w:fill="FFFFFF"/>
            <w:noWrap/>
            <w:vAlign w:val="bottom"/>
          </w:tcPr>
          <w:p w14:paraId="0AFB244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color w:val="auto"/>
                <w:sz w:val="18"/>
                <w:szCs w:val="18"/>
                <w:lang w:val="en-AU" w:eastAsia="en-US"/>
              </w:rPr>
              <w:t>1,303</w:t>
            </w:r>
          </w:p>
        </w:tc>
      </w:tr>
      <w:tr w:rsidR="00717BA5" w:rsidRPr="00717BA5" w14:paraId="121B2995" w14:textId="77777777" w:rsidTr="00717BA5">
        <w:trPr>
          <w:trHeight w:val="20"/>
        </w:trPr>
        <w:tc>
          <w:tcPr>
            <w:tcW w:w="2965" w:type="pct"/>
            <w:tcBorders>
              <w:top w:val="nil"/>
              <w:left w:val="nil"/>
              <w:right w:val="nil"/>
            </w:tcBorders>
            <w:shd w:val="clear" w:color="auto" w:fill="FFFFFF"/>
            <w:vAlign w:val="bottom"/>
          </w:tcPr>
          <w:p w14:paraId="4F363C9E"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0" w:type="pct"/>
            <w:tcBorders>
              <w:top w:val="nil"/>
              <w:left w:val="nil"/>
              <w:bottom w:val="single" w:sz="4" w:space="0" w:color="auto"/>
              <w:right w:val="nil"/>
            </w:tcBorders>
            <w:shd w:val="clear" w:color="auto" w:fill="FFFFFF"/>
            <w:vAlign w:val="bottom"/>
          </w:tcPr>
          <w:p w14:paraId="6EC049A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single" w:sz="4" w:space="0" w:color="auto"/>
              <w:right w:val="nil"/>
            </w:tcBorders>
            <w:shd w:val="clear" w:color="auto" w:fill="FFFFFF"/>
            <w:vAlign w:val="bottom"/>
          </w:tcPr>
          <w:p w14:paraId="61D62D62"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top w:val="nil"/>
              <w:left w:val="nil"/>
              <w:bottom w:val="single" w:sz="4" w:space="0" w:color="auto"/>
              <w:right w:val="nil"/>
            </w:tcBorders>
            <w:shd w:val="clear" w:color="auto" w:fill="FFFFFF"/>
            <w:vAlign w:val="bottom"/>
          </w:tcPr>
          <w:p w14:paraId="7097FEE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0367DEB7" w14:textId="77777777" w:rsidTr="00717BA5">
        <w:trPr>
          <w:trHeight w:val="20"/>
        </w:trPr>
        <w:tc>
          <w:tcPr>
            <w:tcW w:w="2965" w:type="pct"/>
            <w:tcBorders>
              <w:left w:val="nil"/>
              <w:right w:val="nil"/>
            </w:tcBorders>
            <w:shd w:val="clear" w:color="auto" w:fill="FFFFFF"/>
            <w:vAlign w:val="bottom"/>
          </w:tcPr>
          <w:p w14:paraId="3716F333"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Comprehensive Result</w:t>
            </w:r>
          </w:p>
        </w:tc>
        <w:tc>
          <w:tcPr>
            <w:tcW w:w="680" w:type="pct"/>
            <w:tcBorders>
              <w:top w:val="single" w:sz="4" w:space="0" w:color="auto"/>
              <w:left w:val="nil"/>
              <w:bottom w:val="double" w:sz="4" w:space="0" w:color="auto"/>
              <w:right w:val="nil"/>
            </w:tcBorders>
            <w:shd w:val="clear" w:color="auto" w:fill="FFFFFF"/>
            <w:vAlign w:val="bottom"/>
          </w:tcPr>
          <w:p w14:paraId="067CBC9B"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(349)</w:t>
            </w:r>
          </w:p>
        </w:tc>
        <w:tc>
          <w:tcPr>
            <w:tcW w:w="680" w:type="pct"/>
            <w:tcBorders>
              <w:top w:val="single" w:sz="4" w:space="0" w:color="auto"/>
              <w:left w:val="nil"/>
              <w:bottom w:val="double" w:sz="4" w:space="0" w:color="auto"/>
              <w:right w:val="nil"/>
            </w:tcBorders>
            <w:shd w:val="clear" w:color="auto" w:fill="FFFFFF"/>
            <w:vAlign w:val="bottom"/>
          </w:tcPr>
          <w:p w14:paraId="7A5C27F3"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(1,047)</w:t>
            </w:r>
          </w:p>
        </w:tc>
        <w:tc>
          <w:tcPr>
            <w:tcW w:w="675" w:type="pct"/>
            <w:tcBorders>
              <w:top w:val="single" w:sz="4" w:space="0" w:color="auto"/>
              <w:left w:val="nil"/>
              <w:bottom w:val="double" w:sz="4" w:space="0" w:color="auto"/>
              <w:right w:val="nil"/>
            </w:tcBorders>
            <w:shd w:val="clear" w:color="auto" w:fill="FFFFFF"/>
            <w:vAlign w:val="bottom"/>
          </w:tcPr>
          <w:p w14:paraId="3C758479"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1,303</w:t>
            </w:r>
          </w:p>
        </w:tc>
      </w:tr>
    </w:tbl>
    <w:p w14:paraId="42D7D445"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6CF720F9"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br w:type="page"/>
      </w:r>
    </w:p>
    <w:p w14:paraId="5FB8DC5A" w14:textId="77777777" w:rsidR="00717BA5" w:rsidRPr="00717BA5" w:rsidRDefault="00717BA5" w:rsidP="00717BA5">
      <w:pPr>
        <w:keepNext/>
        <w:spacing w:after="0" w:line="240" w:lineRule="auto"/>
        <w:ind w:left="1276" w:hanging="1276"/>
        <w:outlineLvl w:val="1"/>
        <w:rPr>
          <w:rFonts w:ascii="Arial" w:eastAsia="Times New Roman" w:hAnsi="Arial" w:cs="Arial"/>
          <w:b/>
          <w:bCs/>
          <w:color w:val="auto"/>
          <w:sz w:val="24"/>
          <w:szCs w:val="24"/>
          <w:lang w:val="en-AU"/>
        </w:rPr>
      </w:pPr>
    </w:p>
    <w:p w14:paraId="51EA581D" w14:textId="77777777" w:rsidR="00717BA5" w:rsidRPr="00717BA5" w:rsidRDefault="00717BA5" w:rsidP="00717BA5">
      <w:pPr>
        <w:keepNext/>
        <w:spacing w:after="240" w:line="240" w:lineRule="auto"/>
        <w:ind w:left="1276" w:hanging="1276"/>
        <w:outlineLvl w:val="1"/>
        <w:rPr>
          <w:rFonts w:ascii="Arial" w:eastAsia="Times New Roman" w:hAnsi="Arial" w:cs="Arial"/>
          <w:b/>
          <w:bCs/>
          <w:color w:val="auto"/>
          <w:sz w:val="24"/>
          <w:szCs w:val="24"/>
          <w:lang w:val="en-AU"/>
        </w:rPr>
      </w:pPr>
      <w:bookmarkStart w:id="120" w:name="_Toc240533534"/>
      <w:r w:rsidRPr="00717BA5">
        <w:rPr>
          <w:rFonts w:ascii="Arial" w:eastAsia="Times New Roman" w:hAnsi="Arial" w:cs="Arial"/>
          <w:b/>
          <w:bCs/>
          <w:color w:val="auto"/>
          <w:sz w:val="24"/>
          <w:szCs w:val="24"/>
          <w:lang w:val="en-AU"/>
        </w:rPr>
        <w:t>NOTE 17.   OPERATING STATEMENT AND BALANCE SHEET FOR LONG SERVICE LEAVE SCHEMES - CONTINUED</w:t>
      </w:r>
      <w:bookmarkEnd w:id="120"/>
    </w:p>
    <w:p w14:paraId="26432E33" w14:textId="77777777" w:rsidR="00717BA5" w:rsidRPr="00717BA5" w:rsidRDefault="00717BA5" w:rsidP="00717BA5">
      <w:pPr>
        <w:spacing w:before="120" w:after="120" w:line="240" w:lineRule="auto"/>
        <w:jc w:val="center"/>
        <w:rPr>
          <w:rFonts w:ascii="Arial" w:eastAsia="Times New Roman" w:hAnsi="Arial" w:cs="Arial"/>
          <w:b/>
          <w:color w:val="auto"/>
          <w:sz w:val="22"/>
          <w:szCs w:val="22"/>
          <w:lang w:val="en-AU"/>
        </w:rPr>
      </w:pPr>
      <w:r w:rsidRPr="00717BA5">
        <w:rPr>
          <w:rFonts w:ascii="Arial" w:eastAsia="Times New Roman" w:hAnsi="Arial" w:cs="Arial"/>
          <w:b/>
          <w:color w:val="auto"/>
          <w:sz w:val="22"/>
          <w:szCs w:val="22"/>
          <w:lang w:val="en-AU"/>
        </w:rPr>
        <w:t>Services Industry Scheme – Balance Sheet</w:t>
      </w:r>
    </w:p>
    <w:tbl>
      <w:tblPr>
        <w:tblW w:w="5000" w:type="pct"/>
        <w:tblLook w:val="04A0" w:firstRow="1" w:lastRow="0" w:firstColumn="1" w:lastColumn="0" w:noHBand="0" w:noVBand="1"/>
      </w:tblPr>
      <w:tblGrid>
        <w:gridCol w:w="5900"/>
        <w:gridCol w:w="1353"/>
        <w:gridCol w:w="1353"/>
        <w:gridCol w:w="1343"/>
      </w:tblGrid>
      <w:tr w:rsidR="00717BA5" w:rsidRPr="00717BA5" w14:paraId="364AE3FB" w14:textId="77777777" w:rsidTr="00717BA5">
        <w:trPr>
          <w:trHeight w:val="272"/>
        </w:trPr>
        <w:tc>
          <w:tcPr>
            <w:tcW w:w="2965" w:type="pct"/>
            <w:tcBorders>
              <w:top w:val="nil"/>
              <w:left w:val="nil"/>
              <w:bottom w:val="nil"/>
              <w:right w:val="nil"/>
            </w:tcBorders>
            <w:shd w:val="clear" w:color="auto" w:fill="FFFFFF"/>
            <w:vAlign w:val="bottom"/>
          </w:tcPr>
          <w:p w14:paraId="7A500FF3"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0" w:type="pct"/>
            <w:tcBorders>
              <w:top w:val="nil"/>
              <w:left w:val="nil"/>
              <w:bottom w:val="nil"/>
              <w:right w:val="nil"/>
            </w:tcBorders>
            <w:shd w:val="clear" w:color="auto" w:fill="FFFFFF"/>
            <w:noWrap/>
            <w:vAlign w:val="bottom"/>
          </w:tcPr>
          <w:p w14:paraId="6C80CAA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w:t>
            </w:r>
          </w:p>
        </w:tc>
        <w:tc>
          <w:tcPr>
            <w:tcW w:w="680" w:type="pct"/>
            <w:tcBorders>
              <w:top w:val="nil"/>
              <w:left w:val="nil"/>
              <w:bottom w:val="nil"/>
              <w:right w:val="nil"/>
            </w:tcBorders>
            <w:shd w:val="clear" w:color="auto" w:fill="FFFFFF"/>
            <w:vAlign w:val="bottom"/>
          </w:tcPr>
          <w:p w14:paraId="23EC09D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Original</w:t>
            </w:r>
          </w:p>
        </w:tc>
        <w:tc>
          <w:tcPr>
            <w:tcW w:w="675" w:type="pct"/>
            <w:tcBorders>
              <w:top w:val="nil"/>
              <w:left w:val="nil"/>
              <w:bottom w:val="nil"/>
              <w:right w:val="nil"/>
            </w:tcBorders>
            <w:shd w:val="clear" w:color="auto" w:fill="FFFFFF"/>
            <w:noWrap/>
            <w:vAlign w:val="bottom"/>
          </w:tcPr>
          <w:p w14:paraId="31416EF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62B847AD" w14:textId="77777777" w:rsidTr="00717BA5">
        <w:trPr>
          <w:trHeight w:val="272"/>
        </w:trPr>
        <w:tc>
          <w:tcPr>
            <w:tcW w:w="2965" w:type="pct"/>
            <w:tcBorders>
              <w:top w:val="nil"/>
              <w:left w:val="nil"/>
              <w:bottom w:val="nil"/>
              <w:right w:val="nil"/>
            </w:tcBorders>
            <w:shd w:val="clear" w:color="auto" w:fill="FFFFFF"/>
            <w:vAlign w:val="bottom"/>
          </w:tcPr>
          <w:p w14:paraId="7218DD63"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0" w:type="pct"/>
            <w:tcBorders>
              <w:top w:val="nil"/>
              <w:left w:val="nil"/>
              <w:bottom w:val="nil"/>
              <w:right w:val="nil"/>
            </w:tcBorders>
            <w:shd w:val="clear" w:color="auto" w:fill="FFFFFF"/>
            <w:vAlign w:val="bottom"/>
          </w:tcPr>
          <w:p w14:paraId="3EF20A9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c>
          <w:tcPr>
            <w:tcW w:w="680" w:type="pct"/>
            <w:tcBorders>
              <w:top w:val="nil"/>
              <w:left w:val="nil"/>
              <w:bottom w:val="nil"/>
              <w:right w:val="nil"/>
            </w:tcBorders>
            <w:shd w:val="clear" w:color="auto" w:fill="FFFFFF"/>
            <w:vAlign w:val="bottom"/>
          </w:tcPr>
          <w:p w14:paraId="668C09D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Budget</w:t>
            </w:r>
          </w:p>
        </w:tc>
        <w:tc>
          <w:tcPr>
            <w:tcW w:w="675" w:type="pct"/>
            <w:tcBorders>
              <w:top w:val="nil"/>
              <w:left w:val="nil"/>
              <w:bottom w:val="nil"/>
              <w:right w:val="nil"/>
            </w:tcBorders>
            <w:shd w:val="clear" w:color="auto" w:fill="FFFFFF"/>
            <w:vAlign w:val="bottom"/>
          </w:tcPr>
          <w:p w14:paraId="256304B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r>
      <w:tr w:rsidR="00717BA5" w:rsidRPr="00717BA5" w14:paraId="2DC4CC11" w14:textId="77777777" w:rsidTr="00717BA5">
        <w:trPr>
          <w:trHeight w:val="272"/>
        </w:trPr>
        <w:tc>
          <w:tcPr>
            <w:tcW w:w="2965" w:type="pct"/>
            <w:tcBorders>
              <w:top w:val="nil"/>
              <w:left w:val="nil"/>
              <w:bottom w:val="nil"/>
              <w:right w:val="nil"/>
            </w:tcBorders>
            <w:shd w:val="clear" w:color="auto" w:fill="FFFFFF"/>
            <w:vAlign w:val="bottom"/>
          </w:tcPr>
          <w:p w14:paraId="52A2B354"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0" w:type="pct"/>
            <w:tcBorders>
              <w:top w:val="nil"/>
              <w:left w:val="nil"/>
              <w:bottom w:val="nil"/>
              <w:right w:val="nil"/>
            </w:tcBorders>
            <w:shd w:val="clear" w:color="auto" w:fill="FFFFFF"/>
            <w:vAlign w:val="bottom"/>
          </w:tcPr>
          <w:p w14:paraId="46C6848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680" w:type="pct"/>
            <w:tcBorders>
              <w:top w:val="nil"/>
              <w:left w:val="nil"/>
              <w:bottom w:val="nil"/>
              <w:right w:val="nil"/>
            </w:tcBorders>
            <w:shd w:val="clear" w:color="auto" w:fill="FFFFFF"/>
            <w:vAlign w:val="bottom"/>
          </w:tcPr>
          <w:p w14:paraId="48D798F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675" w:type="pct"/>
            <w:tcBorders>
              <w:top w:val="nil"/>
              <w:left w:val="nil"/>
              <w:bottom w:val="nil"/>
              <w:right w:val="nil"/>
            </w:tcBorders>
            <w:shd w:val="clear" w:color="auto" w:fill="FFFFFF"/>
            <w:vAlign w:val="bottom"/>
          </w:tcPr>
          <w:p w14:paraId="12143F1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059E6D02" w14:textId="77777777" w:rsidTr="00717BA5">
        <w:trPr>
          <w:trHeight w:val="272"/>
        </w:trPr>
        <w:tc>
          <w:tcPr>
            <w:tcW w:w="2965" w:type="pct"/>
            <w:tcBorders>
              <w:top w:val="nil"/>
              <w:left w:val="nil"/>
              <w:right w:val="nil"/>
            </w:tcBorders>
            <w:shd w:val="clear" w:color="auto" w:fill="FFFFFF"/>
            <w:vAlign w:val="bottom"/>
          </w:tcPr>
          <w:p w14:paraId="71D56DEE"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0" w:type="pct"/>
            <w:tcBorders>
              <w:top w:val="nil"/>
              <w:left w:val="nil"/>
              <w:bottom w:val="single" w:sz="4" w:space="0" w:color="auto"/>
              <w:right w:val="nil"/>
            </w:tcBorders>
            <w:shd w:val="clear" w:color="auto" w:fill="FFFFFF"/>
            <w:vAlign w:val="bottom"/>
          </w:tcPr>
          <w:p w14:paraId="23E747C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680" w:type="pct"/>
            <w:tcBorders>
              <w:top w:val="nil"/>
              <w:left w:val="nil"/>
              <w:bottom w:val="single" w:sz="4" w:space="0" w:color="auto"/>
              <w:right w:val="nil"/>
            </w:tcBorders>
            <w:shd w:val="clear" w:color="auto" w:fill="FFFFFF"/>
            <w:vAlign w:val="bottom"/>
          </w:tcPr>
          <w:p w14:paraId="7AB9BB7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675" w:type="pct"/>
            <w:tcBorders>
              <w:top w:val="nil"/>
              <w:left w:val="nil"/>
              <w:bottom w:val="single" w:sz="4" w:space="0" w:color="auto"/>
              <w:right w:val="nil"/>
            </w:tcBorders>
            <w:shd w:val="clear" w:color="auto" w:fill="FFFFFF"/>
            <w:vAlign w:val="bottom"/>
          </w:tcPr>
          <w:p w14:paraId="4259AF1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228F00E1" w14:textId="77777777" w:rsidTr="00717BA5">
        <w:trPr>
          <w:trHeight w:val="20"/>
        </w:trPr>
        <w:tc>
          <w:tcPr>
            <w:tcW w:w="2965" w:type="pct"/>
            <w:tcBorders>
              <w:top w:val="nil"/>
              <w:left w:val="nil"/>
              <w:bottom w:val="nil"/>
              <w:right w:val="nil"/>
            </w:tcBorders>
            <w:shd w:val="clear" w:color="auto" w:fill="FFFFFF"/>
            <w:vAlign w:val="bottom"/>
          </w:tcPr>
          <w:p w14:paraId="29C897EE"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Current Assets</w:t>
            </w:r>
          </w:p>
        </w:tc>
        <w:tc>
          <w:tcPr>
            <w:tcW w:w="680" w:type="pct"/>
            <w:tcBorders>
              <w:top w:val="nil"/>
              <w:left w:val="nil"/>
              <w:bottom w:val="nil"/>
              <w:right w:val="nil"/>
            </w:tcBorders>
            <w:shd w:val="clear" w:color="auto" w:fill="FFFFFF"/>
            <w:vAlign w:val="bottom"/>
          </w:tcPr>
          <w:p w14:paraId="0F7953C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680" w:type="pct"/>
            <w:tcBorders>
              <w:top w:val="nil"/>
              <w:left w:val="nil"/>
              <w:bottom w:val="nil"/>
              <w:right w:val="nil"/>
            </w:tcBorders>
            <w:shd w:val="clear" w:color="auto" w:fill="FFFFFF"/>
            <w:vAlign w:val="bottom"/>
          </w:tcPr>
          <w:p w14:paraId="3C8F329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675" w:type="pct"/>
            <w:tcBorders>
              <w:top w:val="nil"/>
              <w:left w:val="nil"/>
              <w:bottom w:val="nil"/>
              <w:right w:val="nil"/>
            </w:tcBorders>
            <w:shd w:val="clear" w:color="auto" w:fill="FFFFFF"/>
            <w:vAlign w:val="bottom"/>
          </w:tcPr>
          <w:p w14:paraId="5C93862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5EAB6EFC" w14:textId="77777777" w:rsidTr="00717BA5">
        <w:trPr>
          <w:trHeight w:val="20"/>
        </w:trPr>
        <w:tc>
          <w:tcPr>
            <w:tcW w:w="2965" w:type="pct"/>
            <w:tcBorders>
              <w:top w:val="nil"/>
              <w:left w:val="nil"/>
              <w:bottom w:val="nil"/>
              <w:right w:val="nil"/>
            </w:tcBorders>
            <w:shd w:val="clear" w:color="auto" w:fill="FFFFFF"/>
            <w:vAlign w:val="bottom"/>
          </w:tcPr>
          <w:p w14:paraId="632188B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Cash </w:t>
            </w:r>
          </w:p>
        </w:tc>
        <w:tc>
          <w:tcPr>
            <w:tcW w:w="680" w:type="pct"/>
            <w:tcBorders>
              <w:top w:val="nil"/>
              <w:left w:val="nil"/>
              <w:bottom w:val="nil"/>
              <w:right w:val="nil"/>
            </w:tcBorders>
            <w:shd w:val="clear" w:color="auto" w:fill="FFFFFF"/>
            <w:noWrap/>
            <w:vAlign w:val="bottom"/>
          </w:tcPr>
          <w:p w14:paraId="18877BB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407</w:t>
            </w:r>
          </w:p>
        </w:tc>
        <w:tc>
          <w:tcPr>
            <w:tcW w:w="680" w:type="pct"/>
            <w:tcBorders>
              <w:top w:val="nil"/>
              <w:left w:val="nil"/>
              <w:bottom w:val="nil"/>
              <w:right w:val="nil"/>
            </w:tcBorders>
            <w:shd w:val="clear" w:color="auto" w:fill="FFFFFF"/>
            <w:noWrap/>
            <w:vAlign w:val="bottom"/>
          </w:tcPr>
          <w:p w14:paraId="20A14EFB"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206</w:t>
            </w:r>
          </w:p>
        </w:tc>
        <w:tc>
          <w:tcPr>
            <w:tcW w:w="675" w:type="pct"/>
            <w:tcBorders>
              <w:top w:val="nil"/>
              <w:left w:val="nil"/>
              <w:bottom w:val="nil"/>
              <w:right w:val="nil"/>
            </w:tcBorders>
            <w:shd w:val="clear" w:color="auto" w:fill="FFFFFF"/>
            <w:noWrap/>
            <w:vAlign w:val="bottom"/>
          </w:tcPr>
          <w:p w14:paraId="675FBB9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296 </w:t>
            </w:r>
          </w:p>
        </w:tc>
      </w:tr>
      <w:tr w:rsidR="00717BA5" w:rsidRPr="00717BA5" w14:paraId="4F47539B" w14:textId="77777777" w:rsidTr="00717BA5">
        <w:trPr>
          <w:trHeight w:val="20"/>
        </w:trPr>
        <w:tc>
          <w:tcPr>
            <w:tcW w:w="2965" w:type="pct"/>
            <w:tcBorders>
              <w:top w:val="nil"/>
              <w:left w:val="nil"/>
              <w:bottom w:val="nil"/>
              <w:right w:val="nil"/>
            </w:tcBorders>
            <w:shd w:val="clear" w:color="auto" w:fill="FFFFFF"/>
            <w:vAlign w:val="bottom"/>
          </w:tcPr>
          <w:p w14:paraId="71CD940F"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Investments</w:t>
            </w:r>
          </w:p>
        </w:tc>
        <w:tc>
          <w:tcPr>
            <w:tcW w:w="680" w:type="pct"/>
            <w:tcBorders>
              <w:top w:val="nil"/>
              <w:left w:val="nil"/>
              <w:bottom w:val="nil"/>
              <w:right w:val="nil"/>
            </w:tcBorders>
            <w:shd w:val="clear" w:color="auto" w:fill="FFFFFF"/>
            <w:noWrap/>
            <w:vAlign w:val="bottom"/>
          </w:tcPr>
          <w:p w14:paraId="76B5ED7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23,434</w:t>
            </w:r>
          </w:p>
        </w:tc>
        <w:tc>
          <w:tcPr>
            <w:tcW w:w="680" w:type="pct"/>
            <w:tcBorders>
              <w:top w:val="nil"/>
              <w:left w:val="nil"/>
              <w:bottom w:val="nil"/>
              <w:right w:val="nil"/>
            </w:tcBorders>
            <w:shd w:val="clear" w:color="auto" w:fill="FFFFFF"/>
            <w:noWrap/>
            <w:vAlign w:val="bottom"/>
          </w:tcPr>
          <w:p w14:paraId="3C6415B2"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24,771</w:t>
            </w:r>
          </w:p>
        </w:tc>
        <w:tc>
          <w:tcPr>
            <w:tcW w:w="675" w:type="pct"/>
            <w:tcBorders>
              <w:top w:val="nil"/>
              <w:left w:val="nil"/>
              <w:bottom w:val="nil"/>
              <w:right w:val="nil"/>
            </w:tcBorders>
            <w:shd w:val="clear" w:color="auto" w:fill="FFFFFF"/>
            <w:noWrap/>
            <w:vAlign w:val="bottom"/>
          </w:tcPr>
          <w:p w14:paraId="66A1264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23,606 </w:t>
            </w:r>
          </w:p>
        </w:tc>
      </w:tr>
      <w:tr w:rsidR="00717BA5" w:rsidRPr="00717BA5" w14:paraId="4261B15F" w14:textId="77777777" w:rsidTr="00717BA5">
        <w:trPr>
          <w:trHeight w:val="20"/>
        </w:trPr>
        <w:tc>
          <w:tcPr>
            <w:tcW w:w="2965" w:type="pct"/>
            <w:tcBorders>
              <w:top w:val="nil"/>
              <w:left w:val="nil"/>
              <w:bottom w:val="nil"/>
              <w:right w:val="nil"/>
            </w:tcBorders>
            <w:shd w:val="clear" w:color="auto" w:fill="FFFFFF"/>
            <w:vAlign w:val="bottom"/>
          </w:tcPr>
          <w:p w14:paraId="7E5F2FE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Receivables</w:t>
            </w:r>
          </w:p>
        </w:tc>
        <w:tc>
          <w:tcPr>
            <w:tcW w:w="680" w:type="pct"/>
            <w:tcBorders>
              <w:top w:val="nil"/>
              <w:left w:val="nil"/>
              <w:bottom w:val="nil"/>
              <w:right w:val="nil"/>
            </w:tcBorders>
            <w:shd w:val="clear" w:color="auto" w:fill="FFFFFF"/>
            <w:noWrap/>
            <w:vAlign w:val="bottom"/>
          </w:tcPr>
          <w:p w14:paraId="24BDC5E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762</w:t>
            </w:r>
          </w:p>
        </w:tc>
        <w:tc>
          <w:tcPr>
            <w:tcW w:w="680" w:type="pct"/>
            <w:tcBorders>
              <w:top w:val="nil"/>
              <w:left w:val="nil"/>
              <w:bottom w:val="nil"/>
              <w:right w:val="nil"/>
            </w:tcBorders>
            <w:shd w:val="clear" w:color="auto" w:fill="FFFFFF"/>
            <w:noWrap/>
            <w:vAlign w:val="bottom"/>
          </w:tcPr>
          <w:p w14:paraId="1F5D001D"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569</w:t>
            </w:r>
          </w:p>
        </w:tc>
        <w:tc>
          <w:tcPr>
            <w:tcW w:w="675" w:type="pct"/>
            <w:tcBorders>
              <w:top w:val="nil"/>
              <w:left w:val="nil"/>
              <w:bottom w:val="nil"/>
              <w:right w:val="nil"/>
            </w:tcBorders>
            <w:shd w:val="clear" w:color="auto" w:fill="FFFFFF"/>
            <w:noWrap/>
            <w:vAlign w:val="bottom"/>
          </w:tcPr>
          <w:p w14:paraId="4DDA14E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596 </w:t>
            </w:r>
          </w:p>
        </w:tc>
      </w:tr>
      <w:tr w:rsidR="00717BA5" w:rsidRPr="00717BA5" w14:paraId="4814F6EB" w14:textId="77777777" w:rsidTr="00717BA5">
        <w:trPr>
          <w:trHeight w:val="20"/>
        </w:trPr>
        <w:tc>
          <w:tcPr>
            <w:tcW w:w="2965" w:type="pct"/>
            <w:tcBorders>
              <w:left w:val="nil"/>
              <w:right w:val="nil"/>
            </w:tcBorders>
            <w:shd w:val="clear" w:color="auto" w:fill="FFFFFF"/>
            <w:vAlign w:val="bottom"/>
          </w:tcPr>
          <w:p w14:paraId="38DE6B38"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Current Assets</w:t>
            </w:r>
          </w:p>
        </w:tc>
        <w:tc>
          <w:tcPr>
            <w:tcW w:w="680" w:type="pct"/>
            <w:tcBorders>
              <w:top w:val="single" w:sz="4" w:space="0" w:color="auto"/>
              <w:left w:val="nil"/>
              <w:right w:val="nil"/>
            </w:tcBorders>
            <w:shd w:val="clear" w:color="auto" w:fill="FFFFFF"/>
            <w:noWrap/>
            <w:vAlign w:val="bottom"/>
          </w:tcPr>
          <w:p w14:paraId="47C417C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24,603</w:t>
            </w:r>
          </w:p>
        </w:tc>
        <w:tc>
          <w:tcPr>
            <w:tcW w:w="680" w:type="pct"/>
            <w:tcBorders>
              <w:top w:val="single" w:sz="4" w:space="0" w:color="auto"/>
              <w:left w:val="nil"/>
              <w:right w:val="nil"/>
            </w:tcBorders>
            <w:shd w:val="clear" w:color="auto" w:fill="FFFFFF"/>
            <w:noWrap/>
            <w:vAlign w:val="bottom"/>
          </w:tcPr>
          <w:p w14:paraId="48D16F0F"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25,547</w:t>
            </w:r>
          </w:p>
        </w:tc>
        <w:tc>
          <w:tcPr>
            <w:tcW w:w="675" w:type="pct"/>
            <w:tcBorders>
              <w:top w:val="single" w:sz="4" w:space="0" w:color="auto"/>
              <w:left w:val="nil"/>
              <w:right w:val="nil"/>
            </w:tcBorders>
            <w:shd w:val="clear" w:color="auto" w:fill="FFFFFF"/>
            <w:noWrap/>
            <w:vAlign w:val="bottom"/>
          </w:tcPr>
          <w:p w14:paraId="259E61A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 xml:space="preserve"> 24,498 </w:t>
            </w:r>
          </w:p>
        </w:tc>
      </w:tr>
      <w:tr w:rsidR="00717BA5" w:rsidRPr="00717BA5" w14:paraId="0537258B" w14:textId="77777777" w:rsidTr="00717BA5">
        <w:trPr>
          <w:trHeight w:val="20"/>
        </w:trPr>
        <w:tc>
          <w:tcPr>
            <w:tcW w:w="2965" w:type="pct"/>
            <w:tcBorders>
              <w:left w:val="nil"/>
              <w:bottom w:val="nil"/>
              <w:right w:val="nil"/>
            </w:tcBorders>
            <w:shd w:val="clear" w:color="auto" w:fill="FFFFFF"/>
            <w:vAlign w:val="bottom"/>
          </w:tcPr>
          <w:p w14:paraId="67517880"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0" w:type="pct"/>
            <w:tcBorders>
              <w:left w:val="nil"/>
              <w:bottom w:val="nil"/>
              <w:right w:val="nil"/>
            </w:tcBorders>
            <w:shd w:val="clear" w:color="auto" w:fill="FFFFFF"/>
            <w:vAlign w:val="bottom"/>
          </w:tcPr>
          <w:p w14:paraId="3B88AC4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left w:val="nil"/>
              <w:bottom w:val="nil"/>
              <w:right w:val="nil"/>
            </w:tcBorders>
            <w:shd w:val="clear" w:color="auto" w:fill="FFFFFF"/>
            <w:vAlign w:val="bottom"/>
          </w:tcPr>
          <w:p w14:paraId="054506B8"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left w:val="nil"/>
              <w:bottom w:val="nil"/>
              <w:right w:val="nil"/>
            </w:tcBorders>
            <w:shd w:val="clear" w:color="auto" w:fill="FFFFFF"/>
            <w:vAlign w:val="bottom"/>
          </w:tcPr>
          <w:p w14:paraId="441F70C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0F32BCFF" w14:textId="77777777" w:rsidTr="00717BA5">
        <w:trPr>
          <w:trHeight w:val="20"/>
        </w:trPr>
        <w:tc>
          <w:tcPr>
            <w:tcW w:w="2965" w:type="pct"/>
            <w:tcBorders>
              <w:left w:val="nil"/>
              <w:right w:val="nil"/>
            </w:tcBorders>
            <w:shd w:val="clear" w:color="auto" w:fill="FFFFFF"/>
            <w:vAlign w:val="bottom"/>
          </w:tcPr>
          <w:p w14:paraId="2FA7FA66"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Assets</w:t>
            </w:r>
          </w:p>
        </w:tc>
        <w:tc>
          <w:tcPr>
            <w:tcW w:w="680" w:type="pct"/>
            <w:tcBorders>
              <w:top w:val="single" w:sz="4" w:space="0" w:color="auto"/>
              <w:left w:val="nil"/>
              <w:bottom w:val="single" w:sz="4" w:space="0" w:color="auto"/>
              <w:right w:val="nil"/>
            </w:tcBorders>
            <w:shd w:val="clear" w:color="auto" w:fill="FFFFFF"/>
            <w:noWrap/>
            <w:vAlign w:val="bottom"/>
          </w:tcPr>
          <w:p w14:paraId="5A3DD7AC"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24,603</w:t>
            </w:r>
          </w:p>
        </w:tc>
        <w:tc>
          <w:tcPr>
            <w:tcW w:w="680" w:type="pct"/>
            <w:tcBorders>
              <w:top w:val="single" w:sz="4" w:space="0" w:color="auto"/>
              <w:left w:val="nil"/>
              <w:bottom w:val="single" w:sz="4" w:space="0" w:color="auto"/>
              <w:right w:val="nil"/>
            </w:tcBorders>
            <w:shd w:val="clear" w:color="auto" w:fill="FFFFFF"/>
            <w:noWrap/>
            <w:vAlign w:val="bottom"/>
          </w:tcPr>
          <w:p w14:paraId="1187B94E"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25,547</w:t>
            </w:r>
          </w:p>
        </w:tc>
        <w:tc>
          <w:tcPr>
            <w:tcW w:w="675" w:type="pct"/>
            <w:tcBorders>
              <w:top w:val="single" w:sz="4" w:space="0" w:color="auto"/>
              <w:left w:val="nil"/>
              <w:bottom w:val="single" w:sz="4" w:space="0" w:color="auto"/>
              <w:right w:val="nil"/>
            </w:tcBorders>
            <w:shd w:val="clear" w:color="auto" w:fill="FFFFFF"/>
            <w:noWrap/>
            <w:vAlign w:val="bottom"/>
          </w:tcPr>
          <w:p w14:paraId="1EDC9451"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24,498</w:t>
            </w:r>
          </w:p>
        </w:tc>
      </w:tr>
      <w:tr w:rsidR="00717BA5" w:rsidRPr="00717BA5" w14:paraId="36B9EB4B" w14:textId="77777777" w:rsidTr="00717BA5">
        <w:trPr>
          <w:trHeight w:val="20"/>
        </w:trPr>
        <w:tc>
          <w:tcPr>
            <w:tcW w:w="2965" w:type="pct"/>
            <w:tcBorders>
              <w:top w:val="nil"/>
              <w:left w:val="nil"/>
              <w:bottom w:val="nil"/>
              <w:right w:val="nil"/>
            </w:tcBorders>
            <w:shd w:val="clear" w:color="auto" w:fill="FFFFFF"/>
            <w:vAlign w:val="bottom"/>
          </w:tcPr>
          <w:p w14:paraId="288946C0"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vAlign w:val="bottom"/>
          </w:tcPr>
          <w:p w14:paraId="356BEB7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vAlign w:val="bottom"/>
          </w:tcPr>
          <w:p w14:paraId="08364660"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top w:val="nil"/>
              <w:left w:val="nil"/>
              <w:bottom w:val="nil"/>
              <w:right w:val="nil"/>
            </w:tcBorders>
            <w:shd w:val="clear" w:color="auto" w:fill="FFFFFF"/>
            <w:vAlign w:val="bottom"/>
          </w:tcPr>
          <w:p w14:paraId="25367F2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7D94A60" w14:textId="77777777" w:rsidTr="00717BA5">
        <w:trPr>
          <w:trHeight w:val="20"/>
        </w:trPr>
        <w:tc>
          <w:tcPr>
            <w:tcW w:w="2965" w:type="pct"/>
            <w:tcBorders>
              <w:top w:val="nil"/>
              <w:left w:val="nil"/>
              <w:bottom w:val="nil"/>
              <w:right w:val="nil"/>
            </w:tcBorders>
            <w:shd w:val="clear" w:color="auto" w:fill="FFFFFF"/>
            <w:vAlign w:val="bottom"/>
          </w:tcPr>
          <w:p w14:paraId="15845F16"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vAlign w:val="bottom"/>
          </w:tcPr>
          <w:p w14:paraId="1240835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vAlign w:val="bottom"/>
          </w:tcPr>
          <w:p w14:paraId="4FFC85B7"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top w:val="nil"/>
              <w:left w:val="nil"/>
              <w:bottom w:val="nil"/>
              <w:right w:val="nil"/>
            </w:tcBorders>
            <w:shd w:val="clear" w:color="auto" w:fill="FFFFFF"/>
            <w:vAlign w:val="bottom"/>
          </w:tcPr>
          <w:p w14:paraId="25A28BC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EC4D777" w14:textId="77777777" w:rsidTr="00717BA5">
        <w:trPr>
          <w:trHeight w:val="20"/>
        </w:trPr>
        <w:tc>
          <w:tcPr>
            <w:tcW w:w="2965" w:type="pct"/>
            <w:tcBorders>
              <w:top w:val="nil"/>
              <w:left w:val="nil"/>
              <w:bottom w:val="nil"/>
              <w:right w:val="nil"/>
            </w:tcBorders>
            <w:shd w:val="clear" w:color="auto" w:fill="FFFFFF"/>
            <w:vAlign w:val="bottom"/>
          </w:tcPr>
          <w:p w14:paraId="16073319"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Current Liabilities</w:t>
            </w:r>
          </w:p>
        </w:tc>
        <w:tc>
          <w:tcPr>
            <w:tcW w:w="680" w:type="pct"/>
            <w:tcBorders>
              <w:top w:val="nil"/>
              <w:left w:val="nil"/>
              <w:bottom w:val="nil"/>
              <w:right w:val="nil"/>
            </w:tcBorders>
            <w:shd w:val="clear" w:color="auto" w:fill="FFFFFF"/>
            <w:vAlign w:val="bottom"/>
          </w:tcPr>
          <w:p w14:paraId="2D4000F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vAlign w:val="bottom"/>
          </w:tcPr>
          <w:p w14:paraId="0B7247D2"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top w:val="nil"/>
              <w:left w:val="nil"/>
              <w:bottom w:val="nil"/>
              <w:right w:val="nil"/>
            </w:tcBorders>
            <w:shd w:val="clear" w:color="auto" w:fill="FFFFFF"/>
            <w:vAlign w:val="bottom"/>
          </w:tcPr>
          <w:p w14:paraId="3A3A045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D7B3D57" w14:textId="77777777" w:rsidTr="00717BA5">
        <w:trPr>
          <w:trHeight w:val="20"/>
        </w:trPr>
        <w:tc>
          <w:tcPr>
            <w:tcW w:w="2965" w:type="pct"/>
            <w:tcBorders>
              <w:top w:val="nil"/>
              <w:left w:val="nil"/>
              <w:bottom w:val="nil"/>
              <w:right w:val="nil"/>
            </w:tcBorders>
            <w:shd w:val="clear" w:color="auto" w:fill="FFFFFF"/>
            <w:vAlign w:val="bottom"/>
          </w:tcPr>
          <w:p w14:paraId="408ADEFA"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Payables</w:t>
            </w:r>
          </w:p>
        </w:tc>
        <w:tc>
          <w:tcPr>
            <w:tcW w:w="680" w:type="pct"/>
            <w:tcBorders>
              <w:top w:val="nil"/>
              <w:left w:val="nil"/>
              <w:bottom w:val="nil"/>
              <w:right w:val="nil"/>
            </w:tcBorders>
            <w:shd w:val="clear" w:color="auto" w:fill="FFFFFF"/>
            <w:noWrap/>
            <w:vAlign w:val="bottom"/>
          </w:tcPr>
          <w:p w14:paraId="2A98E22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247</w:t>
            </w:r>
          </w:p>
        </w:tc>
        <w:tc>
          <w:tcPr>
            <w:tcW w:w="680" w:type="pct"/>
            <w:tcBorders>
              <w:top w:val="nil"/>
              <w:left w:val="nil"/>
              <w:bottom w:val="nil"/>
              <w:right w:val="nil"/>
            </w:tcBorders>
            <w:shd w:val="clear" w:color="auto" w:fill="FFFFFF"/>
            <w:noWrap/>
            <w:vAlign w:val="bottom"/>
          </w:tcPr>
          <w:p w14:paraId="4627E680"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166</w:t>
            </w:r>
          </w:p>
        </w:tc>
        <w:tc>
          <w:tcPr>
            <w:tcW w:w="675" w:type="pct"/>
            <w:tcBorders>
              <w:top w:val="nil"/>
              <w:left w:val="nil"/>
              <w:bottom w:val="nil"/>
              <w:right w:val="nil"/>
            </w:tcBorders>
            <w:shd w:val="clear" w:color="auto" w:fill="FFFFFF"/>
            <w:noWrap/>
            <w:vAlign w:val="bottom"/>
          </w:tcPr>
          <w:p w14:paraId="03C2A68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276 </w:t>
            </w:r>
          </w:p>
        </w:tc>
      </w:tr>
      <w:tr w:rsidR="00717BA5" w:rsidRPr="00717BA5" w14:paraId="6CAF881A" w14:textId="77777777" w:rsidTr="00717BA5">
        <w:trPr>
          <w:trHeight w:val="20"/>
        </w:trPr>
        <w:tc>
          <w:tcPr>
            <w:tcW w:w="2965" w:type="pct"/>
            <w:tcBorders>
              <w:top w:val="nil"/>
              <w:left w:val="nil"/>
              <w:right w:val="nil"/>
            </w:tcBorders>
            <w:shd w:val="clear" w:color="auto" w:fill="FFFFFF"/>
            <w:vAlign w:val="bottom"/>
          </w:tcPr>
          <w:p w14:paraId="5BED2A90"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Provision for Long Service Leave Benefits</w:t>
            </w:r>
          </w:p>
        </w:tc>
        <w:tc>
          <w:tcPr>
            <w:tcW w:w="680" w:type="pct"/>
            <w:tcBorders>
              <w:top w:val="nil"/>
              <w:left w:val="nil"/>
              <w:right w:val="nil"/>
            </w:tcBorders>
            <w:shd w:val="clear" w:color="auto" w:fill="FFFFFF"/>
            <w:noWrap/>
            <w:vAlign w:val="bottom"/>
          </w:tcPr>
          <w:p w14:paraId="3486CF1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right w:val="nil"/>
            </w:tcBorders>
            <w:shd w:val="clear" w:color="auto" w:fill="FFFFFF"/>
            <w:noWrap/>
            <w:vAlign w:val="bottom"/>
          </w:tcPr>
          <w:p w14:paraId="32C3C46E"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top w:val="nil"/>
              <w:left w:val="nil"/>
              <w:right w:val="nil"/>
            </w:tcBorders>
            <w:shd w:val="clear" w:color="auto" w:fill="FFFFFF"/>
            <w:noWrap/>
            <w:vAlign w:val="bottom"/>
          </w:tcPr>
          <w:p w14:paraId="1B537B5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FCE2F74" w14:textId="77777777" w:rsidTr="00717BA5">
        <w:trPr>
          <w:trHeight w:val="20"/>
        </w:trPr>
        <w:tc>
          <w:tcPr>
            <w:tcW w:w="2965" w:type="pct"/>
            <w:tcBorders>
              <w:top w:val="nil"/>
              <w:left w:val="nil"/>
              <w:right w:val="nil"/>
            </w:tcBorders>
            <w:shd w:val="clear" w:color="auto" w:fill="FFFFFF"/>
            <w:vAlign w:val="bottom"/>
          </w:tcPr>
          <w:p w14:paraId="250542EF"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Expected to be Settled Within 12 months</w:t>
            </w:r>
          </w:p>
        </w:tc>
        <w:tc>
          <w:tcPr>
            <w:tcW w:w="680" w:type="pct"/>
            <w:tcBorders>
              <w:top w:val="nil"/>
              <w:left w:val="nil"/>
              <w:right w:val="nil"/>
            </w:tcBorders>
            <w:shd w:val="clear" w:color="auto" w:fill="FFFFFF"/>
            <w:noWrap/>
            <w:vAlign w:val="bottom"/>
          </w:tcPr>
          <w:p w14:paraId="55E59D7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1,372</w:t>
            </w:r>
          </w:p>
        </w:tc>
        <w:tc>
          <w:tcPr>
            <w:tcW w:w="680" w:type="pct"/>
            <w:tcBorders>
              <w:top w:val="nil"/>
              <w:left w:val="nil"/>
              <w:right w:val="nil"/>
            </w:tcBorders>
            <w:shd w:val="clear" w:color="auto" w:fill="FFFFFF"/>
            <w:noWrap/>
            <w:vAlign w:val="bottom"/>
          </w:tcPr>
          <w:p w14:paraId="64D6EBD8"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1,399</w:t>
            </w:r>
          </w:p>
        </w:tc>
        <w:tc>
          <w:tcPr>
            <w:tcW w:w="675" w:type="pct"/>
            <w:tcBorders>
              <w:top w:val="nil"/>
              <w:left w:val="nil"/>
              <w:right w:val="nil"/>
            </w:tcBorders>
            <w:shd w:val="clear" w:color="auto" w:fill="FFFFFF"/>
            <w:noWrap/>
            <w:vAlign w:val="bottom"/>
          </w:tcPr>
          <w:p w14:paraId="2422A2D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1,251 </w:t>
            </w:r>
          </w:p>
        </w:tc>
      </w:tr>
      <w:tr w:rsidR="00717BA5" w:rsidRPr="00717BA5" w14:paraId="68AD769E" w14:textId="77777777" w:rsidTr="00717BA5">
        <w:trPr>
          <w:trHeight w:val="20"/>
        </w:trPr>
        <w:tc>
          <w:tcPr>
            <w:tcW w:w="2965" w:type="pct"/>
            <w:tcBorders>
              <w:top w:val="nil"/>
              <w:left w:val="nil"/>
              <w:right w:val="nil"/>
            </w:tcBorders>
            <w:shd w:val="clear" w:color="auto" w:fill="FFFFFF"/>
            <w:vAlign w:val="bottom"/>
          </w:tcPr>
          <w:p w14:paraId="03FF6011"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Expected to be Settled After 12 months</w:t>
            </w:r>
          </w:p>
        </w:tc>
        <w:tc>
          <w:tcPr>
            <w:tcW w:w="680" w:type="pct"/>
            <w:tcBorders>
              <w:top w:val="nil"/>
              <w:left w:val="nil"/>
              <w:right w:val="nil"/>
            </w:tcBorders>
            <w:shd w:val="clear" w:color="auto" w:fill="FFFFFF"/>
            <w:noWrap/>
            <w:vAlign w:val="bottom"/>
          </w:tcPr>
          <w:p w14:paraId="7715275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10,257</w:t>
            </w:r>
          </w:p>
        </w:tc>
        <w:tc>
          <w:tcPr>
            <w:tcW w:w="680" w:type="pct"/>
            <w:tcBorders>
              <w:top w:val="nil"/>
              <w:left w:val="nil"/>
              <w:right w:val="nil"/>
            </w:tcBorders>
            <w:shd w:val="clear" w:color="auto" w:fill="FFFFFF"/>
            <w:noWrap/>
            <w:vAlign w:val="bottom"/>
          </w:tcPr>
          <w:p w14:paraId="01942E06"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12,652</w:t>
            </w:r>
          </w:p>
        </w:tc>
        <w:tc>
          <w:tcPr>
            <w:tcW w:w="675" w:type="pct"/>
            <w:tcBorders>
              <w:top w:val="nil"/>
              <w:left w:val="nil"/>
              <w:right w:val="nil"/>
            </w:tcBorders>
            <w:shd w:val="clear" w:color="auto" w:fill="FFFFFF"/>
            <w:noWrap/>
            <w:vAlign w:val="bottom"/>
          </w:tcPr>
          <w:p w14:paraId="2CB64CC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10,550</w:t>
            </w:r>
          </w:p>
        </w:tc>
      </w:tr>
      <w:tr w:rsidR="00717BA5" w:rsidRPr="00717BA5" w14:paraId="62A41506" w14:textId="77777777" w:rsidTr="00717BA5">
        <w:trPr>
          <w:trHeight w:val="20"/>
        </w:trPr>
        <w:tc>
          <w:tcPr>
            <w:tcW w:w="2965" w:type="pct"/>
            <w:tcBorders>
              <w:top w:val="nil"/>
              <w:left w:val="nil"/>
              <w:right w:val="nil"/>
            </w:tcBorders>
            <w:shd w:val="clear" w:color="auto" w:fill="FFFFFF"/>
            <w:vAlign w:val="bottom"/>
          </w:tcPr>
          <w:p w14:paraId="61AC736F"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Employee Benefits </w:t>
            </w:r>
          </w:p>
        </w:tc>
        <w:tc>
          <w:tcPr>
            <w:tcW w:w="680" w:type="pct"/>
            <w:tcBorders>
              <w:top w:val="nil"/>
              <w:left w:val="nil"/>
              <w:bottom w:val="single" w:sz="4" w:space="0" w:color="auto"/>
              <w:right w:val="nil"/>
            </w:tcBorders>
            <w:shd w:val="clear" w:color="auto" w:fill="FFFFFF"/>
            <w:noWrap/>
            <w:vAlign w:val="bottom"/>
          </w:tcPr>
          <w:p w14:paraId="2FD55E5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119</w:t>
            </w:r>
          </w:p>
        </w:tc>
        <w:tc>
          <w:tcPr>
            <w:tcW w:w="680" w:type="pct"/>
            <w:tcBorders>
              <w:top w:val="nil"/>
              <w:left w:val="nil"/>
              <w:bottom w:val="single" w:sz="4" w:space="0" w:color="auto"/>
              <w:right w:val="nil"/>
            </w:tcBorders>
            <w:shd w:val="clear" w:color="auto" w:fill="FFFFFF"/>
            <w:noWrap/>
            <w:vAlign w:val="bottom"/>
          </w:tcPr>
          <w:p w14:paraId="2791E4FC"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142</w:t>
            </w:r>
          </w:p>
        </w:tc>
        <w:tc>
          <w:tcPr>
            <w:tcW w:w="675" w:type="pct"/>
            <w:tcBorders>
              <w:top w:val="nil"/>
              <w:left w:val="nil"/>
              <w:bottom w:val="single" w:sz="4" w:space="0" w:color="auto"/>
              <w:right w:val="nil"/>
            </w:tcBorders>
            <w:shd w:val="clear" w:color="auto" w:fill="FFFFFF"/>
            <w:noWrap/>
            <w:vAlign w:val="bottom"/>
          </w:tcPr>
          <w:p w14:paraId="230A712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117 </w:t>
            </w:r>
          </w:p>
        </w:tc>
      </w:tr>
      <w:tr w:rsidR="00717BA5" w:rsidRPr="00717BA5" w14:paraId="6F294A73" w14:textId="77777777" w:rsidTr="00717BA5">
        <w:trPr>
          <w:trHeight w:val="20"/>
        </w:trPr>
        <w:tc>
          <w:tcPr>
            <w:tcW w:w="2965" w:type="pct"/>
            <w:tcBorders>
              <w:left w:val="nil"/>
              <w:right w:val="nil"/>
            </w:tcBorders>
            <w:shd w:val="clear" w:color="auto" w:fill="FFFFFF"/>
            <w:vAlign w:val="bottom"/>
          </w:tcPr>
          <w:p w14:paraId="4BC76CEF" w14:textId="77777777" w:rsidR="00717BA5" w:rsidRPr="00717BA5" w:rsidRDefault="00717BA5" w:rsidP="00717BA5">
            <w:pPr>
              <w:spacing w:after="0" w:line="240" w:lineRule="auto"/>
              <w:rPr>
                <w:rFonts w:ascii="Arial" w:eastAsia="Times New Roman" w:hAnsi="Arial" w:cs="Arial"/>
                <w:b/>
                <w:color w:val="auto"/>
                <w:sz w:val="18"/>
                <w:szCs w:val="18"/>
                <w:highlight w:val="yellow"/>
                <w:lang w:val="en-AU"/>
              </w:rPr>
            </w:pPr>
            <w:r w:rsidRPr="00717BA5">
              <w:rPr>
                <w:rFonts w:ascii="Arial" w:eastAsia="Times New Roman" w:hAnsi="Arial" w:cs="Arial"/>
                <w:b/>
                <w:color w:val="auto"/>
                <w:sz w:val="18"/>
                <w:szCs w:val="18"/>
                <w:lang w:val="en-AU"/>
              </w:rPr>
              <w:t>Total Current Liabilities</w:t>
            </w:r>
          </w:p>
        </w:tc>
        <w:tc>
          <w:tcPr>
            <w:tcW w:w="680" w:type="pct"/>
            <w:tcBorders>
              <w:top w:val="single" w:sz="4" w:space="0" w:color="auto"/>
              <w:left w:val="nil"/>
              <w:right w:val="nil"/>
            </w:tcBorders>
            <w:shd w:val="clear" w:color="auto" w:fill="FFFFFF"/>
            <w:noWrap/>
            <w:vAlign w:val="bottom"/>
          </w:tcPr>
          <w:p w14:paraId="3CAAD9E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11,995</w:t>
            </w:r>
          </w:p>
        </w:tc>
        <w:tc>
          <w:tcPr>
            <w:tcW w:w="680" w:type="pct"/>
            <w:tcBorders>
              <w:top w:val="single" w:sz="4" w:space="0" w:color="auto"/>
              <w:left w:val="nil"/>
              <w:right w:val="nil"/>
            </w:tcBorders>
            <w:shd w:val="clear" w:color="auto" w:fill="FFFFFF"/>
            <w:noWrap/>
            <w:vAlign w:val="bottom"/>
          </w:tcPr>
          <w:p w14:paraId="01772F6B"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14,359</w:t>
            </w:r>
          </w:p>
        </w:tc>
        <w:tc>
          <w:tcPr>
            <w:tcW w:w="675" w:type="pct"/>
            <w:tcBorders>
              <w:top w:val="single" w:sz="4" w:space="0" w:color="auto"/>
              <w:left w:val="nil"/>
              <w:right w:val="nil"/>
            </w:tcBorders>
            <w:shd w:val="clear" w:color="auto" w:fill="FFFFFF"/>
            <w:noWrap/>
            <w:vAlign w:val="bottom"/>
          </w:tcPr>
          <w:p w14:paraId="5462D8F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 xml:space="preserve"> 12,194 </w:t>
            </w:r>
          </w:p>
        </w:tc>
      </w:tr>
      <w:tr w:rsidR="00717BA5" w:rsidRPr="00717BA5" w14:paraId="5E4803A5" w14:textId="77777777" w:rsidTr="00717BA5">
        <w:trPr>
          <w:trHeight w:val="20"/>
        </w:trPr>
        <w:tc>
          <w:tcPr>
            <w:tcW w:w="2965" w:type="pct"/>
            <w:tcBorders>
              <w:top w:val="nil"/>
              <w:left w:val="nil"/>
              <w:bottom w:val="nil"/>
              <w:right w:val="nil"/>
            </w:tcBorders>
            <w:shd w:val="clear" w:color="auto" w:fill="FFFFFF"/>
            <w:vAlign w:val="bottom"/>
          </w:tcPr>
          <w:p w14:paraId="1E1A0C39"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vAlign w:val="bottom"/>
          </w:tcPr>
          <w:p w14:paraId="6853B6A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vAlign w:val="bottom"/>
          </w:tcPr>
          <w:p w14:paraId="6E931D9A"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top w:val="nil"/>
              <w:left w:val="nil"/>
              <w:bottom w:val="nil"/>
              <w:right w:val="nil"/>
            </w:tcBorders>
            <w:shd w:val="clear" w:color="auto" w:fill="FFFFFF"/>
            <w:vAlign w:val="bottom"/>
          </w:tcPr>
          <w:p w14:paraId="1CE37D3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25E81CE" w14:textId="77777777" w:rsidTr="00717BA5">
        <w:trPr>
          <w:trHeight w:val="20"/>
        </w:trPr>
        <w:tc>
          <w:tcPr>
            <w:tcW w:w="2965" w:type="pct"/>
            <w:tcBorders>
              <w:top w:val="nil"/>
              <w:left w:val="nil"/>
              <w:bottom w:val="nil"/>
              <w:right w:val="nil"/>
            </w:tcBorders>
            <w:shd w:val="clear" w:color="auto" w:fill="FFFFFF"/>
            <w:vAlign w:val="bottom"/>
          </w:tcPr>
          <w:p w14:paraId="0BC0A829"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Non-Current Liabilities</w:t>
            </w:r>
          </w:p>
        </w:tc>
        <w:tc>
          <w:tcPr>
            <w:tcW w:w="680" w:type="pct"/>
            <w:tcBorders>
              <w:top w:val="nil"/>
              <w:left w:val="nil"/>
              <w:bottom w:val="nil"/>
              <w:right w:val="nil"/>
            </w:tcBorders>
            <w:shd w:val="clear" w:color="auto" w:fill="FFFFFF"/>
            <w:vAlign w:val="bottom"/>
          </w:tcPr>
          <w:p w14:paraId="78FFF0D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noWrap/>
            <w:vAlign w:val="bottom"/>
          </w:tcPr>
          <w:p w14:paraId="0DC7D1BC"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top w:val="nil"/>
              <w:left w:val="nil"/>
              <w:bottom w:val="nil"/>
              <w:right w:val="nil"/>
            </w:tcBorders>
            <w:shd w:val="clear" w:color="auto" w:fill="FFFFFF"/>
            <w:vAlign w:val="bottom"/>
          </w:tcPr>
          <w:p w14:paraId="45C5DA8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44D0427" w14:textId="77777777" w:rsidTr="00717BA5">
        <w:trPr>
          <w:trHeight w:val="20"/>
        </w:trPr>
        <w:tc>
          <w:tcPr>
            <w:tcW w:w="2965" w:type="pct"/>
            <w:tcBorders>
              <w:top w:val="nil"/>
              <w:left w:val="nil"/>
              <w:bottom w:val="nil"/>
              <w:right w:val="nil"/>
            </w:tcBorders>
            <w:shd w:val="clear" w:color="auto" w:fill="FFFFFF"/>
            <w:vAlign w:val="bottom"/>
          </w:tcPr>
          <w:p w14:paraId="0EA69E3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Provision for Long Service Leave Benefits</w:t>
            </w:r>
          </w:p>
        </w:tc>
        <w:tc>
          <w:tcPr>
            <w:tcW w:w="680" w:type="pct"/>
            <w:tcBorders>
              <w:top w:val="nil"/>
              <w:left w:val="nil"/>
              <w:bottom w:val="nil"/>
              <w:right w:val="nil"/>
            </w:tcBorders>
            <w:shd w:val="clear" w:color="auto" w:fill="FFFFFF"/>
            <w:noWrap/>
            <w:vAlign w:val="bottom"/>
          </w:tcPr>
          <w:p w14:paraId="291090C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1,197</w:t>
            </w:r>
          </w:p>
        </w:tc>
        <w:tc>
          <w:tcPr>
            <w:tcW w:w="680" w:type="pct"/>
            <w:tcBorders>
              <w:top w:val="nil"/>
              <w:left w:val="nil"/>
              <w:bottom w:val="nil"/>
              <w:right w:val="nil"/>
            </w:tcBorders>
            <w:shd w:val="clear" w:color="auto" w:fill="FFFFFF"/>
            <w:noWrap/>
            <w:vAlign w:val="bottom"/>
          </w:tcPr>
          <w:p w14:paraId="7B8EF23D"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1,255</w:t>
            </w:r>
          </w:p>
        </w:tc>
        <w:tc>
          <w:tcPr>
            <w:tcW w:w="675" w:type="pct"/>
            <w:tcBorders>
              <w:top w:val="nil"/>
              <w:left w:val="nil"/>
              <w:bottom w:val="nil"/>
              <w:right w:val="nil"/>
            </w:tcBorders>
            <w:shd w:val="clear" w:color="auto" w:fill="FFFFFF"/>
            <w:noWrap/>
            <w:vAlign w:val="bottom"/>
          </w:tcPr>
          <w:p w14:paraId="35F0071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549 </w:t>
            </w:r>
          </w:p>
        </w:tc>
      </w:tr>
      <w:tr w:rsidR="00717BA5" w:rsidRPr="00717BA5" w14:paraId="7C30B63B" w14:textId="77777777" w:rsidTr="00717BA5">
        <w:trPr>
          <w:trHeight w:val="20"/>
        </w:trPr>
        <w:tc>
          <w:tcPr>
            <w:tcW w:w="2965" w:type="pct"/>
            <w:tcBorders>
              <w:top w:val="nil"/>
              <w:left w:val="nil"/>
              <w:right w:val="nil"/>
            </w:tcBorders>
            <w:shd w:val="clear" w:color="auto" w:fill="FFFFFF"/>
            <w:vAlign w:val="bottom"/>
          </w:tcPr>
          <w:p w14:paraId="29A51D3E"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Employee Benefits</w:t>
            </w:r>
          </w:p>
        </w:tc>
        <w:tc>
          <w:tcPr>
            <w:tcW w:w="680" w:type="pct"/>
            <w:tcBorders>
              <w:top w:val="nil"/>
              <w:left w:val="nil"/>
              <w:bottom w:val="single" w:sz="4" w:space="0" w:color="auto"/>
              <w:right w:val="nil"/>
            </w:tcBorders>
            <w:shd w:val="clear" w:color="auto" w:fill="FFFFFF"/>
            <w:noWrap/>
            <w:vAlign w:val="bottom"/>
          </w:tcPr>
          <w:p w14:paraId="3E5F9B8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16</w:t>
            </w:r>
          </w:p>
        </w:tc>
        <w:tc>
          <w:tcPr>
            <w:tcW w:w="680" w:type="pct"/>
            <w:tcBorders>
              <w:top w:val="nil"/>
              <w:left w:val="nil"/>
              <w:bottom w:val="single" w:sz="4" w:space="0" w:color="auto"/>
              <w:right w:val="nil"/>
            </w:tcBorders>
            <w:shd w:val="clear" w:color="auto" w:fill="FFFFFF"/>
            <w:noWrap/>
            <w:vAlign w:val="bottom"/>
          </w:tcPr>
          <w:p w14:paraId="74DE793C"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SimSun" w:hAnsi="Arial" w:cs="Arial"/>
                <w:color w:val="000000"/>
                <w:sz w:val="18"/>
                <w:szCs w:val="18"/>
                <w:lang w:val="en-AU" w:eastAsia="en-US"/>
              </w:rPr>
              <w:t>10</w:t>
            </w:r>
          </w:p>
        </w:tc>
        <w:tc>
          <w:tcPr>
            <w:tcW w:w="675" w:type="pct"/>
            <w:tcBorders>
              <w:top w:val="nil"/>
              <w:left w:val="nil"/>
              <w:bottom w:val="single" w:sz="4" w:space="0" w:color="auto"/>
              <w:right w:val="nil"/>
            </w:tcBorders>
            <w:shd w:val="clear" w:color="auto" w:fill="FFFFFF"/>
            <w:noWrap/>
            <w:vAlign w:val="bottom"/>
          </w:tcPr>
          <w:p w14:paraId="15DDE1E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11 </w:t>
            </w:r>
          </w:p>
        </w:tc>
      </w:tr>
      <w:tr w:rsidR="00717BA5" w:rsidRPr="00717BA5" w14:paraId="01BCCD1B" w14:textId="77777777" w:rsidTr="00717BA5">
        <w:trPr>
          <w:trHeight w:val="20"/>
        </w:trPr>
        <w:tc>
          <w:tcPr>
            <w:tcW w:w="2965" w:type="pct"/>
            <w:tcBorders>
              <w:top w:val="nil"/>
              <w:left w:val="nil"/>
              <w:right w:val="nil"/>
            </w:tcBorders>
            <w:shd w:val="clear" w:color="auto" w:fill="FFFFFF"/>
            <w:vAlign w:val="bottom"/>
          </w:tcPr>
          <w:p w14:paraId="73CBE8AC"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Non-Current Liabilities</w:t>
            </w:r>
          </w:p>
        </w:tc>
        <w:tc>
          <w:tcPr>
            <w:tcW w:w="680" w:type="pct"/>
            <w:tcBorders>
              <w:top w:val="nil"/>
              <w:left w:val="nil"/>
              <w:right w:val="nil"/>
            </w:tcBorders>
            <w:shd w:val="clear" w:color="auto" w:fill="FFFFFF"/>
            <w:noWrap/>
            <w:vAlign w:val="bottom"/>
          </w:tcPr>
          <w:p w14:paraId="70A9F668"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1,213</w:t>
            </w:r>
          </w:p>
        </w:tc>
        <w:tc>
          <w:tcPr>
            <w:tcW w:w="680" w:type="pct"/>
            <w:tcBorders>
              <w:top w:val="nil"/>
              <w:left w:val="nil"/>
              <w:right w:val="nil"/>
            </w:tcBorders>
            <w:shd w:val="clear" w:color="auto" w:fill="FFFFFF"/>
            <w:noWrap/>
            <w:vAlign w:val="bottom"/>
          </w:tcPr>
          <w:p w14:paraId="435EF196"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1,265</w:t>
            </w:r>
          </w:p>
        </w:tc>
        <w:tc>
          <w:tcPr>
            <w:tcW w:w="675" w:type="pct"/>
            <w:tcBorders>
              <w:top w:val="nil"/>
              <w:left w:val="nil"/>
              <w:right w:val="nil"/>
            </w:tcBorders>
            <w:shd w:val="clear" w:color="auto" w:fill="FFFFFF"/>
            <w:noWrap/>
            <w:vAlign w:val="bottom"/>
          </w:tcPr>
          <w:p w14:paraId="2C66E06F"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 xml:space="preserve"> 560 </w:t>
            </w:r>
          </w:p>
        </w:tc>
      </w:tr>
      <w:tr w:rsidR="00717BA5" w:rsidRPr="00717BA5" w14:paraId="5F951420" w14:textId="77777777" w:rsidTr="00717BA5">
        <w:trPr>
          <w:trHeight w:val="20"/>
        </w:trPr>
        <w:tc>
          <w:tcPr>
            <w:tcW w:w="2965" w:type="pct"/>
            <w:tcBorders>
              <w:top w:val="nil"/>
              <w:left w:val="nil"/>
              <w:right w:val="nil"/>
            </w:tcBorders>
            <w:shd w:val="clear" w:color="auto" w:fill="FFFFFF"/>
            <w:vAlign w:val="bottom"/>
          </w:tcPr>
          <w:p w14:paraId="431542ED"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0" w:type="pct"/>
            <w:tcBorders>
              <w:top w:val="nil"/>
              <w:left w:val="nil"/>
              <w:bottom w:val="single" w:sz="4" w:space="0" w:color="auto"/>
              <w:right w:val="nil"/>
            </w:tcBorders>
            <w:shd w:val="clear" w:color="auto" w:fill="FFFFFF"/>
            <w:vAlign w:val="bottom"/>
          </w:tcPr>
          <w:p w14:paraId="21B547D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single" w:sz="4" w:space="0" w:color="auto"/>
              <w:right w:val="nil"/>
            </w:tcBorders>
            <w:shd w:val="clear" w:color="auto" w:fill="FFFFFF"/>
            <w:vAlign w:val="bottom"/>
          </w:tcPr>
          <w:p w14:paraId="429176AB"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5" w:type="pct"/>
            <w:tcBorders>
              <w:top w:val="nil"/>
              <w:left w:val="nil"/>
              <w:bottom w:val="single" w:sz="4" w:space="0" w:color="auto"/>
              <w:right w:val="nil"/>
            </w:tcBorders>
            <w:shd w:val="clear" w:color="auto" w:fill="FFFFFF"/>
            <w:vAlign w:val="bottom"/>
          </w:tcPr>
          <w:p w14:paraId="6182521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300DC701" w14:textId="77777777" w:rsidTr="00717BA5">
        <w:trPr>
          <w:trHeight w:val="20"/>
        </w:trPr>
        <w:tc>
          <w:tcPr>
            <w:tcW w:w="2965" w:type="pct"/>
            <w:tcBorders>
              <w:left w:val="nil"/>
              <w:right w:val="nil"/>
            </w:tcBorders>
            <w:shd w:val="clear" w:color="auto" w:fill="FFFFFF"/>
            <w:vAlign w:val="bottom"/>
          </w:tcPr>
          <w:p w14:paraId="7531F78C"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Liabilities</w:t>
            </w:r>
          </w:p>
        </w:tc>
        <w:tc>
          <w:tcPr>
            <w:tcW w:w="680" w:type="pct"/>
            <w:tcBorders>
              <w:top w:val="single" w:sz="4" w:space="0" w:color="auto"/>
              <w:left w:val="nil"/>
              <w:bottom w:val="single" w:sz="4" w:space="0" w:color="auto"/>
              <w:right w:val="nil"/>
            </w:tcBorders>
            <w:shd w:val="clear" w:color="auto" w:fill="FFFFFF"/>
            <w:noWrap/>
            <w:vAlign w:val="bottom"/>
          </w:tcPr>
          <w:p w14:paraId="18F2B39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13,208</w:t>
            </w:r>
          </w:p>
        </w:tc>
        <w:tc>
          <w:tcPr>
            <w:tcW w:w="680" w:type="pct"/>
            <w:tcBorders>
              <w:top w:val="single" w:sz="4" w:space="0" w:color="auto"/>
              <w:left w:val="nil"/>
              <w:bottom w:val="single" w:sz="4" w:space="0" w:color="auto"/>
              <w:right w:val="nil"/>
            </w:tcBorders>
            <w:shd w:val="clear" w:color="auto" w:fill="FFFFFF"/>
            <w:noWrap/>
            <w:vAlign w:val="bottom"/>
          </w:tcPr>
          <w:p w14:paraId="31E079E7"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15,625</w:t>
            </w:r>
          </w:p>
        </w:tc>
        <w:tc>
          <w:tcPr>
            <w:tcW w:w="675" w:type="pct"/>
            <w:tcBorders>
              <w:top w:val="single" w:sz="4" w:space="0" w:color="auto"/>
              <w:left w:val="nil"/>
              <w:bottom w:val="single" w:sz="4" w:space="0" w:color="auto"/>
              <w:right w:val="nil"/>
            </w:tcBorders>
            <w:shd w:val="clear" w:color="auto" w:fill="FFFFFF"/>
            <w:noWrap/>
            <w:vAlign w:val="bottom"/>
          </w:tcPr>
          <w:p w14:paraId="0BB168C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12,754</w:t>
            </w:r>
          </w:p>
        </w:tc>
      </w:tr>
      <w:tr w:rsidR="00717BA5" w:rsidRPr="00717BA5" w14:paraId="16027F02" w14:textId="77777777" w:rsidTr="00717BA5">
        <w:trPr>
          <w:trHeight w:val="20"/>
        </w:trPr>
        <w:tc>
          <w:tcPr>
            <w:tcW w:w="2965" w:type="pct"/>
            <w:tcBorders>
              <w:top w:val="nil"/>
              <w:left w:val="nil"/>
              <w:bottom w:val="nil"/>
              <w:right w:val="nil"/>
            </w:tcBorders>
            <w:shd w:val="clear" w:color="auto" w:fill="FFFFFF"/>
            <w:vAlign w:val="bottom"/>
          </w:tcPr>
          <w:p w14:paraId="1B983EFE"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0" w:type="pct"/>
            <w:tcBorders>
              <w:top w:val="nil"/>
              <w:left w:val="nil"/>
              <w:bottom w:val="nil"/>
              <w:right w:val="nil"/>
            </w:tcBorders>
            <w:shd w:val="clear" w:color="auto" w:fill="FFFFFF"/>
            <w:noWrap/>
            <w:vAlign w:val="bottom"/>
          </w:tcPr>
          <w:p w14:paraId="3AB550A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noWrap/>
            <w:vAlign w:val="bottom"/>
          </w:tcPr>
          <w:p w14:paraId="58E39086"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75" w:type="pct"/>
            <w:tcBorders>
              <w:top w:val="nil"/>
              <w:left w:val="nil"/>
              <w:bottom w:val="nil"/>
              <w:right w:val="nil"/>
            </w:tcBorders>
            <w:shd w:val="clear" w:color="auto" w:fill="FFFFFF"/>
            <w:noWrap/>
            <w:vAlign w:val="bottom"/>
          </w:tcPr>
          <w:p w14:paraId="2D2C4291"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51F78F5B" w14:textId="77777777" w:rsidTr="00717BA5">
        <w:trPr>
          <w:trHeight w:val="20"/>
        </w:trPr>
        <w:tc>
          <w:tcPr>
            <w:tcW w:w="2965" w:type="pct"/>
            <w:tcBorders>
              <w:left w:val="nil"/>
              <w:right w:val="nil"/>
            </w:tcBorders>
            <w:shd w:val="clear" w:color="auto" w:fill="FFFFFF"/>
            <w:vAlign w:val="bottom"/>
          </w:tcPr>
          <w:p w14:paraId="78CF2A64"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Net Assets</w:t>
            </w:r>
          </w:p>
        </w:tc>
        <w:tc>
          <w:tcPr>
            <w:tcW w:w="680" w:type="pct"/>
            <w:tcBorders>
              <w:top w:val="single" w:sz="4" w:space="0" w:color="auto"/>
              <w:left w:val="nil"/>
              <w:bottom w:val="double" w:sz="6" w:space="0" w:color="auto"/>
              <w:right w:val="nil"/>
            </w:tcBorders>
            <w:shd w:val="clear" w:color="auto" w:fill="FFFFFF"/>
            <w:noWrap/>
            <w:vAlign w:val="bottom"/>
          </w:tcPr>
          <w:p w14:paraId="3E9A472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11,395</w:t>
            </w:r>
          </w:p>
        </w:tc>
        <w:tc>
          <w:tcPr>
            <w:tcW w:w="680" w:type="pct"/>
            <w:tcBorders>
              <w:top w:val="single" w:sz="4" w:space="0" w:color="auto"/>
              <w:left w:val="nil"/>
              <w:bottom w:val="double" w:sz="6" w:space="0" w:color="auto"/>
              <w:right w:val="nil"/>
            </w:tcBorders>
            <w:shd w:val="clear" w:color="auto" w:fill="FFFFFF"/>
            <w:noWrap/>
            <w:vAlign w:val="bottom"/>
          </w:tcPr>
          <w:p w14:paraId="3FA84A5B"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9,922</w:t>
            </w:r>
          </w:p>
        </w:tc>
        <w:tc>
          <w:tcPr>
            <w:tcW w:w="675" w:type="pct"/>
            <w:tcBorders>
              <w:top w:val="single" w:sz="4" w:space="0" w:color="auto"/>
              <w:left w:val="nil"/>
              <w:bottom w:val="double" w:sz="6" w:space="0" w:color="auto"/>
              <w:right w:val="nil"/>
            </w:tcBorders>
            <w:shd w:val="clear" w:color="auto" w:fill="FFFFFF"/>
            <w:noWrap/>
            <w:vAlign w:val="bottom"/>
          </w:tcPr>
          <w:p w14:paraId="36395ED3"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11,744</w:t>
            </w:r>
          </w:p>
        </w:tc>
      </w:tr>
      <w:tr w:rsidR="00717BA5" w:rsidRPr="00717BA5" w14:paraId="2EF16C8E" w14:textId="77777777" w:rsidTr="00717BA5">
        <w:trPr>
          <w:trHeight w:val="20"/>
        </w:trPr>
        <w:tc>
          <w:tcPr>
            <w:tcW w:w="2965" w:type="pct"/>
            <w:tcBorders>
              <w:left w:val="nil"/>
              <w:bottom w:val="nil"/>
              <w:right w:val="nil"/>
            </w:tcBorders>
            <w:shd w:val="clear" w:color="auto" w:fill="FFFFFF"/>
            <w:vAlign w:val="bottom"/>
          </w:tcPr>
          <w:p w14:paraId="21437392"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0" w:type="pct"/>
            <w:tcBorders>
              <w:top w:val="double" w:sz="6" w:space="0" w:color="003366"/>
              <w:left w:val="nil"/>
              <w:bottom w:val="nil"/>
              <w:right w:val="nil"/>
            </w:tcBorders>
            <w:shd w:val="clear" w:color="auto" w:fill="FFFFFF"/>
            <w:vAlign w:val="bottom"/>
          </w:tcPr>
          <w:p w14:paraId="33B575E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bottom w:val="nil"/>
              <w:right w:val="nil"/>
            </w:tcBorders>
            <w:shd w:val="clear" w:color="auto" w:fill="FFFFFF"/>
            <w:vAlign w:val="bottom"/>
          </w:tcPr>
          <w:p w14:paraId="53787B1A" w14:textId="77777777" w:rsidR="00717BA5" w:rsidRPr="00717BA5" w:rsidRDefault="00717BA5" w:rsidP="00717BA5">
            <w:pPr>
              <w:spacing w:after="0" w:line="240" w:lineRule="auto"/>
              <w:jc w:val="right"/>
              <w:rPr>
                <w:rFonts w:ascii="Arial" w:eastAsia="Times New Roman" w:hAnsi="Arial" w:cs="Arial"/>
                <w:color w:val="000000"/>
                <w:sz w:val="18"/>
                <w:szCs w:val="18"/>
                <w:highlight w:val="green"/>
                <w:lang w:val="en-AU"/>
              </w:rPr>
            </w:pPr>
          </w:p>
        </w:tc>
        <w:tc>
          <w:tcPr>
            <w:tcW w:w="675" w:type="pct"/>
            <w:tcBorders>
              <w:top w:val="double" w:sz="6" w:space="0" w:color="003366"/>
              <w:left w:val="nil"/>
              <w:bottom w:val="nil"/>
              <w:right w:val="nil"/>
            </w:tcBorders>
            <w:shd w:val="clear" w:color="auto" w:fill="FFFFFF"/>
            <w:vAlign w:val="bottom"/>
          </w:tcPr>
          <w:p w14:paraId="50177507" w14:textId="77777777" w:rsidR="00717BA5" w:rsidRPr="00717BA5" w:rsidRDefault="00717BA5" w:rsidP="00717BA5">
            <w:pPr>
              <w:spacing w:after="0" w:line="240" w:lineRule="auto"/>
              <w:jc w:val="right"/>
              <w:rPr>
                <w:rFonts w:ascii="Arial" w:eastAsia="Times New Roman" w:hAnsi="Arial" w:cs="Arial"/>
                <w:color w:val="auto"/>
                <w:sz w:val="18"/>
                <w:szCs w:val="18"/>
                <w:highlight w:val="green"/>
                <w:lang w:val="en-AU"/>
              </w:rPr>
            </w:pPr>
          </w:p>
        </w:tc>
      </w:tr>
      <w:tr w:rsidR="00717BA5" w:rsidRPr="00717BA5" w14:paraId="217D7F0F" w14:textId="77777777" w:rsidTr="00717BA5">
        <w:trPr>
          <w:trHeight w:val="20"/>
        </w:trPr>
        <w:tc>
          <w:tcPr>
            <w:tcW w:w="2965" w:type="pct"/>
            <w:tcBorders>
              <w:top w:val="nil"/>
              <w:left w:val="nil"/>
              <w:bottom w:val="nil"/>
              <w:right w:val="nil"/>
            </w:tcBorders>
            <w:shd w:val="clear" w:color="auto" w:fill="FFFFFF"/>
            <w:vAlign w:val="bottom"/>
          </w:tcPr>
          <w:p w14:paraId="7EDE4359"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Equity</w:t>
            </w:r>
          </w:p>
        </w:tc>
        <w:tc>
          <w:tcPr>
            <w:tcW w:w="680" w:type="pct"/>
            <w:tcBorders>
              <w:top w:val="nil"/>
              <w:left w:val="nil"/>
              <w:right w:val="nil"/>
            </w:tcBorders>
            <w:shd w:val="clear" w:color="auto" w:fill="FFFFFF"/>
            <w:vAlign w:val="bottom"/>
          </w:tcPr>
          <w:p w14:paraId="2FCA9D4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80" w:type="pct"/>
            <w:tcBorders>
              <w:top w:val="nil"/>
              <w:left w:val="nil"/>
              <w:right w:val="nil"/>
            </w:tcBorders>
            <w:shd w:val="clear" w:color="auto" w:fill="FFFFFF"/>
            <w:vAlign w:val="bottom"/>
          </w:tcPr>
          <w:p w14:paraId="0B006EA9" w14:textId="77777777" w:rsidR="00717BA5" w:rsidRPr="00717BA5" w:rsidRDefault="00717BA5" w:rsidP="00717BA5">
            <w:pPr>
              <w:spacing w:after="0" w:line="240" w:lineRule="auto"/>
              <w:jc w:val="right"/>
              <w:rPr>
                <w:rFonts w:ascii="Arial" w:eastAsia="Times New Roman" w:hAnsi="Arial" w:cs="Arial"/>
                <w:color w:val="000000"/>
                <w:sz w:val="18"/>
                <w:szCs w:val="18"/>
                <w:highlight w:val="green"/>
                <w:lang w:val="en-AU"/>
              </w:rPr>
            </w:pPr>
          </w:p>
        </w:tc>
        <w:tc>
          <w:tcPr>
            <w:tcW w:w="675" w:type="pct"/>
            <w:tcBorders>
              <w:top w:val="nil"/>
              <w:left w:val="nil"/>
              <w:right w:val="nil"/>
            </w:tcBorders>
            <w:shd w:val="clear" w:color="auto" w:fill="FFFFFF"/>
            <w:vAlign w:val="bottom"/>
          </w:tcPr>
          <w:p w14:paraId="2AA1EFE9" w14:textId="77777777" w:rsidR="00717BA5" w:rsidRPr="00717BA5" w:rsidRDefault="00717BA5" w:rsidP="00717BA5">
            <w:pPr>
              <w:spacing w:after="0" w:line="240" w:lineRule="auto"/>
              <w:jc w:val="right"/>
              <w:rPr>
                <w:rFonts w:ascii="Arial" w:eastAsia="Times New Roman" w:hAnsi="Arial" w:cs="Arial"/>
                <w:color w:val="auto"/>
                <w:sz w:val="18"/>
                <w:szCs w:val="18"/>
                <w:highlight w:val="green"/>
                <w:lang w:val="en-AU"/>
              </w:rPr>
            </w:pPr>
          </w:p>
        </w:tc>
      </w:tr>
      <w:tr w:rsidR="00717BA5" w:rsidRPr="00717BA5" w14:paraId="59EF0F4D" w14:textId="77777777" w:rsidTr="00717BA5">
        <w:trPr>
          <w:trHeight w:val="20"/>
        </w:trPr>
        <w:tc>
          <w:tcPr>
            <w:tcW w:w="2965" w:type="pct"/>
            <w:tcBorders>
              <w:top w:val="nil"/>
              <w:left w:val="nil"/>
              <w:bottom w:val="nil"/>
              <w:right w:val="nil"/>
            </w:tcBorders>
            <w:shd w:val="clear" w:color="auto" w:fill="FFFFFF"/>
            <w:vAlign w:val="bottom"/>
          </w:tcPr>
          <w:p w14:paraId="66802BE0"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Accumulated Funds</w:t>
            </w:r>
          </w:p>
        </w:tc>
        <w:tc>
          <w:tcPr>
            <w:tcW w:w="680" w:type="pct"/>
            <w:tcBorders>
              <w:top w:val="nil"/>
              <w:left w:val="nil"/>
              <w:bottom w:val="single" w:sz="4" w:space="0" w:color="auto"/>
              <w:right w:val="nil"/>
            </w:tcBorders>
            <w:shd w:val="clear" w:color="auto" w:fill="FFFFFF"/>
            <w:noWrap/>
            <w:vAlign w:val="bottom"/>
          </w:tcPr>
          <w:p w14:paraId="5E2030E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11,395</w:t>
            </w:r>
          </w:p>
        </w:tc>
        <w:tc>
          <w:tcPr>
            <w:tcW w:w="680" w:type="pct"/>
            <w:tcBorders>
              <w:top w:val="nil"/>
              <w:left w:val="nil"/>
              <w:bottom w:val="single" w:sz="4" w:space="0" w:color="auto"/>
              <w:right w:val="nil"/>
            </w:tcBorders>
            <w:noWrap/>
            <w:vAlign w:val="bottom"/>
          </w:tcPr>
          <w:p w14:paraId="13FFEEEC"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9,922</w:t>
            </w:r>
          </w:p>
        </w:tc>
        <w:tc>
          <w:tcPr>
            <w:tcW w:w="675" w:type="pct"/>
            <w:tcBorders>
              <w:top w:val="nil"/>
              <w:left w:val="nil"/>
              <w:bottom w:val="single" w:sz="4" w:space="0" w:color="auto"/>
              <w:right w:val="nil"/>
            </w:tcBorders>
            <w:noWrap/>
            <w:vAlign w:val="bottom"/>
          </w:tcPr>
          <w:p w14:paraId="5C7D9CA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11,744</w:t>
            </w:r>
          </w:p>
        </w:tc>
      </w:tr>
      <w:tr w:rsidR="00717BA5" w:rsidRPr="00717BA5" w14:paraId="7A2DC8B1" w14:textId="77777777" w:rsidTr="00717BA5">
        <w:trPr>
          <w:trHeight w:val="20"/>
        </w:trPr>
        <w:tc>
          <w:tcPr>
            <w:tcW w:w="2965" w:type="pct"/>
            <w:tcBorders>
              <w:top w:val="nil"/>
              <w:left w:val="nil"/>
              <w:right w:val="nil"/>
            </w:tcBorders>
            <w:shd w:val="clear" w:color="auto" w:fill="FFFFFF"/>
            <w:vAlign w:val="bottom"/>
          </w:tcPr>
          <w:p w14:paraId="432AE101"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Equity</w:t>
            </w:r>
          </w:p>
        </w:tc>
        <w:tc>
          <w:tcPr>
            <w:tcW w:w="680" w:type="pct"/>
            <w:tcBorders>
              <w:top w:val="single" w:sz="4" w:space="0" w:color="auto"/>
              <w:left w:val="nil"/>
              <w:bottom w:val="double" w:sz="6" w:space="0" w:color="auto"/>
              <w:right w:val="nil"/>
            </w:tcBorders>
            <w:shd w:val="clear" w:color="auto" w:fill="FFFFFF"/>
            <w:noWrap/>
            <w:vAlign w:val="bottom"/>
          </w:tcPr>
          <w:p w14:paraId="5F06A9A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11,395</w:t>
            </w:r>
          </w:p>
        </w:tc>
        <w:tc>
          <w:tcPr>
            <w:tcW w:w="680" w:type="pct"/>
            <w:tcBorders>
              <w:top w:val="single" w:sz="4" w:space="0" w:color="auto"/>
              <w:left w:val="nil"/>
              <w:bottom w:val="double" w:sz="6" w:space="0" w:color="auto"/>
              <w:right w:val="nil"/>
            </w:tcBorders>
            <w:noWrap/>
            <w:vAlign w:val="bottom"/>
          </w:tcPr>
          <w:p w14:paraId="1DA70752"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9,922</w:t>
            </w:r>
          </w:p>
        </w:tc>
        <w:tc>
          <w:tcPr>
            <w:tcW w:w="675" w:type="pct"/>
            <w:tcBorders>
              <w:top w:val="single" w:sz="4" w:space="0" w:color="auto"/>
              <w:left w:val="nil"/>
              <w:bottom w:val="double" w:sz="6" w:space="0" w:color="auto"/>
              <w:right w:val="nil"/>
            </w:tcBorders>
            <w:noWrap/>
            <w:vAlign w:val="bottom"/>
          </w:tcPr>
          <w:p w14:paraId="2BD0893E"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11,744</w:t>
            </w:r>
          </w:p>
        </w:tc>
      </w:tr>
    </w:tbl>
    <w:p w14:paraId="49791ED8" w14:textId="77777777" w:rsidR="00717BA5" w:rsidRPr="00717BA5" w:rsidRDefault="00717BA5" w:rsidP="00717BA5">
      <w:pPr>
        <w:tabs>
          <w:tab w:val="left" w:pos="3969"/>
          <w:tab w:val="left" w:pos="4111"/>
        </w:tabs>
        <w:spacing w:after="0" w:line="240" w:lineRule="auto"/>
        <w:jc w:val="both"/>
        <w:rPr>
          <w:rFonts w:ascii="Arial" w:eastAsia="Times New Roman" w:hAnsi="Arial" w:cs="Arial"/>
          <w:b/>
          <w:bCs/>
          <w:color w:val="auto"/>
          <w:sz w:val="18"/>
          <w:szCs w:val="18"/>
          <w:lang w:val="en-AU"/>
        </w:rPr>
      </w:pPr>
    </w:p>
    <w:p w14:paraId="46A117B7"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br w:type="page"/>
      </w:r>
    </w:p>
    <w:p w14:paraId="2D1799C1" w14:textId="77777777" w:rsidR="00717BA5" w:rsidRPr="00717BA5" w:rsidRDefault="00717BA5" w:rsidP="00717BA5">
      <w:pPr>
        <w:spacing w:after="0" w:line="240" w:lineRule="auto"/>
        <w:rPr>
          <w:rFonts w:ascii="Arial" w:eastAsia="SimSun" w:hAnsi="Arial" w:cs="Arial"/>
          <w:color w:val="auto"/>
          <w:lang w:val="en-AU"/>
        </w:rPr>
      </w:pPr>
    </w:p>
    <w:p w14:paraId="7D724585" w14:textId="77777777" w:rsidR="00717BA5" w:rsidRPr="00717BA5" w:rsidRDefault="00717BA5" w:rsidP="00717BA5">
      <w:pPr>
        <w:keepNext/>
        <w:spacing w:after="240" w:line="240" w:lineRule="auto"/>
        <w:ind w:left="1276" w:hanging="1276"/>
        <w:outlineLvl w:val="1"/>
        <w:rPr>
          <w:rFonts w:ascii="Arial" w:eastAsia="Times New Roman" w:hAnsi="Arial" w:cs="Arial"/>
          <w:b/>
          <w:bCs/>
          <w:color w:val="auto"/>
          <w:sz w:val="24"/>
          <w:szCs w:val="24"/>
          <w:lang w:val="en-AU"/>
        </w:rPr>
      </w:pPr>
      <w:bookmarkStart w:id="121" w:name="_Toc240533535"/>
      <w:r w:rsidRPr="00717BA5">
        <w:rPr>
          <w:rFonts w:ascii="Arial" w:eastAsia="Times New Roman" w:hAnsi="Arial" w:cs="Arial"/>
          <w:b/>
          <w:bCs/>
          <w:color w:val="auto"/>
          <w:sz w:val="24"/>
          <w:szCs w:val="24"/>
          <w:lang w:val="en-AU"/>
        </w:rPr>
        <w:t>NOTE 17.   OPERATING STATEMENT AND BALANCE SHEET FOR LONG SERVICE LEAVE SCHEMES - CONTINUED</w:t>
      </w:r>
      <w:bookmarkEnd w:id="121"/>
    </w:p>
    <w:p w14:paraId="23E1F94D" w14:textId="77777777" w:rsidR="00717BA5" w:rsidRPr="00717BA5" w:rsidRDefault="00717BA5" w:rsidP="00717BA5">
      <w:pPr>
        <w:spacing w:before="120" w:after="120" w:line="240" w:lineRule="auto"/>
        <w:jc w:val="center"/>
        <w:rPr>
          <w:rFonts w:ascii="Arial" w:eastAsia="Times New Roman" w:hAnsi="Arial" w:cs="Arial"/>
          <w:b/>
          <w:color w:val="auto"/>
          <w:sz w:val="22"/>
          <w:szCs w:val="22"/>
          <w:lang w:val="en-AU"/>
        </w:rPr>
      </w:pPr>
      <w:r w:rsidRPr="00717BA5">
        <w:rPr>
          <w:rFonts w:ascii="Arial" w:eastAsia="Times New Roman" w:hAnsi="Arial" w:cs="Arial"/>
          <w:b/>
          <w:color w:val="auto"/>
          <w:sz w:val="22"/>
          <w:szCs w:val="22"/>
          <w:lang w:val="en-AU"/>
        </w:rPr>
        <w:t>Community Sector Industry Scheme – Operating Statement</w:t>
      </w:r>
    </w:p>
    <w:tbl>
      <w:tblPr>
        <w:tblpPr w:leftFromText="180" w:rightFromText="180" w:vertAnchor="text" w:tblpY="1"/>
        <w:tblOverlap w:val="never"/>
        <w:tblW w:w="4998" w:type="pct"/>
        <w:tblLayout w:type="fixed"/>
        <w:tblLook w:val="04A0" w:firstRow="1" w:lastRow="0" w:firstColumn="1" w:lastColumn="0" w:noHBand="0" w:noVBand="1"/>
      </w:tblPr>
      <w:tblGrid>
        <w:gridCol w:w="5953"/>
        <w:gridCol w:w="1277"/>
        <w:gridCol w:w="1416"/>
        <w:gridCol w:w="1299"/>
      </w:tblGrid>
      <w:tr w:rsidR="00717BA5" w:rsidRPr="00717BA5" w14:paraId="05797DE7" w14:textId="77777777" w:rsidTr="00717BA5">
        <w:trPr>
          <w:trHeight w:val="272"/>
        </w:trPr>
        <w:tc>
          <w:tcPr>
            <w:tcW w:w="2993" w:type="pct"/>
            <w:shd w:val="clear" w:color="auto" w:fill="FFFFFF"/>
            <w:vAlign w:val="bottom"/>
          </w:tcPr>
          <w:p w14:paraId="2F25CDB9"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42" w:type="pct"/>
            <w:shd w:val="clear" w:color="auto" w:fill="FFFFFF"/>
            <w:vAlign w:val="bottom"/>
          </w:tcPr>
          <w:p w14:paraId="5852086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w:t>
            </w:r>
          </w:p>
        </w:tc>
        <w:tc>
          <w:tcPr>
            <w:tcW w:w="712" w:type="pct"/>
            <w:shd w:val="clear" w:color="auto" w:fill="FFFFFF"/>
            <w:vAlign w:val="bottom"/>
          </w:tcPr>
          <w:p w14:paraId="5E18205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Original</w:t>
            </w:r>
          </w:p>
        </w:tc>
        <w:tc>
          <w:tcPr>
            <w:tcW w:w="653" w:type="pct"/>
            <w:shd w:val="clear" w:color="auto" w:fill="FFFFFF"/>
            <w:noWrap/>
            <w:vAlign w:val="bottom"/>
          </w:tcPr>
          <w:p w14:paraId="5E9E99A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 </w:t>
            </w:r>
          </w:p>
        </w:tc>
      </w:tr>
      <w:tr w:rsidR="00717BA5" w:rsidRPr="00717BA5" w14:paraId="2E327BE1" w14:textId="77777777" w:rsidTr="00717BA5">
        <w:trPr>
          <w:trHeight w:val="272"/>
        </w:trPr>
        <w:tc>
          <w:tcPr>
            <w:tcW w:w="2993" w:type="pct"/>
            <w:shd w:val="clear" w:color="auto" w:fill="FFFFFF"/>
            <w:vAlign w:val="bottom"/>
          </w:tcPr>
          <w:p w14:paraId="20DFBF6B" w14:textId="77777777" w:rsidR="00717BA5" w:rsidRPr="00717BA5" w:rsidRDefault="00717BA5" w:rsidP="00717BA5">
            <w:pPr>
              <w:spacing w:after="0" w:line="240" w:lineRule="auto"/>
              <w:ind w:left="-360"/>
              <w:rPr>
                <w:rFonts w:ascii="Arial" w:eastAsia="Times New Roman" w:hAnsi="Arial" w:cs="Arial"/>
                <w:b/>
                <w:bCs/>
                <w:color w:val="auto"/>
                <w:sz w:val="18"/>
                <w:szCs w:val="18"/>
                <w:lang w:val="en-AU"/>
              </w:rPr>
            </w:pPr>
          </w:p>
        </w:tc>
        <w:tc>
          <w:tcPr>
            <w:tcW w:w="642" w:type="pct"/>
            <w:shd w:val="clear" w:color="auto" w:fill="FFFFFF"/>
            <w:vAlign w:val="bottom"/>
          </w:tcPr>
          <w:p w14:paraId="42BF1DB3" w14:textId="77777777" w:rsidR="00717BA5" w:rsidRPr="00717BA5" w:rsidRDefault="00717BA5" w:rsidP="00717BA5">
            <w:pPr>
              <w:spacing w:after="0" w:line="240" w:lineRule="auto"/>
              <w:ind w:left="-360"/>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c>
          <w:tcPr>
            <w:tcW w:w="712" w:type="pct"/>
            <w:shd w:val="clear" w:color="auto" w:fill="FFFFFF"/>
            <w:vAlign w:val="bottom"/>
          </w:tcPr>
          <w:p w14:paraId="38E32DD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Budget</w:t>
            </w:r>
          </w:p>
        </w:tc>
        <w:tc>
          <w:tcPr>
            <w:tcW w:w="653" w:type="pct"/>
            <w:vAlign w:val="bottom"/>
          </w:tcPr>
          <w:p w14:paraId="7E62C528" w14:textId="77777777" w:rsidR="00717BA5" w:rsidRPr="00717BA5" w:rsidRDefault="00717BA5" w:rsidP="00717BA5">
            <w:pPr>
              <w:spacing w:after="0" w:line="240" w:lineRule="auto"/>
              <w:jc w:val="right"/>
              <w:rPr>
                <w:rFonts w:ascii="Arial" w:eastAsia="SimSun" w:hAnsi="Arial" w:cs="Arial"/>
                <w:color w:val="auto"/>
                <w:sz w:val="18"/>
                <w:szCs w:val="18"/>
                <w:lang w:val="en-AU" w:eastAsia="en-US"/>
              </w:rPr>
            </w:pPr>
            <w:r w:rsidRPr="00717BA5">
              <w:rPr>
                <w:rFonts w:ascii="Arial" w:eastAsia="Times New Roman" w:hAnsi="Arial" w:cs="Arial"/>
                <w:b/>
                <w:bCs/>
                <w:color w:val="auto"/>
                <w:sz w:val="18"/>
                <w:szCs w:val="18"/>
                <w:lang w:val="en-AU"/>
              </w:rPr>
              <w:t>Actual</w:t>
            </w:r>
          </w:p>
        </w:tc>
      </w:tr>
      <w:tr w:rsidR="00717BA5" w:rsidRPr="00717BA5" w14:paraId="4CE78295" w14:textId="77777777" w:rsidTr="00717BA5">
        <w:trPr>
          <w:trHeight w:val="272"/>
        </w:trPr>
        <w:tc>
          <w:tcPr>
            <w:tcW w:w="2993" w:type="pct"/>
            <w:shd w:val="clear" w:color="auto" w:fill="FFFFFF"/>
            <w:vAlign w:val="bottom"/>
          </w:tcPr>
          <w:p w14:paraId="61C73363"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42" w:type="pct"/>
            <w:tcBorders>
              <w:top w:val="nil"/>
              <w:left w:val="nil"/>
              <w:bottom w:val="nil"/>
              <w:right w:val="nil"/>
            </w:tcBorders>
            <w:shd w:val="clear" w:color="auto" w:fill="FFFFFF"/>
            <w:vAlign w:val="bottom"/>
          </w:tcPr>
          <w:p w14:paraId="320B563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712" w:type="pct"/>
            <w:tcBorders>
              <w:top w:val="nil"/>
              <w:left w:val="nil"/>
              <w:bottom w:val="nil"/>
              <w:right w:val="nil"/>
            </w:tcBorders>
            <w:shd w:val="clear" w:color="auto" w:fill="FFFFFF"/>
            <w:vAlign w:val="bottom"/>
          </w:tcPr>
          <w:p w14:paraId="77F6B85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653" w:type="pct"/>
            <w:tcBorders>
              <w:top w:val="nil"/>
              <w:left w:val="nil"/>
              <w:bottom w:val="nil"/>
              <w:right w:val="nil"/>
            </w:tcBorders>
            <w:shd w:val="clear" w:color="auto" w:fill="FFFFFF"/>
            <w:vAlign w:val="bottom"/>
          </w:tcPr>
          <w:p w14:paraId="4F09FAC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3D002945" w14:textId="77777777" w:rsidTr="00717BA5">
        <w:trPr>
          <w:trHeight w:val="272"/>
        </w:trPr>
        <w:tc>
          <w:tcPr>
            <w:tcW w:w="2993" w:type="pct"/>
            <w:shd w:val="clear" w:color="auto" w:fill="FFFFFF"/>
            <w:vAlign w:val="bottom"/>
          </w:tcPr>
          <w:p w14:paraId="68896E7C"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42" w:type="pct"/>
            <w:tcBorders>
              <w:bottom w:val="single" w:sz="4" w:space="0" w:color="auto"/>
            </w:tcBorders>
            <w:shd w:val="clear" w:color="auto" w:fill="FFFFFF"/>
            <w:vAlign w:val="bottom"/>
          </w:tcPr>
          <w:p w14:paraId="7B607B8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712" w:type="pct"/>
            <w:tcBorders>
              <w:bottom w:val="single" w:sz="4" w:space="0" w:color="auto"/>
            </w:tcBorders>
            <w:shd w:val="clear" w:color="auto" w:fill="FFFFFF"/>
            <w:vAlign w:val="bottom"/>
          </w:tcPr>
          <w:p w14:paraId="3F6F431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653" w:type="pct"/>
            <w:tcBorders>
              <w:bottom w:val="single" w:sz="4" w:space="0" w:color="auto"/>
            </w:tcBorders>
            <w:shd w:val="clear" w:color="auto" w:fill="FFFFFF"/>
            <w:vAlign w:val="bottom"/>
          </w:tcPr>
          <w:p w14:paraId="2A6D451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284EB601" w14:textId="77777777" w:rsidTr="00717BA5">
        <w:trPr>
          <w:trHeight w:val="20"/>
        </w:trPr>
        <w:tc>
          <w:tcPr>
            <w:tcW w:w="2993" w:type="pct"/>
            <w:shd w:val="clear" w:color="auto" w:fill="FFFFFF"/>
            <w:vAlign w:val="bottom"/>
          </w:tcPr>
          <w:p w14:paraId="4A3C1275"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Income</w:t>
            </w:r>
          </w:p>
        </w:tc>
        <w:tc>
          <w:tcPr>
            <w:tcW w:w="642" w:type="pct"/>
            <w:tcBorders>
              <w:top w:val="single" w:sz="4" w:space="0" w:color="auto"/>
            </w:tcBorders>
            <w:shd w:val="clear" w:color="auto" w:fill="FFFFFF"/>
            <w:vAlign w:val="bottom"/>
          </w:tcPr>
          <w:p w14:paraId="7D9CFCE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712" w:type="pct"/>
            <w:tcBorders>
              <w:top w:val="single" w:sz="4" w:space="0" w:color="auto"/>
            </w:tcBorders>
            <w:shd w:val="clear" w:color="auto" w:fill="FFFFFF"/>
            <w:vAlign w:val="bottom"/>
          </w:tcPr>
          <w:p w14:paraId="0A9F011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653" w:type="pct"/>
            <w:tcBorders>
              <w:top w:val="single" w:sz="4" w:space="0" w:color="auto"/>
            </w:tcBorders>
            <w:shd w:val="clear" w:color="auto" w:fill="FFFFFF"/>
            <w:vAlign w:val="bottom"/>
          </w:tcPr>
          <w:p w14:paraId="10F87FE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2B04C93F" w14:textId="77777777" w:rsidTr="00717BA5">
        <w:trPr>
          <w:trHeight w:val="20"/>
        </w:trPr>
        <w:tc>
          <w:tcPr>
            <w:tcW w:w="2993" w:type="pct"/>
            <w:shd w:val="clear" w:color="auto" w:fill="FFFFFF"/>
            <w:vAlign w:val="bottom"/>
          </w:tcPr>
          <w:p w14:paraId="6EA900FA"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Contributions from Employers and Contractors</w:t>
            </w:r>
          </w:p>
        </w:tc>
        <w:tc>
          <w:tcPr>
            <w:tcW w:w="642" w:type="pct"/>
            <w:shd w:val="clear" w:color="auto" w:fill="FFFFFF"/>
            <w:noWrap/>
            <w:vAlign w:val="bottom"/>
          </w:tcPr>
          <w:p w14:paraId="649774F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24,510</w:t>
            </w:r>
          </w:p>
        </w:tc>
        <w:tc>
          <w:tcPr>
            <w:tcW w:w="712" w:type="pct"/>
            <w:shd w:val="clear" w:color="auto" w:fill="FFFFFF"/>
            <w:noWrap/>
            <w:vAlign w:val="bottom"/>
          </w:tcPr>
          <w:p w14:paraId="21705658"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21,912</w:t>
            </w:r>
          </w:p>
        </w:tc>
        <w:tc>
          <w:tcPr>
            <w:tcW w:w="653" w:type="pct"/>
            <w:shd w:val="clear" w:color="auto" w:fill="FFFFFF"/>
            <w:noWrap/>
            <w:vAlign w:val="bottom"/>
          </w:tcPr>
          <w:p w14:paraId="6DAD438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21,723 </w:t>
            </w:r>
          </w:p>
        </w:tc>
      </w:tr>
      <w:tr w:rsidR="00717BA5" w:rsidRPr="00717BA5" w14:paraId="0DA46108" w14:textId="77777777" w:rsidTr="00717BA5">
        <w:trPr>
          <w:trHeight w:val="20"/>
        </w:trPr>
        <w:tc>
          <w:tcPr>
            <w:tcW w:w="2993" w:type="pct"/>
            <w:shd w:val="clear" w:color="auto" w:fill="FFFFFF"/>
            <w:vAlign w:val="bottom"/>
          </w:tcPr>
          <w:p w14:paraId="71A92DB5"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Gains from Remeasurement of Assets</w:t>
            </w:r>
          </w:p>
        </w:tc>
        <w:tc>
          <w:tcPr>
            <w:tcW w:w="642" w:type="pct"/>
            <w:shd w:val="clear" w:color="auto" w:fill="FFFFFF"/>
            <w:noWrap/>
            <w:vAlign w:val="bottom"/>
          </w:tcPr>
          <w:p w14:paraId="024B5EF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3,050</w:t>
            </w:r>
          </w:p>
        </w:tc>
        <w:tc>
          <w:tcPr>
            <w:tcW w:w="712" w:type="pct"/>
            <w:shd w:val="clear" w:color="auto" w:fill="FFFFFF"/>
            <w:noWrap/>
            <w:vAlign w:val="bottom"/>
          </w:tcPr>
          <w:p w14:paraId="2086AD8E"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5,151</w:t>
            </w:r>
          </w:p>
        </w:tc>
        <w:tc>
          <w:tcPr>
            <w:tcW w:w="653" w:type="pct"/>
            <w:shd w:val="clear" w:color="auto" w:fill="FFFFFF"/>
            <w:noWrap/>
            <w:vAlign w:val="bottom"/>
          </w:tcPr>
          <w:p w14:paraId="69BCDE2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9,643 </w:t>
            </w:r>
          </w:p>
        </w:tc>
      </w:tr>
      <w:tr w:rsidR="00717BA5" w:rsidRPr="00717BA5" w14:paraId="6F040296" w14:textId="77777777" w:rsidTr="00717BA5">
        <w:trPr>
          <w:trHeight w:val="20"/>
        </w:trPr>
        <w:tc>
          <w:tcPr>
            <w:tcW w:w="2993" w:type="pct"/>
            <w:shd w:val="clear" w:color="auto" w:fill="FFFFFF"/>
            <w:vAlign w:val="bottom"/>
          </w:tcPr>
          <w:p w14:paraId="762B2CF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 Revenue</w:t>
            </w:r>
          </w:p>
        </w:tc>
        <w:tc>
          <w:tcPr>
            <w:tcW w:w="642" w:type="pct"/>
            <w:shd w:val="clear" w:color="auto" w:fill="FFFFFF"/>
            <w:noWrap/>
            <w:vAlign w:val="bottom"/>
          </w:tcPr>
          <w:p w14:paraId="716927B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5,332</w:t>
            </w:r>
          </w:p>
        </w:tc>
        <w:tc>
          <w:tcPr>
            <w:tcW w:w="712" w:type="pct"/>
            <w:shd w:val="clear" w:color="auto" w:fill="FFFFFF"/>
            <w:noWrap/>
            <w:vAlign w:val="bottom"/>
          </w:tcPr>
          <w:p w14:paraId="6A25A0F9"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2,591</w:t>
            </w:r>
          </w:p>
        </w:tc>
        <w:tc>
          <w:tcPr>
            <w:tcW w:w="653" w:type="pct"/>
            <w:shd w:val="clear" w:color="auto" w:fill="FFFFFF"/>
            <w:noWrap/>
            <w:vAlign w:val="bottom"/>
          </w:tcPr>
          <w:p w14:paraId="409D564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3,097 </w:t>
            </w:r>
          </w:p>
        </w:tc>
      </w:tr>
      <w:tr w:rsidR="00717BA5" w:rsidRPr="00717BA5" w14:paraId="614D7295" w14:textId="77777777" w:rsidTr="00717BA5">
        <w:trPr>
          <w:trHeight w:val="20"/>
        </w:trPr>
        <w:tc>
          <w:tcPr>
            <w:tcW w:w="2993" w:type="pct"/>
            <w:shd w:val="clear" w:color="auto" w:fill="FFFFFF"/>
            <w:vAlign w:val="bottom"/>
          </w:tcPr>
          <w:p w14:paraId="07E42D0E"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Other Income</w:t>
            </w:r>
          </w:p>
        </w:tc>
        <w:tc>
          <w:tcPr>
            <w:tcW w:w="642" w:type="pct"/>
            <w:shd w:val="clear" w:color="auto" w:fill="FFFFFF"/>
            <w:noWrap/>
            <w:vAlign w:val="bottom"/>
          </w:tcPr>
          <w:p w14:paraId="57A12F9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Cs/>
                <w:color w:val="auto"/>
                <w:sz w:val="18"/>
                <w:szCs w:val="18"/>
                <w:lang w:val="en-AU"/>
              </w:rPr>
              <w:t>421</w:t>
            </w:r>
          </w:p>
        </w:tc>
        <w:tc>
          <w:tcPr>
            <w:tcW w:w="712" w:type="pct"/>
            <w:shd w:val="clear" w:color="auto" w:fill="FFFFFF"/>
            <w:noWrap/>
            <w:vAlign w:val="bottom"/>
          </w:tcPr>
          <w:p w14:paraId="5DAC05A7"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217</w:t>
            </w:r>
          </w:p>
        </w:tc>
        <w:tc>
          <w:tcPr>
            <w:tcW w:w="653" w:type="pct"/>
            <w:shd w:val="clear" w:color="auto" w:fill="FFFFFF"/>
            <w:noWrap/>
            <w:vAlign w:val="bottom"/>
          </w:tcPr>
          <w:p w14:paraId="2B61C84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206 </w:t>
            </w:r>
          </w:p>
        </w:tc>
      </w:tr>
      <w:tr w:rsidR="00717BA5" w:rsidRPr="00717BA5" w14:paraId="41C52CE5" w14:textId="77777777" w:rsidTr="00717BA5">
        <w:trPr>
          <w:trHeight w:val="20"/>
        </w:trPr>
        <w:tc>
          <w:tcPr>
            <w:tcW w:w="2993" w:type="pct"/>
            <w:shd w:val="clear" w:color="auto" w:fill="FFFFFF"/>
            <w:vAlign w:val="bottom"/>
          </w:tcPr>
          <w:p w14:paraId="7331A4B4"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Grants and Contributions Income</w:t>
            </w:r>
          </w:p>
        </w:tc>
        <w:tc>
          <w:tcPr>
            <w:tcW w:w="642" w:type="pct"/>
            <w:shd w:val="clear" w:color="auto" w:fill="FFFFFF"/>
            <w:noWrap/>
            <w:vAlign w:val="bottom"/>
          </w:tcPr>
          <w:p w14:paraId="528880C8"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13</w:t>
            </w:r>
          </w:p>
        </w:tc>
        <w:tc>
          <w:tcPr>
            <w:tcW w:w="712" w:type="pct"/>
            <w:shd w:val="clear" w:color="auto" w:fill="FFFFFF"/>
            <w:noWrap/>
            <w:vAlign w:val="bottom"/>
          </w:tcPr>
          <w:p w14:paraId="59C14801"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w:t>
            </w:r>
          </w:p>
        </w:tc>
        <w:tc>
          <w:tcPr>
            <w:tcW w:w="653" w:type="pct"/>
            <w:shd w:val="clear" w:color="auto" w:fill="FFFFFF"/>
            <w:noWrap/>
            <w:vAlign w:val="bottom"/>
          </w:tcPr>
          <w:p w14:paraId="66F435EA"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t>
            </w:r>
          </w:p>
        </w:tc>
      </w:tr>
      <w:tr w:rsidR="00717BA5" w:rsidRPr="00717BA5" w14:paraId="692E9196" w14:textId="77777777" w:rsidTr="00717BA5">
        <w:trPr>
          <w:trHeight w:val="20"/>
        </w:trPr>
        <w:tc>
          <w:tcPr>
            <w:tcW w:w="2993" w:type="pct"/>
            <w:shd w:val="clear" w:color="auto" w:fill="FFFFFF"/>
            <w:vAlign w:val="bottom"/>
          </w:tcPr>
          <w:p w14:paraId="445833B2"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
                <w:bCs/>
                <w:color w:val="auto"/>
                <w:sz w:val="18"/>
                <w:szCs w:val="18"/>
                <w:lang w:val="en-AU"/>
              </w:rPr>
              <w:t>Total Income</w:t>
            </w:r>
          </w:p>
        </w:tc>
        <w:tc>
          <w:tcPr>
            <w:tcW w:w="642" w:type="pct"/>
            <w:tcBorders>
              <w:top w:val="single" w:sz="4" w:space="0" w:color="auto"/>
              <w:bottom w:val="single" w:sz="4" w:space="0" w:color="auto"/>
            </w:tcBorders>
            <w:shd w:val="clear" w:color="auto" w:fill="FFFFFF"/>
            <w:noWrap/>
            <w:vAlign w:val="bottom"/>
          </w:tcPr>
          <w:p w14:paraId="06C3F9B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33,326</w:t>
            </w:r>
          </w:p>
        </w:tc>
        <w:tc>
          <w:tcPr>
            <w:tcW w:w="712" w:type="pct"/>
            <w:tcBorders>
              <w:top w:val="single" w:sz="4" w:space="0" w:color="auto"/>
              <w:bottom w:val="single" w:sz="4" w:space="0" w:color="auto"/>
            </w:tcBorders>
            <w:shd w:val="clear" w:color="auto" w:fill="FFFFFF"/>
            <w:noWrap/>
            <w:vAlign w:val="bottom"/>
          </w:tcPr>
          <w:p w14:paraId="275001AE"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29,871</w:t>
            </w:r>
          </w:p>
        </w:tc>
        <w:tc>
          <w:tcPr>
            <w:tcW w:w="653" w:type="pct"/>
            <w:tcBorders>
              <w:top w:val="single" w:sz="4" w:space="0" w:color="auto"/>
              <w:bottom w:val="single" w:sz="4" w:space="0" w:color="auto"/>
            </w:tcBorders>
            <w:shd w:val="clear" w:color="auto" w:fill="FFFFFF"/>
            <w:noWrap/>
            <w:vAlign w:val="bottom"/>
          </w:tcPr>
          <w:p w14:paraId="435D310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34,669</w:t>
            </w:r>
          </w:p>
        </w:tc>
      </w:tr>
      <w:tr w:rsidR="00717BA5" w:rsidRPr="00717BA5" w14:paraId="4BC81FEE" w14:textId="77777777" w:rsidTr="00717BA5">
        <w:trPr>
          <w:trHeight w:val="20"/>
        </w:trPr>
        <w:tc>
          <w:tcPr>
            <w:tcW w:w="2993" w:type="pct"/>
            <w:shd w:val="clear" w:color="auto" w:fill="FFFFFF"/>
            <w:vAlign w:val="bottom"/>
          </w:tcPr>
          <w:p w14:paraId="3A94229A"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42" w:type="pct"/>
            <w:tcBorders>
              <w:top w:val="single" w:sz="4" w:space="0" w:color="auto"/>
            </w:tcBorders>
            <w:shd w:val="clear" w:color="auto" w:fill="FFFFFF"/>
            <w:noWrap/>
            <w:vAlign w:val="bottom"/>
          </w:tcPr>
          <w:p w14:paraId="60003221"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712" w:type="pct"/>
            <w:tcBorders>
              <w:top w:val="single" w:sz="4" w:space="0" w:color="auto"/>
            </w:tcBorders>
            <w:shd w:val="clear" w:color="auto" w:fill="FFFFFF"/>
            <w:noWrap/>
            <w:vAlign w:val="bottom"/>
          </w:tcPr>
          <w:p w14:paraId="02900112"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53" w:type="pct"/>
            <w:tcBorders>
              <w:top w:val="single" w:sz="4" w:space="0" w:color="auto"/>
            </w:tcBorders>
            <w:shd w:val="clear" w:color="auto" w:fill="FFFFFF"/>
            <w:noWrap/>
            <w:vAlign w:val="bottom"/>
          </w:tcPr>
          <w:p w14:paraId="6985C449"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48AD5C8B" w14:textId="77777777" w:rsidTr="00717BA5">
        <w:trPr>
          <w:trHeight w:val="20"/>
        </w:trPr>
        <w:tc>
          <w:tcPr>
            <w:tcW w:w="2993" w:type="pct"/>
            <w:shd w:val="clear" w:color="auto" w:fill="FFFFFF"/>
            <w:vAlign w:val="bottom"/>
          </w:tcPr>
          <w:p w14:paraId="577DBE2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Expenses</w:t>
            </w:r>
          </w:p>
        </w:tc>
        <w:tc>
          <w:tcPr>
            <w:tcW w:w="642" w:type="pct"/>
            <w:shd w:val="clear" w:color="auto" w:fill="FFFFFF"/>
            <w:noWrap/>
            <w:vAlign w:val="bottom"/>
          </w:tcPr>
          <w:p w14:paraId="0DF4F66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712" w:type="pct"/>
            <w:shd w:val="clear" w:color="auto" w:fill="FFFFFF"/>
            <w:noWrap/>
            <w:vAlign w:val="bottom"/>
          </w:tcPr>
          <w:p w14:paraId="099E6AAC"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53" w:type="pct"/>
            <w:shd w:val="clear" w:color="auto" w:fill="FFFFFF"/>
            <w:noWrap/>
            <w:vAlign w:val="bottom"/>
          </w:tcPr>
          <w:p w14:paraId="1D6F0F5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2D2DEB46" w14:textId="77777777" w:rsidTr="00717BA5">
        <w:trPr>
          <w:trHeight w:val="20"/>
        </w:trPr>
        <w:tc>
          <w:tcPr>
            <w:tcW w:w="2993" w:type="pct"/>
            <w:shd w:val="clear" w:color="auto" w:fill="FFFFFF"/>
            <w:vAlign w:val="bottom"/>
          </w:tcPr>
          <w:p w14:paraId="3DC420B4"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Depreciation and Amortisation</w:t>
            </w:r>
          </w:p>
        </w:tc>
        <w:tc>
          <w:tcPr>
            <w:tcW w:w="642" w:type="pct"/>
            <w:shd w:val="clear" w:color="auto" w:fill="FFFFFF"/>
            <w:vAlign w:val="bottom"/>
          </w:tcPr>
          <w:p w14:paraId="28277BE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66</w:t>
            </w:r>
          </w:p>
        </w:tc>
        <w:tc>
          <w:tcPr>
            <w:tcW w:w="712" w:type="pct"/>
            <w:shd w:val="clear" w:color="auto" w:fill="FFFFFF"/>
            <w:vAlign w:val="bottom"/>
          </w:tcPr>
          <w:p w14:paraId="0DC9E11B"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94</w:t>
            </w:r>
          </w:p>
        </w:tc>
        <w:tc>
          <w:tcPr>
            <w:tcW w:w="653" w:type="pct"/>
            <w:shd w:val="clear" w:color="auto" w:fill="FFFFFF"/>
            <w:vAlign w:val="bottom"/>
          </w:tcPr>
          <w:p w14:paraId="14CD908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116 </w:t>
            </w:r>
          </w:p>
        </w:tc>
      </w:tr>
      <w:tr w:rsidR="00717BA5" w:rsidRPr="00717BA5" w14:paraId="36AF2514" w14:textId="77777777" w:rsidTr="00717BA5">
        <w:trPr>
          <w:trHeight w:val="20"/>
        </w:trPr>
        <w:tc>
          <w:tcPr>
            <w:tcW w:w="2993" w:type="pct"/>
            <w:shd w:val="clear" w:color="auto" w:fill="FFFFFF"/>
            <w:vAlign w:val="bottom"/>
          </w:tcPr>
          <w:p w14:paraId="55A7B5AB"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Employee Expenses</w:t>
            </w:r>
          </w:p>
        </w:tc>
        <w:tc>
          <w:tcPr>
            <w:tcW w:w="642" w:type="pct"/>
            <w:shd w:val="clear" w:color="auto" w:fill="FFFFFF"/>
            <w:vAlign w:val="bottom"/>
          </w:tcPr>
          <w:p w14:paraId="1DF147C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2,709</w:t>
            </w:r>
          </w:p>
        </w:tc>
        <w:tc>
          <w:tcPr>
            <w:tcW w:w="712" w:type="pct"/>
            <w:shd w:val="clear" w:color="auto" w:fill="FFFFFF"/>
            <w:vAlign w:val="bottom"/>
          </w:tcPr>
          <w:p w14:paraId="4C5B4AED" w14:textId="77777777" w:rsidR="00717BA5" w:rsidRPr="00717BA5" w:rsidDel="00B30E34"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2,658</w:t>
            </w:r>
          </w:p>
        </w:tc>
        <w:tc>
          <w:tcPr>
            <w:tcW w:w="653" w:type="pct"/>
            <w:shd w:val="clear" w:color="auto" w:fill="FFFFFF"/>
            <w:vAlign w:val="bottom"/>
          </w:tcPr>
          <w:p w14:paraId="6556315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2,407 </w:t>
            </w:r>
          </w:p>
        </w:tc>
      </w:tr>
      <w:tr w:rsidR="00717BA5" w:rsidRPr="00717BA5" w14:paraId="4A5A5274" w14:textId="77777777" w:rsidTr="00717BA5">
        <w:trPr>
          <w:trHeight w:val="20"/>
        </w:trPr>
        <w:tc>
          <w:tcPr>
            <w:tcW w:w="2993" w:type="pct"/>
            <w:shd w:val="clear" w:color="auto" w:fill="FFFFFF"/>
            <w:vAlign w:val="bottom"/>
          </w:tcPr>
          <w:p w14:paraId="782E47A1"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Supplies and Services</w:t>
            </w:r>
          </w:p>
        </w:tc>
        <w:tc>
          <w:tcPr>
            <w:tcW w:w="642" w:type="pct"/>
            <w:shd w:val="clear" w:color="auto" w:fill="FFFFFF"/>
            <w:vAlign w:val="bottom"/>
          </w:tcPr>
          <w:p w14:paraId="227EE3C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1,094</w:t>
            </w:r>
          </w:p>
        </w:tc>
        <w:tc>
          <w:tcPr>
            <w:tcW w:w="712" w:type="pct"/>
            <w:shd w:val="clear" w:color="auto" w:fill="FFFFFF"/>
            <w:vAlign w:val="bottom"/>
          </w:tcPr>
          <w:p w14:paraId="78F404C1"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971</w:t>
            </w:r>
          </w:p>
        </w:tc>
        <w:tc>
          <w:tcPr>
            <w:tcW w:w="653" w:type="pct"/>
            <w:shd w:val="clear" w:color="auto" w:fill="FFFFFF"/>
            <w:vAlign w:val="bottom"/>
          </w:tcPr>
          <w:p w14:paraId="44674F4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1,291 </w:t>
            </w:r>
          </w:p>
        </w:tc>
      </w:tr>
      <w:tr w:rsidR="00717BA5" w:rsidRPr="00717BA5" w14:paraId="4ADBDD2B" w14:textId="77777777" w:rsidTr="00717BA5">
        <w:trPr>
          <w:trHeight w:val="20"/>
        </w:trPr>
        <w:tc>
          <w:tcPr>
            <w:tcW w:w="2993" w:type="pct"/>
            <w:shd w:val="clear" w:color="auto" w:fill="FFFFFF"/>
            <w:vAlign w:val="bottom"/>
          </w:tcPr>
          <w:p w14:paraId="061A144B"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 Benefits Expense</w:t>
            </w:r>
          </w:p>
        </w:tc>
        <w:tc>
          <w:tcPr>
            <w:tcW w:w="642" w:type="pct"/>
            <w:shd w:val="clear" w:color="auto" w:fill="FFFFFF"/>
            <w:vAlign w:val="bottom"/>
          </w:tcPr>
          <w:p w14:paraId="3189472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18,571</w:t>
            </w:r>
          </w:p>
        </w:tc>
        <w:tc>
          <w:tcPr>
            <w:tcW w:w="712" w:type="pct"/>
            <w:vAlign w:val="bottom"/>
          </w:tcPr>
          <w:p w14:paraId="7A7B8F10"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21,573</w:t>
            </w:r>
          </w:p>
        </w:tc>
        <w:tc>
          <w:tcPr>
            <w:tcW w:w="653" w:type="pct"/>
            <w:shd w:val="clear" w:color="auto" w:fill="FFFFFF"/>
            <w:vAlign w:val="bottom"/>
          </w:tcPr>
          <w:p w14:paraId="712C483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15,166 </w:t>
            </w:r>
          </w:p>
        </w:tc>
      </w:tr>
      <w:tr w:rsidR="00717BA5" w:rsidRPr="00717BA5" w14:paraId="29FAC519" w14:textId="77777777" w:rsidTr="00717BA5">
        <w:trPr>
          <w:trHeight w:val="20"/>
        </w:trPr>
        <w:tc>
          <w:tcPr>
            <w:tcW w:w="2993" w:type="pct"/>
            <w:shd w:val="clear" w:color="auto" w:fill="FFFFFF"/>
            <w:vAlign w:val="bottom"/>
          </w:tcPr>
          <w:p w14:paraId="6FC09D73"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Finance Costs</w:t>
            </w:r>
          </w:p>
        </w:tc>
        <w:tc>
          <w:tcPr>
            <w:tcW w:w="642" w:type="pct"/>
            <w:shd w:val="clear" w:color="auto" w:fill="FFFFFF"/>
            <w:noWrap/>
            <w:vAlign w:val="bottom"/>
          </w:tcPr>
          <w:p w14:paraId="4B65350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8,536</w:t>
            </w:r>
          </w:p>
        </w:tc>
        <w:tc>
          <w:tcPr>
            <w:tcW w:w="712" w:type="pct"/>
            <w:noWrap/>
            <w:vAlign w:val="bottom"/>
          </w:tcPr>
          <w:p w14:paraId="04AFDE8E"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5,874</w:t>
            </w:r>
          </w:p>
        </w:tc>
        <w:tc>
          <w:tcPr>
            <w:tcW w:w="653" w:type="pct"/>
            <w:shd w:val="clear" w:color="auto" w:fill="FFFFFF"/>
            <w:noWrap/>
            <w:vAlign w:val="bottom"/>
          </w:tcPr>
          <w:p w14:paraId="69F9A9F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4,833 </w:t>
            </w:r>
          </w:p>
        </w:tc>
      </w:tr>
      <w:tr w:rsidR="00717BA5" w:rsidRPr="00717BA5" w14:paraId="7C0BD4ED" w14:textId="77777777" w:rsidTr="00717BA5">
        <w:trPr>
          <w:trHeight w:val="20"/>
        </w:trPr>
        <w:tc>
          <w:tcPr>
            <w:tcW w:w="2993" w:type="pct"/>
            <w:shd w:val="clear" w:color="auto" w:fill="FFFFFF"/>
            <w:vAlign w:val="bottom"/>
          </w:tcPr>
          <w:p w14:paraId="14680B6E"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Other Expenses</w:t>
            </w:r>
          </w:p>
        </w:tc>
        <w:tc>
          <w:tcPr>
            <w:tcW w:w="642" w:type="pct"/>
            <w:shd w:val="clear" w:color="auto" w:fill="FFFFFF"/>
            <w:noWrap/>
            <w:vAlign w:val="bottom"/>
          </w:tcPr>
          <w:p w14:paraId="768B290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139</w:t>
            </w:r>
          </w:p>
        </w:tc>
        <w:tc>
          <w:tcPr>
            <w:tcW w:w="712" w:type="pct"/>
            <w:shd w:val="clear" w:color="auto" w:fill="FFFFFF"/>
            <w:noWrap/>
            <w:vAlign w:val="bottom"/>
          </w:tcPr>
          <w:p w14:paraId="53B259AC" w14:textId="77777777" w:rsidR="00717BA5" w:rsidRPr="00717BA5" w:rsidRDefault="00717BA5" w:rsidP="00717BA5">
            <w:pPr>
              <w:spacing w:after="0" w:line="240" w:lineRule="auto"/>
              <w:jc w:val="right"/>
              <w:rPr>
                <w:rFonts w:ascii="Arial" w:eastAsia="SimSun" w:hAnsi="Arial" w:cs="Arial"/>
                <w:color w:val="000000"/>
                <w:sz w:val="18"/>
                <w:szCs w:val="18"/>
                <w:lang w:val="en-AU"/>
              </w:rPr>
            </w:pPr>
            <w:r w:rsidRPr="00717BA5">
              <w:rPr>
                <w:rFonts w:ascii="Arial" w:eastAsia="SimSun" w:hAnsi="Arial" w:cs="Arial"/>
                <w:color w:val="000000"/>
                <w:sz w:val="18"/>
                <w:szCs w:val="18"/>
                <w:lang w:val="en-AU" w:eastAsia="en-US"/>
              </w:rPr>
              <w:t>11</w:t>
            </w:r>
          </w:p>
        </w:tc>
        <w:tc>
          <w:tcPr>
            <w:tcW w:w="653" w:type="pct"/>
            <w:shd w:val="clear" w:color="auto" w:fill="FFFFFF"/>
            <w:noWrap/>
            <w:vAlign w:val="bottom"/>
          </w:tcPr>
          <w:p w14:paraId="7C26EAD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19 </w:t>
            </w:r>
          </w:p>
        </w:tc>
      </w:tr>
      <w:tr w:rsidR="00717BA5" w:rsidRPr="00717BA5" w14:paraId="3A91A06E" w14:textId="77777777" w:rsidTr="00717BA5">
        <w:trPr>
          <w:trHeight w:val="20"/>
        </w:trPr>
        <w:tc>
          <w:tcPr>
            <w:tcW w:w="2993" w:type="pct"/>
            <w:shd w:val="clear" w:color="auto" w:fill="FFFFFF"/>
            <w:vAlign w:val="bottom"/>
          </w:tcPr>
          <w:p w14:paraId="6CF4897F"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b/>
                <w:color w:val="auto"/>
                <w:sz w:val="18"/>
                <w:szCs w:val="18"/>
                <w:lang w:val="en-AU"/>
              </w:rPr>
              <w:t>Total Expenses</w:t>
            </w:r>
          </w:p>
        </w:tc>
        <w:tc>
          <w:tcPr>
            <w:tcW w:w="642" w:type="pct"/>
            <w:tcBorders>
              <w:top w:val="single" w:sz="4" w:space="0" w:color="auto"/>
              <w:bottom w:val="single" w:sz="4" w:space="0" w:color="auto"/>
            </w:tcBorders>
            <w:shd w:val="clear" w:color="auto" w:fill="FFFFFF"/>
            <w:noWrap/>
            <w:vAlign w:val="bottom"/>
          </w:tcPr>
          <w:p w14:paraId="7C4BC1A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31,115</w:t>
            </w:r>
          </w:p>
        </w:tc>
        <w:tc>
          <w:tcPr>
            <w:tcW w:w="712" w:type="pct"/>
            <w:tcBorders>
              <w:top w:val="single" w:sz="4" w:space="0" w:color="auto"/>
              <w:bottom w:val="single" w:sz="4" w:space="0" w:color="auto"/>
            </w:tcBorders>
            <w:shd w:val="clear" w:color="auto" w:fill="FFFFFF"/>
            <w:noWrap/>
            <w:vAlign w:val="bottom"/>
          </w:tcPr>
          <w:p w14:paraId="0150E888"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31,181</w:t>
            </w:r>
          </w:p>
        </w:tc>
        <w:tc>
          <w:tcPr>
            <w:tcW w:w="653" w:type="pct"/>
            <w:tcBorders>
              <w:top w:val="single" w:sz="4" w:space="0" w:color="auto"/>
              <w:bottom w:val="single" w:sz="4" w:space="0" w:color="auto"/>
            </w:tcBorders>
            <w:shd w:val="clear" w:color="auto" w:fill="FFFFFF"/>
            <w:noWrap/>
            <w:vAlign w:val="bottom"/>
          </w:tcPr>
          <w:p w14:paraId="17F55A3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23,832 </w:t>
            </w:r>
          </w:p>
        </w:tc>
      </w:tr>
      <w:tr w:rsidR="00717BA5" w:rsidRPr="00717BA5" w14:paraId="23D70000" w14:textId="77777777" w:rsidTr="00717BA5">
        <w:trPr>
          <w:trHeight w:val="20"/>
        </w:trPr>
        <w:tc>
          <w:tcPr>
            <w:tcW w:w="2993" w:type="pct"/>
            <w:shd w:val="clear" w:color="auto" w:fill="FFFFFF"/>
            <w:vAlign w:val="bottom"/>
          </w:tcPr>
          <w:p w14:paraId="7FC47BC1"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642" w:type="pct"/>
            <w:tcBorders>
              <w:top w:val="single" w:sz="4" w:space="0" w:color="auto"/>
              <w:bottom w:val="single" w:sz="4" w:space="0" w:color="auto"/>
            </w:tcBorders>
            <w:shd w:val="clear" w:color="auto" w:fill="FFFFFF"/>
            <w:noWrap/>
            <w:vAlign w:val="bottom"/>
          </w:tcPr>
          <w:p w14:paraId="2FCC90E7"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712" w:type="pct"/>
            <w:tcBorders>
              <w:top w:val="single" w:sz="4" w:space="0" w:color="auto"/>
              <w:bottom w:val="single" w:sz="4" w:space="0" w:color="auto"/>
            </w:tcBorders>
            <w:shd w:val="clear" w:color="auto" w:fill="FFFFFF"/>
            <w:noWrap/>
            <w:vAlign w:val="bottom"/>
          </w:tcPr>
          <w:p w14:paraId="55DFB613"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53" w:type="pct"/>
            <w:tcBorders>
              <w:top w:val="single" w:sz="4" w:space="0" w:color="auto"/>
              <w:bottom w:val="single" w:sz="4" w:space="0" w:color="auto"/>
            </w:tcBorders>
            <w:shd w:val="clear" w:color="auto" w:fill="FFFFFF"/>
            <w:noWrap/>
            <w:vAlign w:val="bottom"/>
          </w:tcPr>
          <w:p w14:paraId="0258CDAC"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290132B8" w14:textId="77777777" w:rsidTr="00717BA5">
        <w:trPr>
          <w:trHeight w:val="20"/>
        </w:trPr>
        <w:tc>
          <w:tcPr>
            <w:tcW w:w="2993" w:type="pct"/>
            <w:shd w:val="clear" w:color="auto" w:fill="FFFFFF"/>
            <w:vAlign w:val="bottom"/>
          </w:tcPr>
          <w:p w14:paraId="0A27C28B"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Operating Result</w:t>
            </w:r>
          </w:p>
        </w:tc>
        <w:tc>
          <w:tcPr>
            <w:tcW w:w="642" w:type="pct"/>
            <w:tcBorders>
              <w:top w:val="single" w:sz="4" w:space="0" w:color="auto"/>
              <w:bottom w:val="single" w:sz="4" w:space="0" w:color="auto"/>
            </w:tcBorders>
            <w:shd w:val="clear" w:color="auto" w:fill="FFFFFF"/>
            <w:noWrap/>
            <w:vAlign w:val="bottom"/>
          </w:tcPr>
          <w:p w14:paraId="325EFE0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2,211</w:t>
            </w:r>
          </w:p>
        </w:tc>
        <w:tc>
          <w:tcPr>
            <w:tcW w:w="712" w:type="pct"/>
            <w:tcBorders>
              <w:top w:val="single" w:sz="4" w:space="0" w:color="auto"/>
              <w:bottom w:val="single" w:sz="4" w:space="0" w:color="auto"/>
            </w:tcBorders>
            <w:shd w:val="clear" w:color="auto" w:fill="FFFFFF"/>
            <w:noWrap/>
            <w:vAlign w:val="bottom"/>
          </w:tcPr>
          <w:p w14:paraId="014325FD"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r w:rsidRPr="00717BA5">
              <w:rPr>
                <w:rFonts w:ascii="Arial" w:eastAsia="Times New Roman" w:hAnsi="Arial" w:cs="Arial"/>
                <w:b/>
                <w:color w:val="000000"/>
                <w:sz w:val="18"/>
                <w:szCs w:val="18"/>
                <w:lang w:val="en-AU"/>
              </w:rPr>
              <w:t>(</w:t>
            </w:r>
            <w:r w:rsidRPr="00717BA5">
              <w:rPr>
                <w:rFonts w:ascii="Arial" w:eastAsia="Calibri" w:hAnsi="Arial" w:cs="Arial"/>
                <w:b/>
                <w:color w:val="000000"/>
                <w:sz w:val="18"/>
                <w:szCs w:val="18"/>
                <w:lang w:val="en-AU" w:eastAsia="en-US"/>
              </w:rPr>
              <w:t>1,310)</w:t>
            </w:r>
          </w:p>
        </w:tc>
        <w:tc>
          <w:tcPr>
            <w:tcW w:w="653" w:type="pct"/>
            <w:tcBorders>
              <w:top w:val="single" w:sz="4" w:space="0" w:color="auto"/>
              <w:bottom w:val="single" w:sz="4" w:space="0" w:color="auto"/>
            </w:tcBorders>
            <w:shd w:val="clear" w:color="auto" w:fill="FFFFFF"/>
            <w:noWrap/>
            <w:vAlign w:val="bottom"/>
          </w:tcPr>
          <w:p w14:paraId="0815022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10,837</w:t>
            </w:r>
          </w:p>
        </w:tc>
      </w:tr>
      <w:tr w:rsidR="00717BA5" w:rsidRPr="00717BA5" w14:paraId="0A3A39F2" w14:textId="77777777" w:rsidTr="00717BA5">
        <w:trPr>
          <w:trHeight w:val="20"/>
        </w:trPr>
        <w:tc>
          <w:tcPr>
            <w:tcW w:w="2993" w:type="pct"/>
            <w:shd w:val="clear" w:color="auto" w:fill="FFFFFF"/>
            <w:vAlign w:val="bottom"/>
          </w:tcPr>
          <w:p w14:paraId="2E038EEE"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42" w:type="pct"/>
            <w:tcBorders>
              <w:top w:val="single" w:sz="4" w:space="0" w:color="auto"/>
            </w:tcBorders>
            <w:shd w:val="clear" w:color="auto" w:fill="FFFFFF"/>
            <w:noWrap/>
            <w:vAlign w:val="bottom"/>
          </w:tcPr>
          <w:p w14:paraId="598F06A1"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712" w:type="pct"/>
            <w:tcBorders>
              <w:top w:val="single" w:sz="4" w:space="0" w:color="auto"/>
            </w:tcBorders>
            <w:shd w:val="clear" w:color="auto" w:fill="FFFFFF"/>
            <w:noWrap/>
            <w:vAlign w:val="bottom"/>
          </w:tcPr>
          <w:p w14:paraId="5EFE3F97"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53" w:type="pct"/>
            <w:tcBorders>
              <w:top w:val="single" w:sz="4" w:space="0" w:color="auto"/>
            </w:tcBorders>
            <w:shd w:val="clear" w:color="auto" w:fill="FFFFFF"/>
            <w:noWrap/>
            <w:vAlign w:val="bottom"/>
          </w:tcPr>
          <w:p w14:paraId="5ADA77FE"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7993F308" w14:textId="77777777" w:rsidTr="00717BA5">
        <w:trPr>
          <w:trHeight w:val="20"/>
        </w:trPr>
        <w:tc>
          <w:tcPr>
            <w:tcW w:w="2993" w:type="pct"/>
            <w:tcBorders>
              <w:top w:val="nil"/>
              <w:left w:val="nil"/>
              <w:right w:val="nil"/>
            </w:tcBorders>
            <w:shd w:val="clear" w:color="auto" w:fill="FFFFFF"/>
            <w:vAlign w:val="bottom"/>
          </w:tcPr>
          <w:p w14:paraId="76CDB740" w14:textId="77777777" w:rsidR="00717BA5" w:rsidRPr="00717BA5" w:rsidRDefault="00717BA5" w:rsidP="00717BA5">
            <w:pPr>
              <w:spacing w:after="0" w:line="240" w:lineRule="auto"/>
              <w:rPr>
                <w:rFonts w:ascii="Arial" w:eastAsia="Times New Roman" w:hAnsi="Arial" w:cs="Arial"/>
                <w:iCs/>
                <w:color w:val="auto"/>
                <w:sz w:val="18"/>
                <w:szCs w:val="18"/>
                <w:lang w:val="en-AU"/>
              </w:rPr>
            </w:pPr>
          </w:p>
          <w:p w14:paraId="4CFC173F"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i/>
                <w:color w:val="auto"/>
                <w:sz w:val="18"/>
                <w:szCs w:val="18"/>
                <w:lang w:val="en-AU"/>
              </w:rPr>
              <w:t>Items that will not be reclassified subsequently to profit and loss</w:t>
            </w:r>
          </w:p>
        </w:tc>
        <w:tc>
          <w:tcPr>
            <w:tcW w:w="642" w:type="pct"/>
            <w:shd w:val="clear" w:color="auto" w:fill="FFFFFF"/>
            <w:noWrap/>
            <w:vAlign w:val="bottom"/>
          </w:tcPr>
          <w:p w14:paraId="7E14B59B"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Calibri" w:hAnsi="Arial" w:cs="Arial"/>
                <w:color w:val="auto"/>
                <w:sz w:val="18"/>
                <w:szCs w:val="18"/>
                <w:lang w:val="en-AU" w:eastAsia="en-US"/>
              </w:rPr>
              <w:t>-</w:t>
            </w:r>
          </w:p>
        </w:tc>
        <w:tc>
          <w:tcPr>
            <w:tcW w:w="712" w:type="pct"/>
            <w:shd w:val="clear" w:color="auto" w:fill="FFFFFF"/>
            <w:noWrap/>
            <w:vAlign w:val="bottom"/>
          </w:tcPr>
          <w:p w14:paraId="7B8806D2"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w:t>
            </w:r>
          </w:p>
        </w:tc>
        <w:tc>
          <w:tcPr>
            <w:tcW w:w="653" w:type="pct"/>
            <w:shd w:val="clear" w:color="auto" w:fill="FFFFFF"/>
            <w:noWrap/>
            <w:vAlign w:val="bottom"/>
          </w:tcPr>
          <w:p w14:paraId="2C7AAEE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r>
      <w:tr w:rsidR="00717BA5" w:rsidRPr="00717BA5" w14:paraId="3A9C9F29" w14:textId="77777777" w:rsidTr="00717BA5">
        <w:trPr>
          <w:trHeight w:val="20"/>
        </w:trPr>
        <w:tc>
          <w:tcPr>
            <w:tcW w:w="2993" w:type="pct"/>
            <w:tcBorders>
              <w:left w:val="nil"/>
              <w:bottom w:val="nil"/>
              <w:right w:val="nil"/>
            </w:tcBorders>
            <w:shd w:val="clear" w:color="auto" w:fill="FFFFFF"/>
            <w:vAlign w:val="bottom"/>
          </w:tcPr>
          <w:p w14:paraId="3BDF7F6E"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642" w:type="pct"/>
            <w:tcBorders>
              <w:bottom w:val="single" w:sz="4" w:space="0" w:color="auto"/>
            </w:tcBorders>
            <w:shd w:val="clear" w:color="auto" w:fill="FFFFFF"/>
            <w:noWrap/>
            <w:vAlign w:val="bottom"/>
          </w:tcPr>
          <w:p w14:paraId="08286CD1"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712" w:type="pct"/>
            <w:tcBorders>
              <w:bottom w:val="single" w:sz="4" w:space="0" w:color="auto"/>
            </w:tcBorders>
            <w:shd w:val="clear" w:color="auto" w:fill="FFFFFF"/>
            <w:noWrap/>
            <w:vAlign w:val="bottom"/>
          </w:tcPr>
          <w:p w14:paraId="11E336D7"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53" w:type="pct"/>
            <w:tcBorders>
              <w:bottom w:val="single" w:sz="4" w:space="0" w:color="auto"/>
            </w:tcBorders>
            <w:shd w:val="clear" w:color="auto" w:fill="FFFFFF"/>
            <w:noWrap/>
            <w:vAlign w:val="bottom"/>
          </w:tcPr>
          <w:p w14:paraId="54BB905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DA115B2" w14:textId="77777777" w:rsidTr="00717BA5">
        <w:trPr>
          <w:trHeight w:val="20"/>
        </w:trPr>
        <w:tc>
          <w:tcPr>
            <w:tcW w:w="2993" w:type="pct"/>
            <w:shd w:val="clear" w:color="auto" w:fill="FFFFFF"/>
            <w:vAlign w:val="bottom"/>
          </w:tcPr>
          <w:p w14:paraId="2592CE0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b/>
                <w:color w:val="auto"/>
                <w:sz w:val="18"/>
                <w:szCs w:val="18"/>
                <w:lang w:val="en-AU"/>
              </w:rPr>
              <w:t>Total Comprehensive Result</w:t>
            </w:r>
          </w:p>
        </w:tc>
        <w:tc>
          <w:tcPr>
            <w:tcW w:w="642" w:type="pct"/>
            <w:tcBorders>
              <w:top w:val="single" w:sz="4" w:space="0" w:color="auto"/>
              <w:bottom w:val="double" w:sz="4" w:space="0" w:color="auto"/>
            </w:tcBorders>
            <w:shd w:val="clear" w:color="auto" w:fill="FFFFFF"/>
            <w:vAlign w:val="bottom"/>
          </w:tcPr>
          <w:p w14:paraId="0BF685C3"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2,211</w:t>
            </w:r>
          </w:p>
        </w:tc>
        <w:tc>
          <w:tcPr>
            <w:tcW w:w="712" w:type="pct"/>
            <w:tcBorders>
              <w:top w:val="single" w:sz="4" w:space="0" w:color="auto"/>
              <w:bottom w:val="double" w:sz="4" w:space="0" w:color="auto"/>
            </w:tcBorders>
            <w:shd w:val="clear" w:color="auto" w:fill="FFFFFF"/>
            <w:vAlign w:val="bottom"/>
          </w:tcPr>
          <w:p w14:paraId="0B764B8E"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Times New Roman" w:hAnsi="Arial" w:cs="Arial"/>
                <w:b/>
                <w:color w:val="000000"/>
                <w:sz w:val="18"/>
                <w:szCs w:val="18"/>
                <w:lang w:val="en-AU"/>
              </w:rPr>
              <w:t>(</w:t>
            </w:r>
            <w:r w:rsidRPr="00717BA5">
              <w:rPr>
                <w:rFonts w:ascii="Arial" w:eastAsia="Calibri" w:hAnsi="Arial" w:cs="Arial"/>
                <w:b/>
                <w:color w:val="000000"/>
                <w:sz w:val="18"/>
                <w:szCs w:val="18"/>
                <w:lang w:val="en-AU" w:eastAsia="en-US"/>
              </w:rPr>
              <w:t>1,310)</w:t>
            </w:r>
          </w:p>
        </w:tc>
        <w:tc>
          <w:tcPr>
            <w:tcW w:w="653" w:type="pct"/>
            <w:tcBorders>
              <w:top w:val="single" w:sz="4" w:space="0" w:color="auto"/>
              <w:bottom w:val="double" w:sz="4" w:space="0" w:color="auto"/>
            </w:tcBorders>
            <w:shd w:val="clear" w:color="auto" w:fill="FFFFFF"/>
            <w:vAlign w:val="bottom"/>
          </w:tcPr>
          <w:p w14:paraId="543D458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10,837</w:t>
            </w:r>
          </w:p>
        </w:tc>
      </w:tr>
    </w:tbl>
    <w:p w14:paraId="37CA3CB5" w14:textId="77777777" w:rsidR="00717BA5" w:rsidRPr="00717BA5" w:rsidRDefault="00717BA5" w:rsidP="00717BA5">
      <w:pPr>
        <w:spacing w:after="0" w:line="240" w:lineRule="auto"/>
        <w:jc w:val="both"/>
        <w:rPr>
          <w:rFonts w:ascii="Arial" w:eastAsia="Times New Roman" w:hAnsi="Arial" w:cs="Arial"/>
          <w:b/>
          <w:bCs/>
          <w:color w:val="auto"/>
          <w:sz w:val="18"/>
          <w:szCs w:val="18"/>
          <w:lang w:val="en-AU"/>
        </w:rPr>
      </w:pPr>
    </w:p>
    <w:p w14:paraId="6487CCEF"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br w:type="page"/>
      </w:r>
    </w:p>
    <w:p w14:paraId="48CDDD37" w14:textId="77777777" w:rsidR="00717BA5" w:rsidRPr="00717BA5" w:rsidRDefault="00717BA5" w:rsidP="00717BA5">
      <w:pPr>
        <w:spacing w:before="60" w:after="0" w:line="240" w:lineRule="auto"/>
        <w:rPr>
          <w:rFonts w:ascii="Arial" w:eastAsia="Times New Roman" w:hAnsi="Arial" w:cs="Arial"/>
          <w:b/>
          <w:bCs/>
          <w:color w:val="auto"/>
          <w:sz w:val="18"/>
          <w:szCs w:val="18"/>
          <w:lang w:val="en-AU"/>
        </w:rPr>
      </w:pPr>
    </w:p>
    <w:p w14:paraId="1CAC7281" w14:textId="77777777" w:rsidR="00717BA5" w:rsidRPr="00717BA5" w:rsidRDefault="00717BA5" w:rsidP="00717BA5">
      <w:pPr>
        <w:keepNext/>
        <w:spacing w:after="240" w:line="240" w:lineRule="auto"/>
        <w:ind w:left="1276" w:hanging="1276"/>
        <w:outlineLvl w:val="1"/>
        <w:rPr>
          <w:rFonts w:ascii="Arial" w:eastAsia="Times New Roman" w:hAnsi="Arial" w:cs="Arial"/>
          <w:b/>
          <w:bCs/>
          <w:color w:val="auto"/>
          <w:sz w:val="24"/>
          <w:szCs w:val="24"/>
          <w:lang w:val="en-AU"/>
        </w:rPr>
      </w:pPr>
      <w:bookmarkStart w:id="122" w:name="_Toc240533536"/>
      <w:r w:rsidRPr="00717BA5">
        <w:rPr>
          <w:rFonts w:ascii="Arial" w:eastAsia="Times New Roman" w:hAnsi="Arial" w:cs="Arial"/>
          <w:b/>
          <w:bCs/>
          <w:color w:val="auto"/>
          <w:sz w:val="24"/>
          <w:szCs w:val="24"/>
          <w:lang w:val="en-AU"/>
        </w:rPr>
        <w:t>NOTE 17.   OPERATING STATEMENT AND BALANCE SHEET FOR LONG SERVICE LEAVE SCHEMES - CONTINUED</w:t>
      </w:r>
      <w:bookmarkEnd w:id="122"/>
    </w:p>
    <w:p w14:paraId="1EB18B71" w14:textId="77777777" w:rsidR="00717BA5" w:rsidRPr="00717BA5" w:rsidRDefault="00717BA5" w:rsidP="00717BA5">
      <w:pPr>
        <w:spacing w:before="120" w:after="120" w:line="240" w:lineRule="auto"/>
        <w:jc w:val="center"/>
        <w:rPr>
          <w:rFonts w:ascii="Arial" w:eastAsia="Times New Roman" w:hAnsi="Arial" w:cs="Arial"/>
          <w:b/>
          <w:color w:val="auto"/>
          <w:sz w:val="22"/>
          <w:szCs w:val="22"/>
          <w:lang w:val="en-AU"/>
        </w:rPr>
      </w:pPr>
      <w:r w:rsidRPr="00717BA5">
        <w:rPr>
          <w:rFonts w:ascii="Arial" w:eastAsia="Times New Roman" w:hAnsi="Arial" w:cs="Arial"/>
          <w:b/>
          <w:color w:val="auto"/>
          <w:sz w:val="22"/>
          <w:szCs w:val="22"/>
          <w:lang w:val="en-AU"/>
        </w:rPr>
        <w:t>Community Sector Industry Scheme – Balance Sheet</w:t>
      </w:r>
    </w:p>
    <w:tbl>
      <w:tblPr>
        <w:tblW w:w="9949" w:type="dxa"/>
        <w:tblLook w:val="04A0" w:firstRow="1" w:lastRow="0" w:firstColumn="1" w:lastColumn="0" w:noHBand="0" w:noVBand="1"/>
      </w:tblPr>
      <w:tblGrid>
        <w:gridCol w:w="5637"/>
        <w:gridCol w:w="1353"/>
        <w:gridCol w:w="1524"/>
        <w:gridCol w:w="1435"/>
      </w:tblGrid>
      <w:tr w:rsidR="00717BA5" w:rsidRPr="00717BA5" w14:paraId="238E4135" w14:textId="77777777" w:rsidTr="00717BA5">
        <w:trPr>
          <w:trHeight w:val="272"/>
        </w:trPr>
        <w:tc>
          <w:tcPr>
            <w:tcW w:w="5637" w:type="dxa"/>
            <w:tcBorders>
              <w:top w:val="nil"/>
              <w:left w:val="nil"/>
              <w:bottom w:val="nil"/>
              <w:right w:val="nil"/>
            </w:tcBorders>
            <w:shd w:val="clear" w:color="auto" w:fill="FFFFFF"/>
            <w:vAlign w:val="bottom"/>
          </w:tcPr>
          <w:p w14:paraId="1C3F39F5"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nil"/>
              <w:left w:val="nil"/>
              <w:bottom w:val="nil"/>
              <w:right w:val="nil"/>
            </w:tcBorders>
            <w:shd w:val="clear" w:color="auto" w:fill="FFFFFF"/>
            <w:noWrap/>
            <w:vAlign w:val="bottom"/>
          </w:tcPr>
          <w:p w14:paraId="409F1F8E"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w:t>
            </w:r>
          </w:p>
        </w:tc>
        <w:tc>
          <w:tcPr>
            <w:tcW w:w="1524" w:type="dxa"/>
            <w:tcBorders>
              <w:top w:val="nil"/>
              <w:left w:val="nil"/>
              <w:bottom w:val="nil"/>
              <w:right w:val="nil"/>
            </w:tcBorders>
            <w:shd w:val="clear" w:color="auto" w:fill="FFFFFF"/>
            <w:vAlign w:val="bottom"/>
          </w:tcPr>
          <w:p w14:paraId="338A633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Original</w:t>
            </w:r>
          </w:p>
        </w:tc>
        <w:tc>
          <w:tcPr>
            <w:tcW w:w="1435" w:type="dxa"/>
            <w:tcBorders>
              <w:top w:val="nil"/>
              <w:left w:val="nil"/>
              <w:bottom w:val="nil"/>
              <w:right w:val="nil"/>
            </w:tcBorders>
            <w:shd w:val="clear" w:color="auto" w:fill="FFFFFF"/>
            <w:noWrap/>
            <w:vAlign w:val="bottom"/>
          </w:tcPr>
          <w:p w14:paraId="5F0D7D5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43D2FE52" w14:textId="77777777" w:rsidTr="00717BA5">
        <w:trPr>
          <w:trHeight w:val="272"/>
        </w:trPr>
        <w:tc>
          <w:tcPr>
            <w:tcW w:w="5637" w:type="dxa"/>
            <w:tcBorders>
              <w:top w:val="nil"/>
              <w:left w:val="nil"/>
              <w:right w:val="nil"/>
            </w:tcBorders>
            <w:shd w:val="clear" w:color="auto" w:fill="FFFFFF"/>
            <w:vAlign w:val="bottom"/>
          </w:tcPr>
          <w:p w14:paraId="2368567D"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nil"/>
              <w:left w:val="nil"/>
              <w:bottom w:val="nil"/>
              <w:right w:val="nil"/>
            </w:tcBorders>
            <w:shd w:val="clear" w:color="auto" w:fill="FFFFFF"/>
            <w:vAlign w:val="bottom"/>
          </w:tcPr>
          <w:p w14:paraId="74CAB0C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c>
          <w:tcPr>
            <w:tcW w:w="1524" w:type="dxa"/>
            <w:tcBorders>
              <w:top w:val="nil"/>
              <w:left w:val="nil"/>
              <w:bottom w:val="nil"/>
              <w:right w:val="nil"/>
            </w:tcBorders>
            <w:shd w:val="clear" w:color="auto" w:fill="FFFFFF"/>
            <w:vAlign w:val="bottom"/>
          </w:tcPr>
          <w:p w14:paraId="1EECCB6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Budget</w:t>
            </w:r>
          </w:p>
        </w:tc>
        <w:tc>
          <w:tcPr>
            <w:tcW w:w="1435" w:type="dxa"/>
            <w:tcBorders>
              <w:top w:val="nil"/>
              <w:left w:val="nil"/>
              <w:bottom w:val="nil"/>
              <w:right w:val="nil"/>
            </w:tcBorders>
            <w:shd w:val="clear" w:color="auto" w:fill="FFFFFF"/>
            <w:vAlign w:val="bottom"/>
          </w:tcPr>
          <w:p w14:paraId="7D44649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r>
      <w:tr w:rsidR="00717BA5" w:rsidRPr="00717BA5" w14:paraId="7195E3B8" w14:textId="77777777" w:rsidTr="00717BA5">
        <w:trPr>
          <w:trHeight w:val="272"/>
        </w:trPr>
        <w:tc>
          <w:tcPr>
            <w:tcW w:w="5637" w:type="dxa"/>
            <w:tcBorders>
              <w:top w:val="nil"/>
              <w:left w:val="nil"/>
              <w:bottom w:val="nil"/>
              <w:right w:val="nil"/>
            </w:tcBorders>
            <w:shd w:val="clear" w:color="auto" w:fill="FFFFFF"/>
            <w:vAlign w:val="bottom"/>
          </w:tcPr>
          <w:p w14:paraId="10735C25"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nil"/>
              <w:left w:val="nil"/>
              <w:bottom w:val="nil"/>
              <w:right w:val="nil"/>
            </w:tcBorders>
            <w:shd w:val="clear" w:color="auto" w:fill="FFFFFF"/>
            <w:vAlign w:val="bottom"/>
          </w:tcPr>
          <w:p w14:paraId="34A2AE7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1524" w:type="dxa"/>
            <w:tcBorders>
              <w:top w:val="nil"/>
              <w:left w:val="nil"/>
              <w:bottom w:val="nil"/>
              <w:right w:val="nil"/>
            </w:tcBorders>
            <w:shd w:val="clear" w:color="auto" w:fill="FFFFFF"/>
            <w:vAlign w:val="bottom"/>
          </w:tcPr>
          <w:p w14:paraId="600AE4F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1435" w:type="dxa"/>
            <w:tcBorders>
              <w:top w:val="nil"/>
              <w:left w:val="nil"/>
              <w:bottom w:val="nil"/>
              <w:right w:val="nil"/>
            </w:tcBorders>
            <w:shd w:val="clear" w:color="auto" w:fill="FFFFFF"/>
            <w:vAlign w:val="bottom"/>
          </w:tcPr>
          <w:p w14:paraId="1CFEAF4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28E85B1F" w14:textId="77777777" w:rsidTr="00717BA5">
        <w:trPr>
          <w:trHeight w:val="272"/>
        </w:trPr>
        <w:tc>
          <w:tcPr>
            <w:tcW w:w="5637" w:type="dxa"/>
            <w:tcBorders>
              <w:top w:val="nil"/>
              <w:left w:val="nil"/>
              <w:right w:val="nil"/>
            </w:tcBorders>
            <w:shd w:val="clear" w:color="auto" w:fill="FFFFFF"/>
            <w:vAlign w:val="bottom"/>
          </w:tcPr>
          <w:p w14:paraId="1E4DEFE6"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nil"/>
              <w:left w:val="nil"/>
              <w:bottom w:val="single" w:sz="4" w:space="0" w:color="auto"/>
              <w:right w:val="nil"/>
            </w:tcBorders>
            <w:shd w:val="clear" w:color="auto" w:fill="FFFFFF"/>
            <w:vAlign w:val="bottom"/>
          </w:tcPr>
          <w:p w14:paraId="2EF90D5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524" w:type="dxa"/>
            <w:tcBorders>
              <w:top w:val="nil"/>
              <w:left w:val="nil"/>
              <w:bottom w:val="single" w:sz="4" w:space="0" w:color="auto"/>
              <w:right w:val="nil"/>
            </w:tcBorders>
            <w:shd w:val="clear" w:color="auto" w:fill="FFFFFF"/>
            <w:vAlign w:val="bottom"/>
          </w:tcPr>
          <w:p w14:paraId="2380B03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435" w:type="dxa"/>
            <w:tcBorders>
              <w:top w:val="nil"/>
              <w:left w:val="nil"/>
              <w:bottom w:val="single" w:sz="4" w:space="0" w:color="auto"/>
              <w:right w:val="nil"/>
            </w:tcBorders>
            <w:shd w:val="clear" w:color="auto" w:fill="FFFFFF"/>
            <w:vAlign w:val="bottom"/>
          </w:tcPr>
          <w:p w14:paraId="1AF44AD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1E553A25" w14:textId="77777777" w:rsidTr="00717BA5">
        <w:trPr>
          <w:trHeight w:val="20"/>
        </w:trPr>
        <w:tc>
          <w:tcPr>
            <w:tcW w:w="5637" w:type="dxa"/>
            <w:tcBorders>
              <w:top w:val="nil"/>
              <w:left w:val="nil"/>
              <w:bottom w:val="nil"/>
              <w:right w:val="nil"/>
            </w:tcBorders>
            <w:shd w:val="clear" w:color="auto" w:fill="FFFFFF"/>
            <w:vAlign w:val="bottom"/>
          </w:tcPr>
          <w:p w14:paraId="74FC8A80"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Current Assets</w:t>
            </w:r>
          </w:p>
        </w:tc>
        <w:tc>
          <w:tcPr>
            <w:tcW w:w="1353" w:type="dxa"/>
            <w:tcBorders>
              <w:top w:val="nil"/>
              <w:left w:val="nil"/>
              <w:bottom w:val="nil"/>
              <w:right w:val="nil"/>
            </w:tcBorders>
            <w:shd w:val="clear" w:color="auto" w:fill="FFFFFF"/>
            <w:vAlign w:val="bottom"/>
          </w:tcPr>
          <w:p w14:paraId="175A535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1524" w:type="dxa"/>
            <w:tcBorders>
              <w:top w:val="nil"/>
              <w:left w:val="nil"/>
              <w:bottom w:val="nil"/>
              <w:right w:val="nil"/>
            </w:tcBorders>
            <w:shd w:val="clear" w:color="auto" w:fill="FFFFFF"/>
            <w:vAlign w:val="bottom"/>
          </w:tcPr>
          <w:p w14:paraId="7F3B76A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1435" w:type="dxa"/>
            <w:tcBorders>
              <w:top w:val="nil"/>
              <w:left w:val="nil"/>
              <w:bottom w:val="nil"/>
              <w:right w:val="nil"/>
            </w:tcBorders>
            <w:shd w:val="clear" w:color="auto" w:fill="FFFFFF"/>
            <w:vAlign w:val="bottom"/>
          </w:tcPr>
          <w:p w14:paraId="2745081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2822B036" w14:textId="77777777" w:rsidTr="00717BA5">
        <w:trPr>
          <w:trHeight w:val="20"/>
        </w:trPr>
        <w:tc>
          <w:tcPr>
            <w:tcW w:w="5637" w:type="dxa"/>
            <w:tcBorders>
              <w:top w:val="nil"/>
              <w:left w:val="nil"/>
              <w:bottom w:val="nil"/>
              <w:right w:val="nil"/>
            </w:tcBorders>
            <w:shd w:val="clear" w:color="auto" w:fill="FFFFFF"/>
            <w:vAlign w:val="bottom"/>
          </w:tcPr>
          <w:p w14:paraId="46A46FB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Cash </w:t>
            </w:r>
          </w:p>
        </w:tc>
        <w:tc>
          <w:tcPr>
            <w:tcW w:w="1353" w:type="dxa"/>
            <w:tcBorders>
              <w:top w:val="nil"/>
              <w:left w:val="nil"/>
              <w:bottom w:val="nil"/>
              <w:right w:val="nil"/>
            </w:tcBorders>
            <w:shd w:val="clear" w:color="auto" w:fill="FFFFFF"/>
            <w:noWrap/>
            <w:vAlign w:val="bottom"/>
          </w:tcPr>
          <w:p w14:paraId="2D5E83E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2,709</w:t>
            </w:r>
          </w:p>
        </w:tc>
        <w:tc>
          <w:tcPr>
            <w:tcW w:w="1524" w:type="dxa"/>
            <w:tcBorders>
              <w:top w:val="nil"/>
              <w:left w:val="nil"/>
              <w:bottom w:val="nil"/>
              <w:right w:val="nil"/>
            </w:tcBorders>
            <w:shd w:val="clear" w:color="auto" w:fill="FFFFFF"/>
            <w:noWrap/>
            <w:vAlign w:val="bottom"/>
          </w:tcPr>
          <w:p w14:paraId="1DF69573"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3,974</w:t>
            </w:r>
          </w:p>
        </w:tc>
        <w:tc>
          <w:tcPr>
            <w:tcW w:w="1435" w:type="dxa"/>
            <w:tcBorders>
              <w:top w:val="nil"/>
              <w:left w:val="nil"/>
              <w:bottom w:val="nil"/>
              <w:right w:val="nil"/>
            </w:tcBorders>
            <w:shd w:val="clear" w:color="auto" w:fill="FFFFFF"/>
            <w:noWrap/>
            <w:vAlign w:val="bottom"/>
          </w:tcPr>
          <w:p w14:paraId="17D02B8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1,469 </w:t>
            </w:r>
          </w:p>
        </w:tc>
      </w:tr>
      <w:tr w:rsidR="00717BA5" w:rsidRPr="00717BA5" w14:paraId="4BA286C3" w14:textId="77777777" w:rsidTr="00717BA5">
        <w:trPr>
          <w:trHeight w:val="20"/>
        </w:trPr>
        <w:tc>
          <w:tcPr>
            <w:tcW w:w="5637" w:type="dxa"/>
            <w:tcBorders>
              <w:top w:val="nil"/>
              <w:left w:val="nil"/>
              <w:bottom w:val="nil"/>
              <w:right w:val="nil"/>
            </w:tcBorders>
            <w:shd w:val="clear" w:color="auto" w:fill="FFFFFF"/>
            <w:vAlign w:val="bottom"/>
          </w:tcPr>
          <w:p w14:paraId="55CEDD1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w:t>
            </w:r>
          </w:p>
        </w:tc>
        <w:tc>
          <w:tcPr>
            <w:tcW w:w="1353" w:type="dxa"/>
            <w:tcBorders>
              <w:top w:val="nil"/>
              <w:left w:val="nil"/>
              <w:bottom w:val="nil"/>
              <w:right w:val="nil"/>
            </w:tcBorders>
            <w:shd w:val="clear" w:color="auto" w:fill="FFFFFF"/>
            <w:noWrap/>
            <w:vAlign w:val="bottom"/>
          </w:tcPr>
          <w:p w14:paraId="7C055EA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130,644</w:t>
            </w:r>
          </w:p>
        </w:tc>
        <w:tc>
          <w:tcPr>
            <w:tcW w:w="1524" w:type="dxa"/>
            <w:tcBorders>
              <w:top w:val="nil"/>
              <w:left w:val="nil"/>
              <w:bottom w:val="nil"/>
              <w:right w:val="nil"/>
            </w:tcBorders>
            <w:shd w:val="clear" w:color="auto" w:fill="FFFFFF"/>
            <w:noWrap/>
            <w:vAlign w:val="bottom"/>
          </w:tcPr>
          <w:p w14:paraId="750DF513"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130,854</w:t>
            </w:r>
          </w:p>
        </w:tc>
        <w:tc>
          <w:tcPr>
            <w:tcW w:w="1435" w:type="dxa"/>
            <w:tcBorders>
              <w:top w:val="nil"/>
              <w:left w:val="nil"/>
              <w:bottom w:val="nil"/>
              <w:right w:val="nil"/>
            </w:tcBorders>
            <w:shd w:val="clear" w:color="auto" w:fill="FFFFFF"/>
            <w:noWrap/>
            <w:vAlign w:val="bottom"/>
          </w:tcPr>
          <w:p w14:paraId="337FDF3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115,866 </w:t>
            </w:r>
          </w:p>
        </w:tc>
      </w:tr>
      <w:tr w:rsidR="00717BA5" w:rsidRPr="00717BA5" w14:paraId="6275924A" w14:textId="77777777" w:rsidTr="00717BA5">
        <w:trPr>
          <w:trHeight w:val="20"/>
        </w:trPr>
        <w:tc>
          <w:tcPr>
            <w:tcW w:w="5637" w:type="dxa"/>
            <w:tcBorders>
              <w:top w:val="nil"/>
              <w:left w:val="nil"/>
              <w:bottom w:val="nil"/>
              <w:right w:val="nil"/>
            </w:tcBorders>
            <w:shd w:val="clear" w:color="auto" w:fill="FFFFFF"/>
            <w:vAlign w:val="bottom"/>
          </w:tcPr>
          <w:p w14:paraId="3518BB83"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Receivables</w:t>
            </w:r>
          </w:p>
        </w:tc>
        <w:tc>
          <w:tcPr>
            <w:tcW w:w="1353" w:type="dxa"/>
            <w:tcBorders>
              <w:top w:val="nil"/>
              <w:left w:val="nil"/>
              <w:bottom w:val="nil"/>
              <w:right w:val="nil"/>
            </w:tcBorders>
            <w:shd w:val="clear" w:color="auto" w:fill="FFFFFF"/>
            <w:noWrap/>
            <w:vAlign w:val="bottom"/>
          </w:tcPr>
          <w:p w14:paraId="10DE4DC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8,368</w:t>
            </w:r>
          </w:p>
        </w:tc>
        <w:tc>
          <w:tcPr>
            <w:tcW w:w="1524" w:type="dxa"/>
            <w:tcBorders>
              <w:top w:val="nil"/>
              <w:left w:val="nil"/>
              <w:bottom w:val="nil"/>
              <w:right w:val="nil"/>
            </w:tcBorders>
            <w:shd w:val="clear" w:color="auto" w:fill="FFFFFF"/>
            <w:noWrap/>
            <w:vAlign w:val="bottom"/>
          </w:tcPr>
          <w:p w14:paraId="3B5BC109"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6,126</w:t>
            </w:r>
          </w:p>
        </w:tc>
        <w:tc>
          <w:tcPr>
            <w:tcW w:w="1435" w:type="dxa"/>
            <w:tcBorders>
              <w:top w:val="nil"/>
              <w:left w:val="nil"/>
              <w:bottom w:val="nil"/>
              <w:right w:val="nil"/>
            </w:tcBorders>
            <w:shd w:val="clear" w:color="auto" w:fill="FFFFFF"/>
            <w:noWrap/>
            <w:vAlign w:val="bottom"/>
          </w:tcPr>
          <w:p w14:paraId="4A09510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6,938 </w:t>
            </w:r>
          </w:p>
        </w:tc>
      </w:tr>
      <w:tr w:rsidR="00717BA5" w:rsidRPr="00717BA5" w14:paraId="2B579CD6" w14:textId="77777777" w:rsidTr="00717BA5">
        <w:trPr>
          <w:trHeight w:val="20"/>
        </w:trPr>
        <w:tc>
          <w:tcPr>
            <w:tcW w:w="5637" w:type="dxa"/>
            <w:tcBorders>
              <w:left w:val="nil"/>
              <w:right w:val="nil"/>
            </w:tcBorders>
            <w:shd w:val="clear" w:color="auto" w:fill="FFFFFF"/>
            <w:vAlign w:val="bottom"/>
          </w:tcPr>
          <w:p w14:paraId="537A158C"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Current Assets</w:t>
            </w:r>
          </w:p>
        </w:tc>
        <w:tc>
          <w:tcPr>
            <w:tcW w:w="1353" w:type="dxa"/>
            <w:tcBorders>
              <w:top w:val="single" w:sz="4" w:space="0" w:color="auto"/>
              <w:left w:val="nil"/>
              <w:right w:val="nil"/>
            </w:tcBorders>
            <w:shd w:val="clear" w:color="auto" w:fill="FFFFFF"/>
            <w:noWrap/>
            <w:vAlign w:val="bottom"/>
          </w:tcPr>
          <w:p w14:paraId="0D996E9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141,721</w:t>
            </w:r>
          </w:p>
        </w:tc>
        <w:tc>
          <w:tcPr>
            <w:tcW w:w="1524" w:type="dxa"/>
            <w:tcBorders>
              <w:top w:val="single" w:sz="4" w:space="0" w:color="auto"/>
              <w:left w:val="nil"/>
              <w:right w:val="nil"/>
            </w:tcBorders>
            <w:shd w:val="clear" w:color="auto" w:fill="FFFFFF"/>
            <w:noWrap/>
            <w:vAlign w:val="bottom"/>
          </w:tcPr>
          <w:p w14:paraId="523411FC"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140,954</w:t>
            </w:r>
          </w:p>
        </w:tc>
        <w:tc>
          <w:tcPr>
            <w:tcW w:w="1435" w:type="dxa"/>
            <w:tcBorders>
              <w:top w:val="single" w:sz="4" w:space="0" w:color="auto"/>
              <w:left w:val="nil"/>
              <w:right w:val="nil"/>
            </w:tcBorders>
            <w:shd w:val="clear" w:color="auto" w:fill="FFFFFF"/>
            <w:noWrap/>
            <w:vAlign w:val="bottom"/>
          </w:tcPr>
          <w:p w14:paraId="32A2D1CE"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124,273 </w:t>
            </w:r>
          </w:p>
        </w:tc>
      </w:tr>
      <w:tr w:rsidR="00717BA5" w:rsidRPr="00717BA5" w14:paraId="049E8B35" w14:textId="77777777" w:rsidTr="00717BA5">
        <w:trPr>
          <w:trHeight w:val="20"/>
        </w:trPr>
        <w:tc>
          <w:tcPr>
            <w:tcW w:w="5637" w:type="dxa"/>
            <w:tcBorders>
              <w:left w:val="nil"/>
              <w:bottom w:val="nil"/>
              <w:right w:val="nil"/>
            </w:tcBorders>
            <w:shd w:val="clear" w:color="auto" w:fill="FFFFFF"/>
            <w:vAlign w:val="bottom"/>
          </w:tcPr>
          <w:p w14:paraId="5B287EC7"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Non-Current Assets</w:t>
            </w:r>
          </w:p>
        </w:tc>
        <w:tc>
          <w:tcPr>
            <w:tcW w:w="1353" w:type="dxa"/>
            <w:tcBorders>
              <w:left w:val="nil"/>
              <w:right w:val="nil"/>
            </w:tcBorders>
            <w:shd w:val="clear" w:color="auto" w:fill="FFFFFF"/>
            <w:vAlign w:val="bottom"/>
          </w:tcPr>
          <w:p w14:paraId="3B948B9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24" w:type="dxa"/>
            <w:tcBorders>
              <w:left w:val="nil"/>
              <w:right w:val="nil"/>
            </w:tcBorders>
            <w:shd w:val="clear" w:color="auto" w:fill="FFFFFF"/>
            <w:vAlign w:val="bottom"/>
          </w:tcPr>
          <w:p w14:paraId="4CBCA80D"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1435" w:type="dxa"/>
            <w:tcBorders>
              <w:left w:val="nil"/>
              <w:right w:val="nil"/>
            </w:tcBorders>
            <w:shd w:val="clear" w:color="auto" w:fill="FFFFFF"/>
            <w:vAlign w:val="bottom"/>
          </w:tcPr>
          <w:p w14:paraId="7C87E66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DE66F11" w14:textId="77777777" w:rsidTr="00717BA5">
        <w:trPr>
          <w:trHeight w:val="20"/>
        </w:trPr>
        <w:tc>
          <w:tcPr>
            <w:tcW w:w="5637" w:type="dxa"/>
            <w:tcBorders>
              <w:left w:val="nil"/>
              <w:bottom w:val="nil"/>
              <w:right w:val="nil"/>
            </w:tcBorders>
            <w:shd w:val="clear" w:color="auto" w:fill="FFFFFF"/>
            <w:vAlign w:val="bottom"/>
          </w:tcPr>
          <w:p w14:paraId="514F33EA"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Property, Plant and Equipment</w:t>
            </w:r>
          </w:p>
        </w:tc>
        <w:tc>
          <w:tcPr>
            <w:tcW w:w="1353" w:type="dxa"/>
            <w:tcBorders>
              <w:left w:val="nil"/>
              <w:right w:val="nil"/>
            </w:tcBorders>
            <w:shd w:val="clear" w:color="auto" w:fill="FFFFFF"/>
            <w:vAlign w:val="bottom"/>
          </w:tcPr>
          <w:p w14:paraId="668772A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420</w:t>
            </w:r>
          </w:p>
        </w:tc>
        <w:tc>
          <w:tcPr>
            <w:tcW w:w="1524" w:type="dxa"/>
            <w:tcBorders>
              <w:left w:val="nil"/>
              <w:right w:val="nil"/>
            </w:tcBorders>
            <w:shd w:val="clear" w:color="auto" w:fill="FFFFFF"/>
            <w:vAlign w:val="bottom"/>
          </w:tcPr>
          <w:p w14:paraId="75470214"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370</w:t>
            </w:r>
          </w:p>
        </w:tc>
        <w:tc>
          <w:tcPr>
            <w:tcW w:w="1435" w:type="dxa"/>
            <w:tcBorders>
              <w:left w:val="nil"/>
              <w:right w:val="nil"/>
            </w:tcBorders>
            <w:shd w:val="clear" w:color="auto" w:fill="FFFFFF"/>
            <w:vAlign w:val="bottom"/>
          </w:tcPr>
          <w:p w14:paraId="4027B20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468 </w:t>
            </w:r>
          </w:p>
        </w:tc>
      </w:tr>
      <w:tr w:rsidR="00717BA5" w:rsidRPr="00717BA5" w14:paraId="18B755AD" w14:textId="77777777" w:rsidTr="00717BA5">
        <w:trPr>
          <w:trHeight w:val="20"/>
        </w:trPr>
        <w:tc>
          <w:tcPr>
            <w:tcW w:w="5637" w:type="dxa"/>
            <w:tcBorders>
              <w:left w:val="nil"/>
              <w:bottom w:val="nil"/>
              <w:right w:val="nil"/>
            </w:tcBorders>
            <w:shd w:val="clear" w:color="auto" w:fill="FFFFFF"/>
            <w:vAlign w:val="bottom"/>
          </w:tcPr>
          <w:p w14:paraId="1C3FD0EB"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Non-Current Assets</w:t>
            </w:r>
          </w:p>
        </w:tc>
        <w:tc>
          <w:tcPr>
            <w:tcW w:w="1353" w:type="dxa"/>
            <w:tcBorders>
              <w:top w:val="single" w:sz="4" w:space="0" w:color="auto"/>
              <w:left w:val="nil"/>
              <w:right w:val="nil"/>
            </w:tcBorders>
            <w:shd w:val="clear" w:color="auto" w:fill="FFFFFF"/>
            <w:vAlign w:val="bottom"/>
          </w:tcPr>
          <w:p w14:paraId="573E96DE"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SimSun" w:hAnsi="Arial" w:cs="Arial"/>
                <w:b/>
                <w:bCs/>
                <w:color w:val="auto"/>
                <w:sz w:val="18"/>
                <w:szCs w:val="18"/>
                <w:lang w:val="en-AU" w:eastAsia="en-US"/>
              </w:rPr>
              <w:t>420</w:t>
            </w:r>
          </w:p>
        </w:tc>
        <w:tc>
          <w:tcPr>
            <w:tcW w:w="1524" w:type="dxa"/>
            <w:tcBorders>
              <w:top w:val="single" w:sz="4" w:space="0" w:color="auto"/>
              <w:left w:val="nil"/>
              <w:right w:val="nil"/>
            </w:tcBorders>
            <w:shd w:val="clear" w:color="auto" w:fill="FFFFFF"/>
            <w:vAlign w:val="bottom"/>
          </w:tcPr>
          <w:p w14:paraId="172EB824"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370</w:t>
            </w:r>
          </w:p>
        </w:tc>
        <w:tc>
          <w:tcPr>
            <w:tcW w:w="1435" w:type="dxa"/>
            <w:tcBorders>
              <w:top w:val="single" w:sz="4" w:space="0" w:color="auto"/>
              <w:left w:val="nil"/>
              <w:right w:val="nil"/>
            </w:tcBorders>
            <w:shd w:val="clear" w:color="auto" w:fill="FFFFFF"/>
            <w:vAlign w:val="bottom"/>
          </w:tcPr>
          <w:p w14:paraId="765AE95C"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468 </w:t>
            </w:r>
          </w:p>
        </w:tc>
      </w:tr>
      <w:tr w:rsidR="00717BA5" w:rsidRPr="00717BA5" w14:paraId="25678606" w14:textId="77777777" w:rsidTr="00717BA5">
        <w:trPr>
          <w:trHeight w:val="20"/>
        </w:trPr>
        <w:tc>
          <w:tcPr>
            <w:tcW w:w="5637" w:type="dxa"/>
            <w:tcBorders>
              <w:left w:val="nil"/>
              <w:bottom w:val="nil"/>
              <w:right w:val="nil"/>
            </w:tcBorders>
            <w:shd w:val="clear" w:color="auto" w:fill="FFFFFF"/>
            <w:vAlign w:val="bottom"/>
          </w:tcPr>
          <w:p w14:paraId="4C5E8D03"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1353" w:type="dxa"/>
            <w:tcBorders>
              <w:left w:val="nil"/>
              <w:bottom w:val="nil"/>
              <w:right w:val="nil"/>
            </w:tcBorders>
            <w:shd w:val="clear" w:color="auto" w:fill="FFFFFF"/>
            <w:vAlign w:val="bottom"/>
          </w:tcPr>
          <w:p w14:paraId="62548AA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24" w:type="dxa"/>
            <w:tcBorders>
              <w:left w:val="nil"/>
              <w:bottom w:val="nil"/>
              <w:right w:val="nil"/>
            </w:tcBorders>
            <w:shd w:val="clear" w:color="auto" w:fill="FFFFFF"/>
            <w:vAlign w:val="bottom"/>
          </w:tcPr>
          <w:p w14:paraId="6057E4FC"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1435" w:type="dxa"/>
            <w:tcBorders>
              <w:left w:val="nil"/>
              <w:bottom w:val="nil"/>
              <w:right w:val="nil"/>
            </w:tcBorders>
            <w:shd w:val="clear" w:color="auto" w:fill="FFFFFF"/>
            <w:vAlign w:val="bottom"/>
          </w:tcPr>
          <w:p w14:paraId="26F879D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76CE5C70" w14:textId="77777777" w:rsidTr="00717BA5">
        <w:trPr>
          <w:trHeight w:val="20"/>
        </w:trPr>
        <w:tc>
          <w:tcPr>
            <w:tcW w:w="5637" w:type="dxa"/>
            <w:tcBorders>
              <w:left w:val="nil"/>
              <w:right w:val="nil"/>
            </w:tcBorders>
            <w:shd w:val="clear" w:color="auto" w:fill="FFFFFF"/>
            <w:vAlign w:val="bottom"/>
          </w:tcPr>
          <w:p w14:paraId="0F8D6841"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Assets</w:t>
            </w:r>
          </w:p>
        </w:tc>
        <w:tc>
          <w:tcPr>
            <w:tcW w:w="1353" w:type="dxa"/>
            <w:tcBorders>
              <w:top w:val="single" w:sz="4" w:space="0" w:color="auto"/>
              <w:left w:val="nil"/>
              <w:bottom w:val="single" w:sz="4" w:space="0" w:color="auto"/>
              <w:right w:val="nil"/>
            </w:tcBorders>
            <w:shd w:val="clear" w:color="auto" w:fill="FFFFFF"/>
            <w:noWrap/>
            <w:vAlign w:val="bottom"/>
          </w:tcPr>
          <w:p w14:paraId="3EE53172"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142,141</w:t>
            </w:r>
          </w:p>
        </w:tc>
        <w:tc>
          <w:tcPr>
            <w:tcW w:w="1524" w:type="dxa"/>
            <w:tcBorders>
              <w:top w:val="single" w:sz="4" w:space="0" w:color="auto"/>
              <w:left w:val="nil"/>
              <w:bottom w:val="single" w:sz="4" w:space="0" w:color="auto"/>
              <w:right w:val="nil"/>
            </w:tcBorders>
            <w:shd w:val="clear" w:color="auto" w:fill="FFFFFF"/>
            <w:noWrap/>
            <w:vAlign w:val="bottom"/>
          </w:tcPr>
          <w:p w14:paraId="79A6C637"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141,324</w:t>
            </w:r>
          </w:p>
        </w:tc>
        <w:tc>
          <w:tcPr>
            <w:tcW w:w="1435" w:type="dxa"/>
            <w:tcBorders>
              <w:top w:val="single" w:sz="4" w:space="0" w:color="auto"/>
              <w:left w:val="nil"/>
              <w:bottom w:val="single" w:sz="4" w:space="0" w:color="auto"/>
              <w:right w:val="nil"/>
            </w:tcBorders>
            <w:shd w:val="clear" w:color="auto" w:fill="FFFFFF"/>
            <w:noWrap/>
            <w:vAlign w:val="bottom"/>
          </w:tcPr>
          <w:p w14:paraId="0E0F2A1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124,741 </w:t>
            </w:r>
          </w:p>
        </w:tc>
      </w:tr>
      <w:tr w:rsidR="00717BA5" w:rsidRPr="00717BA5" w14:paraId="205967D3" w14:textId="77777777" w:rsidTr="00717BA5">
        <w:trPr>
          <w:trHeight w:val="20"/>
        </w:trPr>
        <w:tc>
          <w:tcPr>
            <w:tcW w:w="5637" w:type="dxa"/>
            <w:tcBorders>
              <w:top w:val="nil"/>
              <w:left w:val="nil"/>
              <w:bottom w:val="nil"/>
              <w:right w:val="nil"/>
            </w:tcBorders>
            <w:shd w:val="clear" w:color="auto" w:fill="FFFFFF"/>
            <w:vAlign w:val="bottom"/>
          </w:tcPr>
          <w:p w14:paraId="65BD3BB5"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nil"/>
              <w:left w:val="nil"/>
              <w:bottom w:val="nil"/>
              <w:right w:val="nil"/>
            </w:tcBorders>
            <w:shd w:val="clear" w:color="auto" w:fill="FFFFFF"/>
            <w:noWrap/>
            <w:vAlign w:val="bottom"/>
          </w:tcPr>
          <w:p w14:paraId="27A874E2"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1524" w:type="dxa"/>
            <w:tcBorders>
              <w:top w:val="nil"/>
              <w:left w:val="nil"/>
              <w:bottom w:val="nil"/>
              <w:right w:val="nil"/>
            </w:tcBorders>
            <w:shd w:val="clear" w:color="auto" w:fill="FFFFFF"/>
            <w:noWrap/>
            <w:vAlign w:val="bottom"/>
          </w:tcPr>
          <w:p w14:paraId="0498CBAF"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1435" w:type="dxa"/>
            <w:tcBorders>
              <w:top w:val="nil"/>
              <w:left w:val="nil"/>
              <w:bottom w:val="nil"/>
              <w:right w:val="nil"/>
            </w:tcBorders>
            <w:shd w:val="clear" w:color="auto" w:fill="FFFFFF"/>
            <w:noWrap/>
            <w:vAlign w:val="bottom"/>
          </w:tcPr>
          <w:p w14:paraId="74CABA49"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579002DC" w14:textId="77777777" w:rsidTr="00717BA5">
        <w:trPr>
          <w:trHeight w:val="20"/>
        </w:trPr>
        <w:tc>
          <w:tcPr>
            <w:tcW w:w="5637" w:type="dxa"/>
            <w:tcBorders>
              <w:top w:val="nil"/>
              <w:left w:val="nil"/>
              <w:bottom w:val="nil"/>
              <w:right w:val="nil"/>
            </w:tcBorders>
            <w:shd w:val="clear" w:color="auto" w:fill="FFFFFF"/>
            <w:vAlign w:val="bottom"/>
          </w:tcPr>
          <w:p w14:paraId="20F0D34F"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Current Liabilities</w:t>
            </w:r>
          </w:p>
        </w:tc>
        <w:tc>
          <w:tcPr>
            <w:tcW w:w="1353" w:type="dxa"/>
            <w:tcBorders>
              <w:top w:val="nil"/>
              <w:left w:val="nil"/>
              <w:bottom w:val="nil"/>
              <w:right w:val="nil"/>
            </w:tcBorders>
            <w:shd w:val="clear" w:color="auto" w:fill="FFFFFF"/>
            <w:noWrap/>
            <w:vAlign w:val="bottom"/>
          </w:tcPr>
          <w:p w14:paraId="51E74661"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1524" w:type="dxa"/>
            <w:tcBorders>
              <w:top w:val="nil"/>
              <w:left w:val="nil"/>
              <w:bottom w:val="nil"/>
              <w:right w:val="nil"/>
            </w:tcBorders>
            <w:shd w:val="clear" w:color="auto" w:fill="FFFFFF"/>
            <w:noWrap/>
            <w:vAlign w:val="bottom"/>
          </w:tcPr>
          <w:p w14:paraId="3083D86C"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1435" w:type="dxa"/>
            <w:tcBorders>
              <w:top w:val="nil"/>
              <w:left w:val="nil"/>
              <w:bottom w:val="nil"/>
              <w:right w:val="nil"/>
            </w:tcBorders>
            <w:shd w:val="clear" w:color="auto" w:fill="FFFFFF"/>
            <w:noWrap/>
            <w:vAlign w:val="bottom"/>
          </w:tcPr>
          <w:p w14:paraId="4D127143"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7C45B295" w14:textId="77777777" w:rsidTr="00717BA5">
        <w:trPr>
          <w:trHeight w:val="20"/>
        </w:trPr>
        <w:tc>
          <w:tcPr>
            <w:tcW w:w="5637" w:type="dxa"/>
            <w:tcBorders>
              <w:top w:val="nil"/>
              <w:left w:val="nil"/>
              <w:bottom w:val="nil"/>
              <w:right w:val="nil"/>
            </w:tcBorders>
            <w:shd w:val="clear" w:color="auto" w:fill="FFFFFF"/>
            <w:vAlign w:val="bottom"/>
          </w:tcPr>
          <w:p w14:paraId="4ACAA4DD"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Payables</w:t>
            </w:r>
          </w:p>
        </w:tc>
        <w:tc>
          <w:tcPr>
            <w:tcW w:w="1353" w:type="dxa"/>
            <w:tcBorders>
              <w:top w:val="nil"/>
              <w:left w:val="nil"/>
              <w:bottom w:val="nil"/>
              <w:right w:val="nil"/>
            </w:tcBorders>
            <w:shd w:val="clear" w:color="auto" w:fill="FFFFFF"/>
            <w:noWrap/>
            <w:vAlign w:val="bottom"/>
          </w:tcPr>
          <w:p w14:paraId="5B237E3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1,357</w:t>
            </w:r>
          </w:p>
        </w:tc>
        <w:tc>
          <w:tcPr>
            <w:tcW w:w="1524" w:type="dxa"/>
            <w:tcBorders>
              <w:top w:val="nil"/>
              <w:left w:val="nil"/>
              <w:bottom w:val="nil"/>
              <w:right w:val="nil"/>
            </w:tcBorders>
            <w:shd w:val="clear" w:color="auto" w:fill="FFFFFF"/>
            <w:noWrap/>
            <w:vAlign w:val="bottom"/>
          </w:tcPr>
          <w:p w14:paraId="7BACD159"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796</w:t>
            </w:r>
          </w:p>
        </w:tc>
        <w:tc>
          <w:tcPr>
            <w:tcW w:w="1435" w:type="dxa"/>
            <w:tcBorders>
              <w:top w:val="nil"/>
              <w:left w:val="nil"/>
              <w:bottom w:val="nil"/>
              <w:right w:val="nil"/>
            </w:tcBorders>
            <w:shd w:val="clear" w:color="auto" w:fill="FFFFFF"/>
            <w:noWrap/>
            <w:vAlign w:val="bottom"/>
          </w:tcPr>
          <w:p w14:paraId="2FE8425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1,441 </w:t>
            </w:r>
          </w:p>
        </w:tc>
      </w:tr>
      <w:tr w:rsidR="00717BA5" w:rsidRPr="00717BA5" w14:paraId="7040D176" w14:textId="77777777" w:rsidTr="00717BA5">
        <w:trPr>
          <w:trHeight w:val="20"/>
        </w:trPr>
        <w:tc>
          <w:tcPr>
            <w:tcW w:w="5637" w:type="dxa"/>
            <w:tcBorders>
              <w:top w:val="nil"/>
              <w:left w:val="nil"/>
              <w:bottom w:val="nil"/>
              <w:right w:val="nil"/>
            </w:tcBorders>
            <w:shd w:val="clear" w:color="auto" w:fill="FFFFFF"/>
            <w:vAlign w:val="bottom"/>
          </w:tcPr>
          <w:p w14:paraId="18E0FA10"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Provision for Long Service Leave Benefits</w:t>
            </w:r>
          </w:p>
        </w:tc>
        <w:tc>
          <w:tcPr>
            <w:tcW w:w="1353" w:type="dxa"/>
            <w:tcBorders>
              <w:top w:val="nil"/>
              <w:left w:val="nil"/>
              <w:bottom w:val="nil"/>
              <w:right w:val="nil"/>
            </w:tcBorders>
            <w:shd w:val="clear" w:color="auto" w:fill="FFFFFF"/>
            <w:vAlign w:val="bottom"/>
          </w:tcPr>
          <w:p w14:paraId="09E5FC1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24" w:type="dxa"/>
            <w:tcBorders>
              <w:top w:val="nil"/>
              <w:left w:val="nil"/>
              <w:bottom w:val="nil"/>
              <w:right w:val="nil"/>
            </w:tcBorders>
            <w:shd w:val="clear" w:color="auto" w:fill="FFFFFF"/>
            <w:vAlign w:val="bottom"/>
          </w:tcPr>
          <w:p w14:paraId="57042A96"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1435" w:type="dxa"/>
            <w:tcBorders>
              <w:top w:val="nil"/>
              <w:left w:val="nil"/>
              <w:bottom w:val="nil"/>
              <w:right w:val="nil"/>
            </w:tcBorders>
            <w:shd w:val="clear" w:color="auto" w:fill="FFFFFF"/>
            <w:vAlign w:val="bottom"/>
          </w:tcPr>
          <w:p w14:paraId="55E2937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0EEE90C" w14:textId="77777777" w:rsidTr="00717BA5">
        <w:trPr>
          <w:trHeight w:val="20"/>
        </w:trPr>
        <w:tc>
          <w:tcPr>
            <w:tcW w:w="5637" w:type="dxa"/>
            <w:tcBorders>
              <w:top w:val="nil"/>
              <w:left w:val="nil"/>
              <w:bottom w:val="nil"/>
              <w:right w:val="nil"/>
            </w:tcBorders>
            <w:shd w:val="clear" w:color="auto" w:fill="FFFFFF"/>
            <w:vAlign w:val="bottom"/>
          </w:tcPr>
          <w:p w14:paraId="01B09EC5"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Expected to be Settled Within 12 months</w:t>
            </w:r>
          </w:p>
        </w:tc>
        <w:tc>
          <w:tcPr>
            <w:tcW w:w="1353" w:type="dxa"/>
            <w:tcBorders>
              <w:top w:val="nil"/>
              <w:left w:val="nil"/>
              <w:bottom w:val="nil"/>
              <w:right w:val="nil"/>
            </w:tcBorders>
            <w:shd w:val="clear" w:color="auto" w:fill="FFFFFF"/>
            <w:vAlign w:val="bottom"/>
          </w:tcPr>
          <w:p w14:paraId="6FC7ABA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10,045</w:t>
            </w:r>
          </w:p>
        </w:tc>
        <w:tc>
          <w:tcPr>
            <w:tcW w:w="1524" w:type="dxa"/>
            <w:tcBorders>
              <w:top w:val="nil"/>
              <w:left w:val="nil"/>
              <w:bottom w:val="nil"/>
              <w:right w:val="nil"/>
            </w:tcBorders>
            <w:vAlign w:val="bottom"/>
          </w:tcPr>
          <w:p w14:paraId="5A1024F1"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10,197</w:t>
            </w:r>
          </w:p>
        </w:tc>
        <w:tc>
          <w:tcPr>
            <w:tcW w:w="1435" w:type="dxa"/>
            <w:tcBorders>
              <w:top w:val="nil"/>
              <w:left w:val="nil"/>
              <w:bottom w:val="nil"/>
              <w:right w:val="nil"/>
            </w:tcBorders>
            <w:shd w:val="clear" w:color="auto" w:fill="FFFFFF"/>
            <w:vAlign w:val="bottom"/>
          </w:tcPr>
          <w:p w14:paraId="3866203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8,361 </w:t>
            </w:r>
          </w:p>
        </w:tc>
      </w:tr>
      <w:tr w:rsidR="00717BA5" w:rsidRPr="00717BA5" w14:paraId="5A880FF3" w14:textId="77777777" w:rsidTr="00717BA5">
        <w:trPr>
          <w:trHeight w:val="20"/>
        </w:trPr>
        <w:tc>
          <w:tcPr>
            <w:tcW w:w="5637" w:type="dxa"/>
            <w:tcBorders>
              <w:top w:val="nil"/>
              <w:left w:val="nil"/>
              <w:bottom w:val="nil"/>
              <w:right w:val="nil"/>
            </w:tcBorders>
            <w:shd w:val="clear" w:color="auto" w:fill="FFFFFF"/>
            <w:vAlign w:val="bottom"/>
          </w:tcPr>
          <w:p w14:paraId="286F4FFF"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Expected to be Settled After 12 months</w:t>
            </w:r>
          </w:p>
        </w:tc>
        <w:tc>
          <w:tcPr>
            <w:tcW w:w="1353" w:type="dxa"/>
            <w:tcBorders>
              <w:top w:val="nil"/>
              <w:left w:val="nil"/>
              <w:bottom w:val="nil"/>
              <w:right w:val="nil"/>
            </w:tcBorders>
            <w:shd w:val="clear" w:color="auto" w:fill="FFFFFF"/>
            <w:vAlign w:val="bottom"/>
          </w:tcPr>
          <w:p w14:paraId="515CACE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74,520</w:t>
            </w:r>
          </w:p>
        </w:tc>
        <w:tc>
          <w:tcPr>
            <w:tcW w:w="1524" w:type="dxa"/>
            <w:tcBorders>
              <w:top w:val="nil"/>
              <w:left w:val="nil"/>
              <w:bottom w:val="nil"/>
              <w:right w:val="nil"/>
            </w:tcBorders>
            <w:vAlign w:val="bottom"/>
          </w:tcPr>
          <w:p w14:paraId="6B62B7EB"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89,445</w:t>
            </w:r>
          </w:p>
        </w:tc>
        <w:tc>
          <w:tcPr>
            <w:tcW w:w="1435" w:type="dxa"/>
            <w:tcBorders>
              <w:top w:val="nil"/>
              <w:left w:val="nil"/>
              <w:bottom w:val="nil"/>
              <w:right w:val="nil"/>
            </w:tcBorders>
            <w:shd w:val="clear" w:color="auto" w:fill="FFFFFF"/>
            <w:vAlign w:val="bottom"/>
          </w:tcPr>
          <w:p w14:paraId="4536989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65,145 </w:t>
            </w:r>
          </w:p>
        </w:tc>
      </w:tr>
      <w:tr w:rsidR="00717BA5" w:rsidRPr="00717BA5" w14:paraId="74807300" w14:textId="77777777" w:rsidTr="00717BA5">
        <w:trPr>
          <w:trHeight w:val="20"/>
        </w:trPr>
        <w:tc>
          <w:tcPr>
            <w:tcW w:w="5637" w:type="dxa"/>
            <w:tcBorders>
              <w:top w:val="nil"/>
              <w:left w:val="nil"/>
              <w:bottom w:val="nil"/>
              <w:right w:val="nil"/>
            </w:tcBorders>
            <w:shd w:val="clear" w:color="auto" w:fill="FFFFFF"/>
            <w:vAlign w:val="bottom"/>
          </w:tcPr>
          <w:p w14:paraId="30D8C13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Employee Benefits</w:t>
            </w:r>
          </w:p>
        </w:tc>
        <w:tc>
          <w:tcPr>
            <w:tcW w:w="1353" w:type="dxa"/>
            <w:tcBorders>
              <w:top w:val="nil"/>
              <w:left w:val="nil"/>
              <w:bottom w:val="single" w:sz="4" w:space="0" w:color="auto"/>
              <w:right w:val="nil"/>
            </w:tcBorders>
            <w:shd w:val="clear" w:color="auto" w:fill="FFFFFF"/>
            <w:vAlign w:val="bottom"/>
          </w:tcPr>
          <w:p w14:paraId="0679DA1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531</w:t>
            </w:r>
          </w:p>
        </w:tc>
        <w:tc>
          <w:tcPr>
            <w:tcW w:w="1524" w:type="dxa"/>
            <w:tcBorders>
              <w:top w:val="nil"/>
              <w:left w:val="nil"/>
              <w:bottom w:val="single" w:sz="4" w:space="0" w:color="auto"/>
              <w:right w:val="nil"/>
            </w:tcBorders>
            <w:shd w:val="clear" w:color="auto" w:fill="FFFFFF"/>
            <w:vAlign w:val="bottom"/>
          </w:tcPr>
          <w:p w14:paraId="0BB150AC"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435</w:t>
            </w:r>
          </w:p>
        </w:tc>
        <w:tc>
          <w:tcPr>
            <w:tcW w:w="1435" w:type="dxa"/>
            <w:tcBorders>
              <w:top w:val="nil"/>
              <w:left w:val="nil"/>
              <w:bottom w:val="single" w:sz="4" w:space="0" w:color="auto"/>
              <w:right w:val="nil"/>
            </w:tcBorders>
            <w:shd w:val="clear" w:color="auto" w:fill="FFFFFF"/>
            <w:vAlign w:val="bottom"/>
          </w:tcPr>
          <w:p w14:paraId="2C708A9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404 </w:t>
            </w:r>
          </w:p>
        </w:tc>
      </w:tr>
      <w:tr w:rsidR="00717BA5" w:rsidRPr="00717BA5" w14:paraId="71F1FC77" w14:textId="77777777" w:rsidTr="00717BA5">
        <w:trPr>
          <w:trHeight w:val="20"/>
        </w:trPr>
        <w:tc>
          <w:tcPr>
            <w:tcW w:w="5637" w:type="dxa"/>
            <w:tcBorders>
              <w:top w:val="nil"/>
              <w:left w:val="nil"/>
              <w:right w:val="nil"/>
            </w:tcBorders>
            <w:shd w:val="clear" w:color="auto" w:fill="FFFFFF"/>
            <w:vAlign w:val="bottom"/>
          </w:tcPr>
          <w:p w14:paraId="7EC8CC25"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Current Liabilities</w:t>
            </w:r>
          </w:p>
        </w:tc>
        <w:tc>
          <w:tcPr>
            <w:tcW w:w="1353" w:type="dxa"/>
            <w:tcBorders>
              <w:top w:val="single" w:sz="4" w:space="0" w:color="auto"/>
              <w:left w:val="nil"/>
              <w:bottom w:val="single" w:sz="4" w:space="0" w:color="auto"/>
              <w:right w:val="nil"/>
            </w:tcBorders>
            <w:shd w:val="clear" w:color="auto" w:fill="FFFFFF"/>
            <w:noWrap/>
            <w:vAlign w:val="bottom"/>
          </w:tcPr>
          <w:p w14:paraId="784C9F19"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86,453</w:t>
            </w:r>
          </w:p>
        </w:tc>
        <w:tc>
          <w:tcPr>
            <w:tcW w:w="1524" w:type="dxa"/>
            <w:tcBorders>
              <w:top w:val="single" w:sz="4" w:space="0" w:color="auto"/>
              <w:left w:val="nil"/>
              <w:bottom w:val="single" w:sz="4" w:space="0" w:color="auto"/>
              <w:right w:val="nil"/>
            </w:tcBorders>
            <w:shd w:val="clear" w:color="auto" w:fill="FFFFFF"/>
            <w:noWrap/>
            <w:vAlign w:val="bottom"/>
          </w:tcPr>
          <w:p w14:paraId="2E80856F"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100,873</w:t>
            </w:r>
          </w:p>
        </w:tc>
        <w:tc>
          <w:tcPr>
            <w:tcW w:w="1435" w:type="dxa"/>
            <w:tcBorders>
              <w:top w:val="single" w:sz="4" w:space="0" w:color="auto"/>
              <w:left w:val="nil"/>
              <w:bottom w:val="single" w:sz="4" w:space="0" w:color="auto"/>
              <w:right w:val="nil"/>
            </w:tcBorders>
            <w:shd w:val="clear" w:color="auto" w:fill="FFFFFF"/>
            <w:noWrap/>
            <w:vAlign w:val="bottom"/>
          </w:tcPr>
          <w:p w14:paraId="138BB6D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75,351 </w:t>
            </w:r>
          </w:p>
        </w:tc>
      </w:tr>
      <w:tr w:rsidR="00717BA5" w:rsidRPr="00717BA5" w14:paraId="65693D69" w14:textId="77777777" w:rsidTr="00717BA5">
        <w:trPr>
          <w:trHeight w:val="20"/>
        </w:trPr>
        <w:tc>
          <w:tcPr>
            <w:tcW w:w="5637" w:type="dxa"/>
            <w:tcBorders>
              <w:top w:val="nil"/>
              <w:left w:val="nil"/>
              <w:bottom w:val="nil"/>
              <w:right w:val="nil"/>
            </w:tcBorders>
            <w:shd w:val="clear" w:color="auto" w:fill="FFFFFF"/>
            <w:vAlign w:val="bottom"/>
          </w:tcPr>
          <w:p w14:paraId="6B6F616E"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1353" w:type="dxa"/>
            <w:tcBorders>
              <w:top w:val="single" w:sz="4" w:space="0" w:color="auto"/>
              <w:left w:val="nil"/>
              <w:bottom w:val="nil"/>
              <w:right w:val="nil"/>
            </w:tcBorders>
            <w:shd w:val="clear" w:color="auto" w:fill="FFFFFF"/>
            <w:noWrap/>
            <w:vAlign w:val="bottom"/>
          </w:tcPr>
          <w:p w14:paraId="2AF9B11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24" w:type="dxa"/>
            <w:tcBorders>
              <w:top w:val="single" w:sz="4" w:space="0" w:color="auto"/>
              <w:left w:val="nil"/>
              <w:bottom w:val="nil"/>
              <w:right w:val="nil"/>
            </w:tcBorders>
            <w:shd w:val="clear" w:color="auto" w:fill="FFFFFF"/>
            <w:noWrap/>
            <w:vAlign w:val="bottom"/>
          </w:tcPr>
          <w:p w14:paraId="480ADFF9" w14:textId="77777777" w:rsidR="00717BA5" w:rsidRPr="00717BA5" w:rsidRDefault="00717BA5" w:rsidP="00717BA5">
            <w:pPr>
              <w:spacing w:after="0" w:line="240" w:lineRule="auto"/>
              <w:jc w:val="right"/>
              <w:rPr>
                <w:rFonts w:ascii="Arial" w:eastAsia="Times New Roman" w:hAnsi="Arial" w:cs="Arial"/>
                <w:color w:val="000000"/>
                <w:sz w:val="18"/>
                <w:szCs w:val="18"/>
                <w:highlight w:val="green"/>
                <w:lang w:val="en-AU"/>
              </w:rPr>
            </w:pPr>
          </w:p>
        </w:tc>
        <w:tc>
          <w:tcPr>
            <w:tcW w:w="1435" w:type="dxa"/>
            <w:tcBorders>
              <w:top w:val="single" w:sz="4" w:space="0" w:color="auto"/>
              <w:left w:val="nil"/>
              <w:bottom w:val="nil"/>
              <w:right w:val="nil"/>
            </w:tcBorders>
            <w:shd w:val="clear" w:color="auto" w:fill="FFFFFF"/>
            <w:noWrap/>
            <w:vAlign w:val="bottom"/>
          </w:tcPr>
          <w:p w14:paraId="643F2487" w14:textId="77777777" w:rsidR="00717BA5" w:rsidRPr="00717BA5" w:rsidRDefault="00717BA5" w:rsidP="00717BA5">
            <w:pPr>
              <w:spacing w:after="0" w:line="240" w:lineRule="auto"/>
              <w:jc w:val="right"/>
              <w:rPr>
                <w:rFonts w:ascii="Arial" w:eastAsia="Times New Roman" w:hAnsi="Arial" w:cs="Arial"/>
                <w:color w:val="auto"/>
                <w:sz w:val="18"/>
                <w:szCs w:val="18"/>
                <w:highlight w:val="green"/>
                <w:lang w:val="en-AU"/>
              </w:rPr>
            </w:pPr>
          </w:p>
        </w:tc>
      </w:tr>
      <w:tr w:rsidR="00717BA5" w:rsidRPr="00717BA5" w14:paraId="22CC6299" w14:textId="77777777" w:rsidTr="00717BA5">
        <w:trPr>
          <w:trHeight w:val="20"/>
        </w:trPr>
        <w:tc>
          <w:tcPr>
            <w:tcW w:w="5637" w:type="dxa"/>
            <w:tcBorders>
              <w:top w:val="nil"/>
              <w:left w:val="nil"/>
              <w:bottom w:val="nil"/>
              <w:right w:val="nil"/>
            </w:tcBorders>
            <w:shd w:val="clear" w:color="auto" w:fill="FFFFFF"/>
            <w:vAlign w:val="bottom"/>
          </w:tcPr>
          <w:p w14:paraId="1165D457"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Non-Current Liabilities</w:t>
            </w:r>
          </w:p>
        </w:tc>
        <w:tc>
          <w:tcPr>
            <w:tcW w:w="1353" w:type="dxa"/>
            <w:tcBorders>
              <w:top w:val="nil"/>
              <w:left w:val="nil"/>
              <w:bottom w:val="nil"/>
              <w:right w:val="nil"/>
            </w:tcBorders>
            <w:shd w:val="clear" w:color="auto" w:fill="FFFFFF"/>
            <w:noWrap/>
            <w:vAlign w:val="bottom"/>
          </w:tcPr>
          <w:p w14:paraId="0A8FD65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24" w:type="dxa"/>
            <w:tcBorders>
              <w:top w:val="nil"/>
              <w:left w:val="nil"/>
              <w:bottom w:val="nil"/>
              <w:right w:val="nil"/>
            </w:tcBorders>
            <w:shd w:val="clear" w:color="auto" w:fill="FFFFFF"/>
            <w:noWrap/>
            <w:vAlign w:val="bottom"/>
          </w:tcPr>
          <w:p w14:paraId="4B1F6F92" w14:textId="77777777" w:rsidR="00717BA5" w:rsidRPr="00717BA5" w:rsidRDefault="00717BA5" w:rsidP="00717BA5">
            <w:pPr>
              <w:spacing w:after="0" w:line="240" w:lineRule="auto"/>
              <w:jc w:val="right"/>
              <w:rPr>
                <w:rFonts w:ascii="Arial" w:eastAsia="Times New Roman" w:hAnsi="Arial" w:cs="Arial"/>
                <w:color w:val="000000"/>
                <w:sz w:val="18"/>
                <w:szCs w:val="18"/>
                <w:highlight w:val="green"/>
                <w:lang w:val="en-AU"/>
              </w:rPr>
            </w:pPr>
          </w:p>
        </w:tc>
        <w:tc>
          <w:tcPr>
            <w:tcW w:w="1435" w:type="dxa"/>
            <w:tcBorders>
              <w:top w:val="nil"/>
              <w:left w:val="nil"/>
              <w:bottom w:val="nil"/>
              <w:right w:val="nil"/>
            </w:tcBorders>
            <w:shd w:val="clear" w:color="auto" w:fill="FFFFFF"/>
            <w:noWrap/>
            <w:vAlign w:val="bottom"/>
          </w:tcPr>
          <w:p w14:paraId="10082050" w14:textId="77777777" w:rsidR="00717BA5" w:rsidRPr="00717BA5" w:rsidRDefault="00717BA5" w:rsidP="00717BA5">
            <w:pPr>
              <w:spacing w:after="0" w:line="240" w:lineRule="auto"/>
              <w:jc w:val="right"/>
              <w:rPr>
                <w:rFonts w:ascii="Arial" w:eastAsia="Times New Roman" w:hAnsi="Arial" w:cs="Arial"/>
                <w:color w:val="auto"/>
                <w:sz w:val="18"/>
                <w:szCs w:val="18"/>
                <w:highlight w:val="green"/>
                <w:lang w:val="en-AU"/>
              </w:rPr>
            </w:pPr>
          </w:p>
        </w:tc>
      </w:tr>
      <w:tr w:rsidR="00717BA5" w:rsidRPr="00717BA5" w14:paraId="0FB8D938" w14:textId="77777777" w:rsidTr="00717BA5">
        <w:trPr>
          <w:trHeight w:val="20"/>
        </w:trPr>
        <w:tc>
          <w:tcPr>
            <w:tcW w:w="5637" w:type="dxa"/>
            <w:tcBorders>
              <w:top w:val="nil"/>
              <w:left w:val="nil"/>
              <w:bottom w:val="nil"/>
              <w:right w:val="nil"/>
            </w:tcBorders>
            <w:shd w:val="clear" w:color="auto" w:fill="FFFFFF"/>
            <w:vAlign w:val="bottom"/>
          </w:tcPr>
          <w:p w14:paraId="15EF50A4"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Provision for Long Service Leave Benefits</w:t>
            </w:r>
          </w:p>
        </w:tc>
        <w:tc>
          <w:tcPr>
            <w:tcW w:w="1353" w:type="dxa"/>
            <w:tcBorders>
              <w:top w:val="nil"/>
              <w:left w:val="nil"/>
              <w:bottom w:val="nil"/>
              <w:right w:val="nil"/>
            </w:tcBorders>
            <w:shd w:val="clear" w:color="auto" w:fill="FFFFFF"/>
            <w:noWrap/>
            <w:vAlign w:val="bottom"/>
          </w:tcPr>
          <w:p w14:paraId="18F55AE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26,035</w:t>
            </w:r>
          </w:p>
        </w:tc>
        <w:tc>
          <w:tcPr>
            <w:tcW w:w="1524" w:type="dxa"/>
            <w:tcBorders>
              <w:top w:val="nil"/>
              <w:left w:val="nil"/>
              <w:bottom w:val="nil"/>
              <w:right w:val="nil"/>
            </w:tcBorders>
            <w:shd w:val="clear" w:color="auto" w:fill="FFFFFF"/>
            <w:noWrap/>
            <w:vAlign w:val="bottom"/>
          </w:tcPr>
          <w:p w14:paraId="17AC1F2A"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21,523</w:t>
            </w:r>
          </w:p>
        </w:tc>
        <w:tc>
          <w:tcPr>
            <w:tcW w:w="1435" w:type="dxa"/>
            <w:tcBorders>
              <w:top w:val="nil"/>
              <w:left w:val="nil"/>
              <w:bottom w:val="nil"/>
              <w:right w:val="nil"/>
            </w:tcBorders>
            <w:shd w:val="clear" w:color="auto" w:fill="FFFFFF"/>
            <w:noWrap/>
            <w:vAlign w:val="bottom"/>
          </w:tcPr>
          <w:p w14:paraId="4134554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21,969 </w:t>
            </w:r>
          </w:p>
        </w:tc>
      </w:tr>
      <w:tr w:rsidR="00717BA5" w:rsidRPr="00717BA5" w14:paraId="722A1BEA" w14:textId="77777777" w:rsidTr="00717BA5">
        <w:trPr>
          <w:trHeight w:val="20"/>
        </w:trPr>
        <w:tc>
          <w:tcPr>
            <w:tcW w:w="5637" w:type="dxa"/>
            <w:tcBorders>
              <w:top w:val="nil"/>
              <w:left w:val="nil"/>
              <w:right w:val="nil"/>
            </w:tcBorders>
            <w:shd w:val="clear" w:color="auto" w:fill="FFFFFF"/>
            <w:vAlign w:val="bottom"/>
          </w:tcPr>
          <w:p w14:paraId="4171EAF2"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Employee Benefits</w:t>
            </w:r>
          </w:p>
        </w:tc>
        <w:tc>
          <w:tcPr>
            <w:tcW w:w="1353" w:type="dxa"/>
            <w:tcBorders>
              <w:top w:val="nil"/>
              <w:left w:val="nil"/>
              <w:bottom w:val="single" w:sz="4" w:space="0" w:color="auto"/>
              <w:right w:val="nil"/>
            </w:tcBorders>
            <w:shd w:val="clear" w:color="auto" w:fill="FFFFFF"/>
            <w:noWrap/>
            <w:vAlign w:val="bottom"/>
          </w:tcPr>
          <w:p w14:paraId="4A4F293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68</w:t>
            </w:r>
          </w:p>
        </w:tc>
        <w:tc>
          <w:tcPr>
            <w:tcW w:w="1524" w:type="dxa"/>
            <w:tcBorders>
              <w:top w:val="nil"/>
              <w:left w:val="nil"/>
              <w:bottom w:val="single" w:sz="4" w:space="0" w:color="auto"/>
              <w:right w:val="nil"/>
            </w:tcBorders>
            <w:shd w:val="clear" w:color="auto" w:fill="FFFFFF"/>
            <w:noWrap/>
            <w:vAlign w:val="bottom"/>
          </w:tcPr>
          <w:p w14:paraId="59EC307D"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40</w:t>
            </w:r>
          </w:p>
        </w:tc>
        <w:tc>
          <w:tcPr>
            <w:tcW w:w="1435" w:type="dxa"/>
            <w:tcBorders>
              <w:top w:val="nil"/>
              <w:left w:val="nil"/>
              <w:bottom w:val="single" w:sz="4" w:space="0" w:color="auto"/>
              <w:right w:val="nil"/>
            </w:tcBorders>
            <w:shd w:val="clear" w:color="auto" w:fill="FFFFFF"/>
            <w:noWrap/>
            <w:vAlign w:val="bottom"/>
          </w:tcPr>
          <w:p w14:paraId="550D16A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47 </w:t>
            </w:r>
          </w:p>
        </w:tc>
      </w:tr>
      <w:tr w:rsidR="00717BA5" w:rsidRPr="00717BA5" w14:paraId="56B6FF88" w14:textId="77777777" w:rsidTr="00717BA5">
        <w:trPr>
          <w:trHeight w:val="20"/>
        </w:trPr>
        <w:tc>
          <w:tcPr>
            <w:tcW w:w="5637" w:type="dxa"/>
            <w:tcBorders>
              <w:top w:val="nil"/>
              <w:left w:val="nil"/>
              <w:right w:val="nil"/>
            </w:tcBorders>
            <w:shd w:val="clear" w:color="auto" w:fill="FFFFFF"/>
            <w:vAlign w:val="bottom"/>
          </w:tcPr>
          <w:p w14:paraId="547DE2C2"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Non-Current Liabilities</w:t>
            </w:r>
          </w:p>
        </w:tc>
        <w:tc>
          <w:tcPr>
            <w:tcW w:w="1353" w:type="dxa"/>
            <w:tcBorders>
              <w:top w:val="nil"/>
              <w:left w:val="nil"/>
              <w:right w:val="nil"/>
            </w:tcBorders>
            <w:shd w:val="clear" w:color="auto" w:fill="FFFFFF"/>
            <w:vAlign w:val="bottom"/>
          </w:tcPr>
          <w:p w14:paraId="7C7104F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26,103</w:t>
            </w:r>
          </w:p>
        </w:tc>
        <w:tc>
          <w:tcPr>
            <w:tcW w:w="1524" w:type="dxa"/>
            <w:tcBorders>
              <w:top w:val="nil"/>
              <w:left w:val="nil"/>
              <w:right w:val="nil"/>
            </w:tcBorders>
            <w:shd w:val="clear" w:color="auto" w:fill="FFFFFF"/>
            <w:vAlign w:val="bottom"/>
          </w:tcPr>
          <w:p w14:paraId="16D8656E"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21,563</w:t>
            </w:r>
          </w:p>
        </w:tc>
        <w:tc>
          <w:tcPr>
            <w:tcW w:w="1435" w:type="dxa"/>
            <w:tcBorders>
              <w:top w:val="nil"/>
              <w:left w:val="nil"/>
              <w:right w:val="nil"/>
            </w:tcBorders>
            <w:shd w:val="clear" w:color="auto" w:fill="FFFFFF"/>
            <w:vAlign w:val="bottom"/>
          </w:tcPr>
          <w:p w14:paraId="06B7DD72"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22,016 </w:t>
            </w:r>
          </w:p>
        </w:tc>
      </w:tr>
      <w:tr w:rsidR="00717BA5" w:rsidRPr="00717BA5" w14:paraId="5914ED01" w14:textId="77777777" w:rsidTr="00717BA5">
        <w:trPr>
          <w:trHeight w:val="20"/>
        </w:trPr>
        <w:tc>
          <w:tcPr>
            <w:tcW w:w="5637" w:type="dxa"/>
            <w:tcBorders>
              <w:top w:val="nil"/>
              <w:left w:val="nil"/>
              <w:right w:val="nil"/>
            </w:tcBorders>
            <w:shd w:val="clear" w:color="auto" w:fill="FFFFFF"/>
            <w:vAlign w:val="bottom"/>
          </w:tcPr>
          <w:p w14:paraId="4575E92F"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1353" w:type="dxa"/>
            <w:tcBorders>
              <w:top w:val="nil"/>
              <w:left w:val="nil"/>
              <w:bottom w:val="single" w:sz="4" w:space="0" w:color="auto"/>
              <w:right w:val="nil"/>
            </w:tcBorders>
            <w:shd w:val="clear" w:color="auto" w:fill="FFFFFF"/>
            <w:vAlign w:val="bottom"/>
          </w:tcPr>
          <w:p w14:paraId="577F95A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1524" w:type="dxa"/>
            <w:tcBorders>
              <w:top w:val="nil"/>
              <w:left w:val="nil"/>
              <w:bottom w:val="single" w:sz="4" w:space="0" w:color="auto"/>
              <w:right w:val="nil"/>
            </w:tcBorders>
            <w:shd w:val="clear" w:color="auto" w:fill="FFFFFF"/>
            <w:noWrap/>
            <w:vAlign w:val="bottom"/>
          </w:tcPr>
          <w:p w14:paraId="549DF360"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1435" w:type="dxa"/>
            <w:tcBorders>
              <w:top w:val="nil"/>
              <w:left w:val="nil"/>
              <w:bottom w:val="single" w:sz="4" w:space="0" w:color="auto"/>
              <w:right w:val="nil"/>
            </w:tcBorders>
            <w:shd w:val="clear" w:color="auto" w:fill="FFFFFF"/>
            <w:vAlign w:val="bottom"/>
          </w:tcPr>
          <w:p w14:paraId="4A8E886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AF0DEEC" w14:textId="77777777" w:rsidTr="00717BA5">
        <w:trPr>
          <w:trHeight w:val="20"/>
        </w:trPr>
        <w:tc>
          <w:tcPr>
            <w:tcW w:w="5637" w:type="dxa"/>
            <w:tcBorders>
              <w:left w:val="nil"/>
              <w:right w:val="nil"/>
            </w:tcBorders>
            <w:shd w:val="clear" w:color="auto" w:fill="FFFFFF"/>
            <w:vAlign w:val="bottom"/>
          </w:tcPr>
          <w:p w14:paraId="12D521AC"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Liabilities</w:t>
            </w:r>
          </w:p>
        </w:tc>
        <w:tc>
          <w:tcPr>
            <w:tcW w:w="1353" w:type="dxa"/>
            <w:tcBorders>
              <w:top w:val="single" w:sz="4" w:space="0" w:color="auto"/>
              <w:left w:val="nil"/>
              <w:bottom w:val="single" w:sz="4" w:space="0" w:color="auto"/>
              <w:right w:val="nil"/>
            </w:tcBorders>
            <w:shd w:val="clear" w:color="auto" w:fill="FFFFFF"/>
            <w:noWrap/>
            <w:vAlign w:val="bottom"/>
          </w:tcPr>
          <w:p w14:paraId="157982F4"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112,556</w:t>
            </w:r>
          </w:p>
        </w:tc>
        <w:tc>
          <w:tcPr>
            <w:tcW w:w="1524" w:type="dxa"/>
            <w:tcBorders>
              <w:top w:val="single" w:sz="4" w:space="0" w:color="auto"/>
              <w:left w:val="nil"/>
              <w:bottom w:val="single" w:sz="4" w:space="0" w:color="auto"/>
              <w:right w:val="nil"/>
            </w:tcBorders>
            <w:shd w:val="clear" w:color="auto" w:fill="FFFFFF"/>
            <w:noWrap/>
            <w:vAlign w:val="bottom"/>
          </w:tcPr>
          <w:p w14:paraId="71A17858"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122,436</w:t>
            </w:r>
          </w:p>
        </w:tc>
        <w:tc>
          <w:tcPr>
            <w:tcW w:w="1435" w:type="dxa"/>
            <w:tcBorders>
              <w:top w:val="single" w:sz="4" w:space="0" w:color="auto"/>
              <w:left w:val="nil"/>
              <w:bottom w:val="single" w:sz="4" w:space="0" w:color="auto"/>
              <w:right w:val="nil"/>
            </w:tcBorders>
            <w:shd w:val="clear" w:color="auto" w:fill="FFFFFF"/>
            <w:noWrap/>
            <w:vAlign w:val="bottom"/>
          </w:tcPr>
          <w:p w14:paraId="5A92C08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97,367 </w:t>
            </w:r>
          </w:p>
        </w:tc>
      </w:tr>
      <w:tr w:rsidR="00717BA5" w:rsidRPr="00717BA5" w14:paraId="13CFC770" w14:textId="77777777" w:rsidTr="00717BA5">
        <w:trPr>
          <w:trHeight w:val="20"/>
        </w:trPr>
        <w:tc>
          <w:tcPr>
            <w:tcW w:w="5637" w:type="dxa"/>
            <w:tcBorders>
              <w:top w:val="nil"/>
              <w:left w:val="nil"/>
              <w:bottom w:val="nil"/>
              <w:right w:val="nil"/>
            </w:tcBorders>
            <w:shd w:val="clear" w:color="auto" w:fill="FFFFFF"/>
            <w:vAlign w:val="bottom"/>
          </w:tcPr>
          <w:p w14:paraId="15A4E272"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nil"/>
              <w:left w:val="nil"/>
              <w:bottom w:val="nil"/>
              <w:right w:val="nil"/>
            </w:tcBorders>
            <w:shd w:val="clear" w:color="auto" w:fill="FFFFFF"/>
            <w:noWrap/>
            <w:vAlign w:val="bottom"/>
          </w:tcPr>
          <w:p w14:paraId="718FF9AA"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1524" w:type="dxa"/>
            <w:tcBorders>
              <w:top w:val="nil"/>
              <w:left w:val="nil"/>
              <w:bottom w:val="nil"/>
              <w:right w:val="nil"/>
            </w:tcBorders>
            <w:shd w:val="clear" w:color="auto" w:fill="FFFFFF"/>
            <w:noWrap/>
            <w:vAlign w:val="bottom"/>
          </w:tcPr>
          <w:p w14:paraId="3B69EF2F"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1435" w:type="dxa"/>
            <w:tcBorders>
              <w:top w:val="nil"/>
              <w:left w:val="nil"/>
              <w:bottom w:val="nil"/>
              <w:right w:val="nil"/>
            </w:tcBorders>
            <w:shd w:val="clear" w:color="auto" w:fill="FFFFFF"/>
            <w:noWrap/>
            <w:vAlign w:val="bottom"/>
          </w:tcPr>
          <w:p w14:paraId="6A09C4CC"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22B738D1" w14:textId="77777777" w:rsidTr="00717BA5">
        <w:trPr>
          <w:trHeight w:val="20"/>
        </w:trPr>
        <w:tc>
          <w:tcPr>
            <w:tcW w:w="5637" w:type="dxa"/>
            <w:tcBorders>
              <w:left w:val="nil"/>
              <w:right w:val="nil"/>
            </w:tcBorders>
            <w:shd w:val="clear" w:color="auto" w:fill="FFFFFF"/>
            <w:vAlign w:val="bottom"/>
          </w:tcPr>
          <w:p w14:paraId="2522DACC"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Net Assets</w:t>
            </w:r>
          </w:p>
        </w:tc>
        <w:tc>
          <w:tcPr>
            <w:tcW w:w="1353" w:type="dxa"/>
            <w:tcBorders>
              <w:top w:val="single" w:sz="4" w:space="0" w:color="auto"/>
              <w:left w:val="nil"/>
              <w:bottom w:val="double" w:sz="6" w:space="0" w:color="auto"/>
              <w:right w:val="nil"/>
            </w:tcBorders>
            <w:shd w:val="clear" w:color="auto" w:fill="FFFFFF"/>
            <w:vAlign w:val="bottom"/>
          </w:tcPr>
          <w:p w14:paraId="4530860C"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Calibri" w:hAnsi="Arial" w:cs="Arial"/>
                <w:b/>
                <w:bCs/>
                <w:color w:val="auto"/>
                <w:sz w:val="18"/>
                <w:szCs w:val="18"/>
                <w:lang w:val="en-AU" w:eastAsia="en-US"/>
              </w:rPr>
              <w:t>29,585</w:t>
            </w:r>
          </w:p>
        </w:tc>
        <w:tc>
          <w:tcPr>
            <w:tcW w:w="1524" w:type="dxa"/>
            <w:tcBorders>
              <w:top w:val="single" w:sz="4" w:space="0" w:color="auto"/>
              <w:left w:val="nil"/>
              <w:bottom w:val="double" w:sz="6" w:space="0" w:color="auto"/>
              <w:right w:val="nil"/>
            </w:tcBorders>
            <w:shd w:val="clear" w:color="auto" w:fill="FFFFFF"/>
            <w:vAlign w:val="bottom"/>
          </w:tcPr>
          <w:p w14:paraId="71934E34"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18,888</w:t>
            </w:r>
          </w:p>
        </w:tc>
        <w:tc>
          <w:tcPr>
            <w:tcW w:w="1435" w:type="dxa"/>
            <w:tcBorders>
              <w:top w:val="single" w:sz="4" w:space="0" w:color="auto"/>
              <w:left w:val="nil"/>
              <w:bottom w:val="double" w:sz="6" w:space="0" w:color="auto"/>
              <w:right w:val="nil"/>
            </w:tcBorders>
            <w:shd w:val="clear" w:color="auto" w:fill="FFFFFF"/>
            <w:vAlign w:val="bottom"/>
          </w:tcPr>
          <w:p w14:paraId="3B2C048C"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27,374</w:t>
            </w:r>
          </w:p>
        </w:tc>
      </w:tr>
      <w:tr w:rsidR="00717BA5" w:rsidRPr="00717BA5" w14:paraId="02684E8F" w14:textId="77777777" w:rsidTr="00717BA5">
        <w:trPr>
          <w:trHeight w:val="20"/>
        </w:trPr>
        <w:tc>
          <w:tcPr>
            <w:tcW w:w="5637" w:type="dxa"/>
            <w:tcBorders>
              <w:left w:val="nil"/>
              <w:bottom w:val="nil"/>
              <w:right w:val="nil"/>
            </w:tcBorders>
            <w:shd w:val="clear" w:color="auto" w:fill="FFFFFF"/>
            <w:vAlign w:val="bottom"/>
          </w:tcPr>
          <w:p w14:paraId="6A0B681D"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1353" w:type="dxa"/>
            <w:tcBorders>
              <w:top w:val="double" w:sz="6" w:space="0" w:color="003366"/>
              <w:left w:val="nil"/>
              <w:bottom w:val="nil"/>
              <w:right w:val="nil"/>
            </w:tcBorders>
            <w:shd w:val="clear" w:color="auto" w:fill="FFFFFF"/>
            <w:noWrap/>
            <w:vAlign w:val="bottom"/>
          </w:tcPr>
          <w:p w14:paraId="52A61798"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1524" w:type="dxa"/>
            <w:tcBorders>
              <w:top w:val="nil"/>
              <w:left w:val="nil"/>
              <w:bottom w:val="nil"/>
              <w:right w:val="nil"/>
            </w:tcBorders>
            <w:shd w:val="clear" w:color="auto" w:fill="FFFFFF"/>
            <w:noWrap/>
            <w:vAlign w:val="bottom"/>
          </w:tcPr>
          <w:p w14:paraId="48E4141C"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1435" w:type="dxa"/>
            <w:tcBorders>
              <w:top w:val="double" w:sz="6" w:space="0" w:color="003366"/>
              <w:left w:val="nil"/>
              <w:bottom w:val="nil"/>
              <w:right w:val="nil"/>
            </w:tcBorders>
            <w:shd w:val="clear" w:color="auto" w:fill="FFFFFF"/>
            <w:noWrap/>
            <w:vAlign w:val="bottom"/>
          </w:tcPr>
          <w:p w14:paraId="70E4539B"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768D6503" w14:textId="77777777" w:rsidTr="00717BA5">
        <w:trPr>
          <w:trHeight w:val="20"/>
        </w:trPr>
        <w:tc>
          <w:tcPr>
            <w:tcW w:w="5637" w:type="dxa"/>
            <w:tcBorders>
              <w:top w:val="nil"/>
              <w:left w:val="nil"/>
              <w:bottom w:val="nil"/>
              <w:right w:val="nil"/>
            </w:tcBorders>
            <w:shd w:val="clear" w:color="auto" w:fill="FFFFFF"/>
            <w:vAlign w:val="bottom"/>
          </w:tcPr>
          <w:p w14:paraId="769A7121"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Equity</w:t>
            </w:r>
          </w:p>
        </w:tc>
        <w:tc>
          <w:tcPr>
            <w:tcW w:w="1353" w:type="dxa"/>
            <w:tcBorders>
              <w:top w:val="nil"/>
              <w:left w:val="nil"/>
              <w:right w:val="nil"/>
            </w:tcBorders>
            <w:shd w:val="clear" w:color="auto" w:fill="FFFFFF"/>
            <w:noWrap/>
            <w:vAlign w:val="bottom"/>
          </w:tcPr>
          <w:p w14:paraId="1DF2ED23"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1524" w:type="dxa"/>
            <w:tcBorders>
              <w:top w:val="nil"/>
              <w:left w:val="nil"/>
              <w:right w:val="nil"/>
            </w:tcBorders>
            <w:shd w:val="clear" w:color="auto" w:fill="FFFFFF"/>
            <w:noWrap/>
            <w:vAlign w:val="bottom"/>
          </w:tcPr>
          <w:p w14:paraId="0B8022B9"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1435" w:type="dxa"/>
            <w:tcBorders>
              <w:top w:val="nil"/>
              <w:left w:val="nil"/>
              <w:right w:val="nil"/>
            </w:tcBorders>
            <w:shd w:val="clear" w:color="auto" w:fill="FFFFFF"/>
            <w:noWrap/>
            <w:vAlign w:val="bottom"/>
          </w:tcPr>
          <w:p w14:paraId="4DC0BFD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5837F1AF" w14:textId="77777777" w:rsidTr="00717BA5">
        <w:trPr>
          <w:trHeight w:val="20"/>
        </w:trPr>
        <w:tc>
          <w:tcPr>
            <w:tcW w:w="5637" w:type="dxa"/>
            <w:tcBorders>
              <w:top w:val="nil"/>
              <w:left w:val="nil"/>
              <w:bottom w:val="nil"/>
              <w:right w:val="nil"/>
            </w:tcBorders>
            <w:shd w:val="clear" w:color="auto" w:fill="FFFFFF"/>
            <w:vAlign w:val="bottom"/>
          </w:tcPr>
          <w:p w14:paraId="29691B3A"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Accumulated Funds</w:t>
            </w:r>
          </w:p>
        </w:tc>
        <w:tc>
          <w:tcPr>
            <w:tcW w:w="1353" w:type="dxa"/>
            <w:tcBorders>
              <w:top w:val="nil"/>
              <w:left w:val="nil"/>
              <w:right w:val="nil"/>
            </w:tcBorders>
            <w:shd w:val="clear" w:color="auto" w:fill="FFFFFF"/>
            <w:vAlign w:val="bottom"/>
          </w:tcPr>
          <w:p w14:paraId="404652B7"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SimSun" w:hAnsi="Arial" w:cs="Arial"/>
                <w:color w:val="auto"/>
                <w:sz w:val="18"/>
                <w:szCs w:val="18"/>
                <w:lang w:val="en-AU" w:eastAsia="en-US"/>
              </w:rPr>
              <w:t>29,405</w:t>
            </w:r>
          </w:p>
        </w:tc>
        <w:tc>
          <w:tcPr>
            <w:tcW w:w="1524" w:type="dxa"/>
            <w:tcBorders>
              <w:top w:val="nil"/>
              <w:left w:val="nil"/>
              <w:right w:val="nil"/>
            </w:tcBorders>
            <w:shd w:val="clear" w:color="auto" w:fill="FFFFFF"/>
            <w:vAlign w:val="bottom"/>
          </w:tcPr>
          <w:p w14:paraId="64E01DBB"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18,888</w:t>
            </w:r>
          </w:p>
        </w:tc>
        <w:tc>
          <w:tcPr>
            <w:tcW w:w="1435" w:type="dxa"/>
            <w:tcBorders>
              <w:top w:val="nil"/>
              <w:left w:val="nil"/>
              <w:right w:val="nil"/>
            </w:tcBorders>
            <w:shd w:val="clear" w:color="auto" w:fill="FFFFFF"/>
            <w:vAlign w:val="bottom"/>
          </w:tcPr>
          <w:p w14:paraId="04E1745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27,194 </w:t>
            </w:r>
          </w:p>
        </w:tc>
      </w:tr>
      <w:tr w:rsidR="00717BA5" w:rsidRPr="00717BA5" w14:paraId="68DD8F26" w14:textId="77777777" w:rsidTr="00717BA5">
        <w:trPr>
          <w:trHeight w:val="20"/>
        </w:trPr>
        <w:tc>
          <w:tcPr>
            <w:tcW w:w="5637" w:type="dxa"/>
            <w:tcBorders>
              <w:top w:val="nil"/>
              <w:left w:val="nil"/>
              <w:bottom w:val="nil"/>
              <w:right w:val="nil"/>
            </w:tcBorders>
            <w:shd w:val="clear" w:color="auto" w:fill="FFFFFF"/>
            <w:vAlign w:val="bottom"/>
          </w:tcPr>
          <w:p w14:paraId="753FB17E"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Asset Revaluation Surplus</w:t>
            </w:r>
          </w:p>
        </w:tc>
        <w:tc>
          <w:tcPr>
            <w:tcW w:w="1353" w:type="dxa"/>
            <w:tcBorders>
              <w:top w:val="nil"/>
              <w:left w:val="nil"/>
              <w:bottom w:val="single" w:sz="4" w:space="0" w:color="auto"/>
              <w:right w:val="nil"/>
            </w:tcBorders>
            <w:shd w:val="clear" w:color="auto" w:fill="FFFFFF"/>
            <w:vAlign w:val="bottom"/>
          </w:tcPr>
          <w:p w14:paraId="278936B2"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r w:rsidRPr="00717BA5">
              <w:rPr>
                <w:rFonts w:ascii="Arial" w:eastAsia="SimSun" w:hAnsi="Arial" w:cs="Arial"/>
                <w:color w:val="auto"/>
                <w:sz w:val="18"/>
                <w:szCs w:val="18"/>
                <w:lang w:val="en-AU" w:eastAsia="en-US"/>
              </w:rPr>
              <w:t>180</w:t>
            </w:r>
          </w:p>
        </w:tc>
        <w:tc>
          <w:tcPr>
            <w:tcW w:w="1524" w:type="dxa"/>
            <w:tcBorders>
              <w:top w:val="nil"/>
              <w:left w:val="nil"/>
              <w:bottom w:val="single" w:sz="4" w:space="0" w:color="auto"/>
              <w:right w:val="nil"/>
            </w:tcBorders>
            <w:shd w:val="clear" w:color="auto" w:fill="FFFFFF"/>
            <w:vAlign w:val="bottom"/>
          </w:tcPr>
          <w:p w14:paraId="56041152"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w:t>
            </w:r>
          </w:p>
        </w:tc>
        <w:tc>
          <w:tcPr>
            <w:tcW w:w="1435" w:type="dxa"/>
            <w:tcBorders>
              <w:top w:val="nil"/>
              <w:left w:val="nil"/>
              <w:bottom w:val="single" w:sz="4" w:space="0" w:color="auto"/>
              <w:right w:val="nil"/>
            </w:tcBorders>
            <w:shd w:val="clear" w:color="auto" w:fill="FFFFFF"/>
            <w:vAlign w:val="bottom"/>
          </w:tcPr>
          <w:p w14:paraId="75195BA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180 </w:t>
            </w:r>
          </w:p>
        </w:tc>
      </w:tr>
      <w:tr w:rsidR="00717BA5" w:rsidRPr="00717BA5" w14:paraId="0FFEE60C" w14:textId="77777777" w:rsidTr="00717BA5">
        <w:trPr>
          <w:trHeight w:val="20"/>
        </w:trPr>
        <w:tc>
          <w:tcPr>
            <w:tcW w:w="5637" w:type="dxa"/>
            <w:tcBorders>
              <w:top w:val="nil"/>
              <w:left w:val="nil"/>
              <w:right w:val="nil"/>
            </w:tcBorders>
            <w:shd w:val="clear" w:color="auto" w:fill="FFFFFF"/>
            <w:vAlign w:val="bottom"/>
          </w:tcPr>
          <w:p w14:paraId="16C9864A"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Equity</w:t>
            </w:r>
          </w:p>
        </w:tc>
        <w:tc>
          <w:tcPr>
            <w:tcW w:w="1353" w:type="dxa"/>
            <w:tcBorders>
              <w:top w:val="single" w:sz="4" w:space="0" w:color="auto"/>
              <w:left w:val="nil"/>
              <w:bottom w:val="double" w:sz="4" w:space="0" w:color="auto"/>
              <w:right w:val="nil"/>
            </w:tcBorders>
            <w:shd w:val="clear" w:color="auto" w:fill="FFFFFF"/>
            <w:vAlign w:val="bottom"/>
          </w:tcPr>
          <w:p w14:paraId="4C31846C" w14:textId="77777777" w:rsidR="00717BA5" w:rsidRPr="00717BA5" w:rsidRDefault="00717BA5" w:rsidP="00717BA5">
            <w:pPr>
              <w:spacing w:after="0" w:line="240" w:lineRule="auto"/>
              <w:jc w:val="right"/>
              <w:rPr>
                <w:rFonts w:ascii="Arial" w:eastAsia="Calibri" w:hAnsi="Arial" w:cs="Arial"/>
                <w:b/>
                <w:color w:val="auto"/>
                <w:sz w:val="18"/>
                <w:szCs w:val="18"/>
                <w:lang w:val="en-AU" w:eastAsia="en-US"/>
              </w:rPr>
            </w:pPr>
            <w:r w:rsidRPr="00717BA5">
              <w:rPr>
                <w:rFonts w:ascii="Arial" w:eastAsia="SimSun" w:hAnsi="Arial" w:cs="Arial"/>
                <w:b/>
                <w:bCs/>
                <w:color w:val="auto"/>
                <w:sz w:val="18"/>
                <w:szCs w:val="18"/>
                <w:lang w:val="en-AU" w:eastAsia="en-US"/>
              </w:rPr>
              <w:t>29,585</w:t>
            </w:r>
          </w:p>
        </w:tc>
        <w:tc>
          <w:tcPr>
            <w:tcW w:w="1524" w:type="dxa"/>
            <w:tcBorders>
              <w:top w:val="single" w:sz="4" w:space="0" w:color="auto"/>
              <w:left w:val="nil"/>
              <w:bottom w:val="double" w:sz="4" w:space="0" w:color="auto"/>
              <w:right w:val="nil"/>
            </w:tcBorders>
            <w:shd w:val="clear" w:color="auto" w:fill="FFFFFF"/>
            <w:vAlign w:val="bottom"/>
          </w:tcPr>
          <w:p w14:paraId="22B1FE46"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18,888</w:t>
            </w:r>
          </w:p>
        </w:tc>
        <w:tc>
          <w:tcPr>
            <w:tcW w:w="1435" w:type="dxa"/>
            <w:tcBorders>
              <w:top w:val="single" w:sz="4" w:space="0" w:color="auto"/>
              <w:left w:val="nil"/>
              <w:bottom w:val="double" w:sz="4" w:space="0" w:color="auto"/>
              <w:right w:val="nil"/>
            </w:tcBorders>
            <w:shd w:val="clear" w:color="auto" w:fill="FFFFFF"/>
            <w:vAlign w:val="bottom"/>
          </w:tcPr>
          <w:p w14:paraId="21749182"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27,374</w:t>
            </w:r>
          </w:p>
        </w:tc>
      </w:tr>
    </w:tbl>
    <w:p w14:paraId="40CC0837" w14:textId="77777777" w:rsidR="00717BA5" w:rsidRPr="00717BA5" w:rsidRDefault="00717BA5" w:rsidP="00717BA5">
      <w:pPr>
        <w:tabs>
          <w:tab w:val="left" w:pos="3780"/>
        </w:tabs>
        <w:spacing w:after="40" w:line="240" w:lineRule="auto"/>
        <w:rPr>
          <w:rFonts w:ascii="Arial" w:eastAsia="Times New Roman" w:hAnsi="Arial" w:cs="Arial"/>
          <w:b/>
          <w:bCs/>
          <w:color w:val="auto"/>
          <w:sz w:val="18"/>
          <w:szCs w:val="18"/>
          <w:lang w:val="en-AU"/>
        </w:rPr>
      </w:pPr>
    </w:p>
    <w:p w14:paraId="6E64061C"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br w:type="page"/>
      </w:r>
    </w:p>
    <w:p w14:paraId="0E4B621A" w14:textId="77777777" w:rsidR="00717BA5" w:rsidRPr="00717BA5" w:rsidRDefault="00717BA5" w:rsidP="00717BA5">
      <w:pPr>
        <w:spacing w:after="0" w:line="240" w:lineRule="auto"/>
        <w:rPr>
          <w:rFonts w:ascii="Arial" w:eastAsia="SimSun" w:hAnsi="Arial" w:cs="Arial"/>
          <w:color w:val="auto"/>
          <w:lang w:val="en-AU"/>
        </w:rPr>
      </w:pPr>
    </w:p>
    <w:p w14:paraId="7CFF31B8" w14:textId="77777777" w:rsidR="00717BA5" w:rsidRPr="00717BA5" w:rsidRDefault="00717BA5" w:rsidP="00717BA5">
      <w:pPr>
        <w:keepNext/>
        <w:spacing w:after="240" w:line="240" w:lineRule="auto"/>
        <w:ind w:left="1276" w:hanging="1276"/>
        <w:outlineLvl w:val="1"/>
        <w:rPr>
          <w:rFonts w:ascii="Arial" w:eastAsia="Times New Roman" w:hAnsi="Arial" w:cs="Arial"/>
          <w:b/>
          <w:bCs/>
          <w:color w:val="auto"/>
          <w:sz w:val="24"/>
          <w:szCs w:val="24"/>
          <w:lang w:val="en-AU"/>
        </w:rPr>
      </w:pPr>
      <w:bookmarkStart w:id="123" w:name="_Toc240533537"/>
      <w:r w:rsidRPr="00717BA5">
        <w:rPr>
          <w:rFonts w:ascii="Arial" w:eastAsia="Times New Roman" w:hAnsi="Arial" w:cs="Arial"/>
          <w:b/>
          <w:bCs/>
          <w:color w:val="auto"/>
          <w:sz w:val="24"/>
          <w:szCs w:val="24"/>
          <w:lang w:val="en-AU"/>
        </w:rPr>
        <w:t>NOTE 17.   OPERATING STATEMENT AND BALANCE SHEET FOR LONG SERVICE LEAVE SCHEMES - CONTINUED</w:t>
      </w:r>
      <w:bookmarkEnd w:id="123"/>
    </w:p>
    <w:p w14:paraId="65235B79" w14:textId="77777777" w:rsidR="00717BA5" w:rsidRPr="00717BA5" w:rsidRDefault="00717BA5" w:rsidP="00717BA5">
      <w:pPr>
        <w:spacing w:before="120" w:after="120" w:line="240" w:lineRule="auto"/>
        <w:jc w:val="center"/>
        <w:rPr>
          <w:rFonts w:ascii="Arial" w:eastAsia="Times New Roman" w:hAnsi="Arial" w:cs="Arial"/>
          <w:b/>
          <w:color w:val="auto"/>
          <w:sz w:val="22"/>
          <w:szCs w:val="22"/>
          <w:lang w:val="en-AU"/>
        </w:rPr>
      </w:pPr>
      <w:r w:rsidRPr="00717BA5">
        <w:rPr>
          <w:rFonts w:ascii="Arial" w:eastAsia="Times New Roman" w:hAnsi="Arial" w:cs="Arial"/>
          <w:b/>
          <w:color w:val="auto"/>
          <w:sz w:val="22"/>
          <w:szCs w:val="22"/>
          <w:lang w:val="en-AU"/>
        </w:rPr>
        <w:t>Security Industry Scheme – Operating Statement</w:t>
      </w:r>
    </w:p>
    <w:tbl>
      <w:tblPr>
        <w:tblW w:w="5000" w:type="pct"/>
        <w:tblLayout w:type="fixed"/>
        <w:tblLook w:val="04A0" w:firstRow="1" w:lastRow="0" w:firstColumn="1" w:lastColumn="0" w:noHBand="0" w:noVBand="1"/>
      </w:tblPr>
      <w:tblGrid>
        <w:gridCol w:w="5657"/>
        <w:gridCol w:w="1359"/>
        <w:gridCol w:w="1488"/>
        <w:gridCol w:w="1445"/>
      </w:tblGrid>
      <w:tr w:rsidR="00717BA5" w:rsidRPr="00717BA5" w14:paraId="1AB34D6F" w14:textId="77777777" w:rsidTr="00717BA5">
        <w:trPr>
          <w:trHeight w:val="272"/>
        </w:trPr>
        <w:tc>
          <w:tcPr>
            <w:tcW w:w="2843" w:type="pct"/>
            <w:tcBorders>
              <w:top w:val="nil"/>
              <w:left w:val="nil"/>
              <w:bottom w:val="nil"/>
              <w:right w:val="nil"/>
            </w:tcBorders>
            <w:shd w:val="clear" w:color="auto" w:fill="FFFFFF"/>
            <w:vAlign w:val="bottom"/>
          </w:tcPr>
          <w:p w14:paraId="18792613"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3" w:type="pct"/>
            <w:tcBorders>
              <w:top w:val="nil"/>
              <w:left w:val="nil"/>
              <w:bottom w:val="nil"/>
              <w:right w:val="nil"/>
            </w:tcBorders>
            <w:shd w:val="clear" w:color="auto" w:fill="FFFFFF"/>
            <w:vAlign w:val="bottom"/>
          </w:tcPr>
          <w:p w14:paraId="7AB656B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w:t>
            </w:r>
          </w:p>
        </w:tc>
        <w:tc>
          <w:tcPr>
            <w:tcW w:w="748" w:type="pct"/>
            <w:tcBorders>
              <w:top w:val="nil"/>
              <w:left w:val="nil"/>
              <w:bottom w:val="nil"/>
              <w:right w:val="nil"/>
            </w:tcBorders>
            <w:shd w:val="clear" w:color="auto" w:fill="FFFFFF"/>
            <w:vAlign w:val="bottom"/>
          </w:tcPr>
          <w:p w14:paraId="4029333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Original</w:t>
            </w:r>
          </w:p>
        </w:tc>
        <w:tc>
          <w:tcPr>
            <w:tcW w:w="726" w:type="pct"/>
            <w:tcBorders>
              <w:top w:val="nil"/>
              <w:left w:val="nil"/>
              <w:bottom w:val="nil"/>
              <w:right w:val="nil"/>
            </w:tcBorders>
            <w:shd w:val="clear" w:color="auto" w:fill="FFFFFF"/>
            <w:noWrap/>
            <w:vAlign w:val="bottom"/>
          </w:tcPr>
          <w:p w14:paraId="079FDB7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 </w:t>
            </w:r>
          </w:p>
        </w:tc>
      </w:tr>
      <w:tr w:rsidR="00717BA5" w:rsidRPr="00717BA5" w14:paraId="4F8E0B45" w14:textId="77777777" w:rsidTr="00717BA5">
        <w:trPr>
          <w:trHeight w:val="272"/>
        </w:trPr>
        <w:tc>
          <w:tcPr>
            <w:tcW w:w="2843" w:type="pct"/>
            <w:tcBorders>
              <w:top w:val="nil"/>
              <w:left w:val="nil"/>
              <w:right w:val="nil"/>
            </w:tcBorders>
            <w:shd w:val="clear" w:color="auto" w:fill="FFFFFF"/>
            <w:vAlign w:val="bottom"/>
          </w:tcPr>
          <w:p w14:paraId="6BAE4FB2" w14:textId="77777777" w:rsidR="00717BA5" w:rsidRPr="00717BA5" w:rsidRDefault="00717BA5" w:rsidP="00717BA5">
            <w:pPr>
              <w:spacing w:after="0" w:line="240" w:lineRule="auto"/>
              <w:ind w:left="-360"/>
              <w:rPr>
                <w:rFonts w:ascii="Arial" w:eastAsia="Times New Roman" w:hAnsi="Arial" w:cs="Arial"/>
                <w:b/>
                <w:bCs/>
                <w:color w:val="auto"/>
                <w:sz w:val="18"/>
                <w:szCs w:val="18"/>
                <w:lang w:val="en-AU"/>
              </w:rPr>
            </w:pPr>
          </w:p>
        </w:tc>
        <w:tc>
          <w:tcPr>
            <w:tcW w:w="683" w:type="pct"/>
            <w:tcBorders>
              <w:top w:val="nil"/>
              <w:left w:val="nil"/>
              <w:bottom w:val="nil"/>
              <w:right w:val="nil"/>
            </w:tcBorders>
            <w:shd w:val="clear" w:color="auto" w:fill="FFFFFF"/>
            <w:vAlign w:val="bottom"/>
          </w:tcPr>
          <w:p w14:paraId="19345E98" w14:textId="77777777" w:rsidR="00717BA5" w:rsidRPr="00717BA5" w:rsidRDefault="00717BA5" w:rsidP="00717BA5">
            <w:pPr>
              <w:spacing w:after="0" w:line="240" w:lineRule="auto"/>
              <w:ind w:left="-360"/>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c>
          <w:tcPr>
            <w:tcW w:w="748" w:type="pct"/>
            <w:tcBorders>
              <w:top w:val="nil"/>
              <w:left w:val="nil"/>
              <w:bottom w:val="nil"/>
              <w:right w:val="nil"/>
            </w:tcBorders>
            <w:shd w:val="clear" w:color="auto" w:fill="FFFFFF"/>
            <w:vAlign w:val="bottom"/>
          </w:tcPr>
          <w:p w14:paraId="091DBBA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Budget</w:t>
            </w:r>
          </w:p>
        </w:tc>
        <w:tc>
          <w:tcPr>
            <w:tcW w:w="726" w:type="pct"/>
            <w:vAlign w:val="bottom"/>
          </w:tcPr>
          <w:p w14:paraId="54B56FC7" w14:textId="77777777" w:rsidR="00717BA5" w:rsidRPr="00717BA5" w:rsidRDefault="00717BA5" w:rsidP="00717BA5">
            <w:pPr>
              <w:spacing w:after="0" w:line="240" w:lineRule="auto"/>
              <w:jc w:val="right"/>
              <w:rPr>
                <w:rFonts w:ascii="Arial" w:eastAsia="SimSun" w:hAnsi="Arial" w:cs="Arial"/>
                <w:color w:val="auto"/>
                <w:sz w:val="18"/>
                <w:szCs w:val="18"/>
                <w:lang w:val="en-AU" w:eastAsia="en-US"/>
              </w:rPr>
            </w:pPr>
            <w:r w:rsidRPr="00717BA5">
              <w:rPr>
                <w:rFonts w:ascii="Arial" w:eastAsia="Times New Roman" w:hAnsi="Arial" w:cs="Arial"/>
                <w:b/>
                <w:bCs/>
                <w:color w:val="auto"/>
                <w:sz w:val="18"/>
                <w:szCs w:val="18"/>
                <w:lang w:val="en-AU"/>
              </w:rPr>
              <w:t>Actual</w:t>
            </w:r>
          </w:p>
        </w:tc>
      </w:tr>
      <w:tr w:rsidR="00717BA5" w:rsidRPr="00717BA5" w14:paraId="27063611" w14:textId="77777777" w:rsidTr="00717BA5">
        <w:trPr>
          <w:trHeight w:val="272"/>
        </w:trPr>
        <w:tc>
          <w:tcPr>
            <w:tcW w:w="2843" w:type="pct"/>
            <w:tcBorders>
              <w:top w:val="nil"/>
              <w:left w:val="nil"/>
              <w:bottom w:val="nil"/>
              <w:right w:val="nil"/>
            </w:tcBorders>
            <w:shd w:val="clear" w:color="auto" w:fill="FFFFFF"/>
            <w:vAlign w:val="bottom"/>
          </w:tcPr>
          <w:p w14:paraId="17533813"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3" w:type="pct"/>
            <w:tcBorders>
              <w:top w:val="nil"/>
              <w:left w:val="nil"/>
              <w:bottom w:val="nil"/>
              <w:right w:val="nil"/>
            </w:tcBorders>
            <w:shd w:val="clear" w:color="auto" w:fill="FFFFFF"/>
            <w:vAlign w:val="bottom"/>
          </w:tcPr>
          <w:p w14:paraId="6E9AFAD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748" w:type="pct"/>
            <w:tcBorders>
              <w:top w:val="nil"/>
              <w:left w:val="nil"/>
              <w:bottom w:val="nil"/>
              <w:right w:val="nil"/>
            </w:tcBorders>
            <w:shd w:val="clear" w:color="auto" w:fill="FFFFFF"/>
            <w:vAlign w:val="bottom"/>
          </w:tcPr>
          <w:p w14:paraId="4A96881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726" w:type="pct"/>
            <w:tcBorders>
              <w:top w:val="nil"/>
              <w:left w:val="nil"/>
              <w:bottom w:val="nil"/>
              <w:right w:val="nil"/>
            </w:tcBorders>
            <w:shd w:val="clear" w:color="auto" w:fill="FFFFFF"/>
            <w:vAlign w:val="bottom"/>
          </w:tcPr>
          <w:p w14:paraId="0BF0916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55E60916" w14:textId="77777777" w:rsidTr="00717BA5">
        <w:trPr>
          <w:trHeight w:val="272"/>
        </w:trPr>
        <w:tc>
          <w:tcPr>
            <w:tcW w:w="2843" w:type="pct"/>
            <w:tcBorders>
              <w:top w:val="nil"/>
              <w:left w:val="nil"/>
              <w:right w:val="nil"/>
            </w:tcBorders>
            <w:shd w:val="clear" w:color="auto" w:fill="FFFFFF"/>
            <w:vAlign w:val="bottom"/>
          </w:tcPr>
          <w:p w14:paraId="3454FF5F"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83" w:type="pct"/>
            <w:tcBorders>
              <w:top w:val="nil"/>
              <w:left w:val="nil"/>
              <w:bottom w:val="single" w:sz="4" w:space="0" w:color="auto"/>
              <w:right w:val="nil"/>
            </w:tcBorders>
            <w:shd w:val="clear" w:color="auto" w:fill="FFFFFF"/>
            <w:vAlign w:val="bottom"/>
          </w:tcPr>
          <w:p w14:paraId="3BD5A72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748" w:type="pct"/>
            <w:tcBorders>
              <w:top w:val="nil"/>
              <w:left w:val="nil"/>
              <w:bottom w:val="single" w:sz="4" w:space="0" w:color="auto"/>
              <w:right w:val="nil"/>
            </w:tcBorders>
            <w:shd w:val="clear" w:color="auto" w:fill="FFFFFF"/>
            <w:vAlign w:val="bottom"/>
          </w:tcPr>
          <w:p w14:paraId="0E7A02C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726" w:type="pct"/>
            <w:tcBorders>
              <w:top w:val="nil"/>
              <w:left w:val="nil"/>
              <w:bottom w:val="single" w:sz="4" w:space="0" w:color="auto"/>
              <w:right w:val="nil"/>
            </w:tcBorders>
            <w:shd w:val="clear" w:color="auto" w:fill="FFFFFF"/>
            <w:vAlign w:val="bottom"/>
          </w:tcPr>
          <w:p w14:paraId="79CA031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2094FC86" w14:textId="77777777" w:rsidTr="00717BA5">
        <w:trPr>
          <w:trHeight w:val="20"/>
        </w:trPr>
        <w:tc>
          <w:tcPr>
            <w:tcW w:w="2843" w:type="pct"/>
            <w:tcBorders>
              <w:top w:val="nil"/>
              <w:left w:val="nil"/>
              <w:bottom w:val="nil"/>
              <w:right w:val="nil"/>
            </w:tcBorders>
            <w:shd w:val="clear" w:color="auto" w:fill="FFFFFF"/>
            <w:vAlign w:val="bottom"/>
          </w:tcPr>
          <w:p w14:paraId="74F76895"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Income</w:t>
            </w:r>
          </w:p>
        </w:tc>
        <w:tc>
          <w:tcPr>
            <w:tcW w:w="683" w:type="pct"/>
            <w:tcBorders>
              <w:top w:val="nil"/>
              <w:left w:val="nil"/>
              <w:bottom w:val="nil"/>
              <w:right w:val="nil"/>
            </w:tcBorders>
            <w:shd w:val="clear" w:color="auto" w:fill="FFFFFF"/>
            <w:vAlign w:val="bottom"/>
          </w:tcPr>
          <w:p w14:paraId="527402E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748" w:type="pct"/>
            <w:tcBorders>
              <w:top w:val="nil"/>
              <w:left w:val="nil"/>
              <w:bottom w:val="nil"/>
              <w:right w:val="nil"/>
            </w:tcBorders>
            <w:shd w:val="clear" w:color="auto" w:fill="FFFFFF"/>
            <w:vAlign w:val="bottom"/>
          </w:tcPr>
          <w:p w14:paraId="47A1466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726" w:type="pct"/>
            <w:tcBorders>
              <w:top w:val="nil"/>
              <w:left w:val="nil"/>
              <w:bottom w:val="nil"/>
              <w:right w:val="nil"/>
            </w:tcBorders>
            <w:shd w:val="clear" w:color="auto" w:fill="FFFFFF"/>
            <w:vAlign w:val="bottom"/>
          </w:tcPr>
          <w:p w14:paraId="111653A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2286C029" w14:textId="77777777" w:rsidTr="00717BA5">
        <w:trPr>
          <w:trHeight w:val="20"/>
        </w:trPr>
        <w:tc>
          <w:tcPr>
            <w:tcW w:w="2843" w:type="pct"/>
            <w:tcBorders>
              <w:top w:val="nil"/>
              <w:left w:val="nil"/>
              <w:bottom w:val="nil"/>
              <w:right w:val="nil"/>
            </w:tcBorders>
            <w:shd w:val="clear" w:color="auto" w:fill="FFFFFF"/>
            <w:vAlign w:val="bottom"/>
          </w:tcPr>
          <w:p w14:paraId="0EA87102"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Contributions from Employers and Contractors</w:t>
            </w:r>
          </w:p>
        </w:tc>
        <w:tc>
          <w:tcPr>
            <w:tcW w:w="683" w:type="pct"/>
            <w:tcBorders>
              <w:top w:val="nil"/>
              <w:left w:val="nil"/>
              <w:bottom w:val="nil"/>
              <w:right w:val="nil"/>
            </w:tcBorders>
            <w:shd w:val="clear" w:color="auto" w:fill="FFFFFF"/>
            <w:noWrap/>
            <w:vAlign w:val="bottom"/>
          </w:tcPr>
          <w:p w14:paraId="6F04026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1,577</w:t>
            </w:r>
          </w:p>
        </w:tc>
        <w:tc>
          <w:tcPr>
            <w:tcW w:w="748" w:type="pct"/>
            <w:tcBorders>
              <w:top w:val="nil"/>
              <w:left w:val="nil"/>
              <w:bottom w:val="nil"/>
              <w:right w:val="nil"/>
            </w:tcBorders>
            <w:shd w:val="clear" w:color="auto" w:fill="FFFFFF"/>
            <w:noWrap/>
            <w:vAlign w:val="bottom"/>
          </w:tcPr>
          <w:p w14:paraId="07DD6830"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1,575</w:t>
            </w:r>
          </w:p>
        </w:tc>
        <w:tc>
          <w:tcPr>
            <w:tcW w:w="726" w:type="pct"/>
            <w:tcBorders>
              <w:top w:val="nil"/>
              <w:left w:val="nil"/>
              <w:bottom w:val="nil"/>
              <w:right w:val="nil"/>
            </w:tcBorders>
            <w:shd w:val="clear" w:color="auto" w:fill="FFFFFF"/>
            <w:noWrap/>
            <w:vAlign w:val="bottom"/>
          </w:tcPr>
          <w:p w14:paraId="53F2BE9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1,507 </w:t>
            </w:r>
          </w:p>
        </w:tc>
      </w:tr>
      <w:tr w:rsidR="00717BA5" w:rsidRPr="00717BA5" w14:paraId="4FB72FB3" w14:textId="77777777" w:rsidTr="00717BA5">
        <w:trPr>
          <w:trHeight w:val="20"/>
        </w:trPr>
        <w:tc>
          <w:tcPr>
            <w:tcW w:w="2843" w:type="pct"/>
            <w:tcBorders>
              <w:top w:val="nil"/>
              <w:left w:val="nil"/>
              <w:right w:val="nil"/>
            </w:tcBorders>
            <w:shd w:val="clear" w:color="auto" w:fill="FFFFFF"/>
            <w:vAlign w:val="bottom"/>
          </w:tcPr>
          <w:p w14:paraId="2686B0C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Gains from Remeasurement of Assets</w:t>
            </w:r>
          </w:p>
        </w:tc>
        <w:tc>
          <w:tcPr>
            <w:tcW w:w="683" w:type="pct"/>
            <w:tcBorders>
              <w:top w:val="nil"/>
              <w:left w:val="nil"/>
              <w:right w:val="nil"/>
            </w:tcBorders>
            <w:shd w:val="clear" w:color="auto" w:fill="FFFFFF"/>
            <w:noWrap/>
            <w:vAlign w:val="bottom"/>
          </w:tcPr>
          <w:p w14:paraId="18395C0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256</w:t>
            </w:r>
          </w:p>
        </w:tc>
        <w:tc>
          <w:tcPr>
            <w:tcW w:w="748" w:type="pct"/>
            <w:tcBorders>
              <w:top w:val="nil"/>
              <w:left w:val="nil"/>
              <w:right w:val="nil"/>
            </w:tcBorders>
            <w:shd w:val="clear" w:color="auto" w:fill="FFFFFF"/>
            <w:noWrap/>
            <w:vAlign w:val="bottom"/>
          </w:tcPr>
          <w:p w14:paraId="6B8C2AD1"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412</w:t>
            </w:r>
          </w:p>
        </w:tc>
        <w:tc>
          <w:tcPr>
            <w:tcW w:w="726" w:type="pct"/>
            <w:tcBorders>
              <w:top w:val="nil"/>
              <w:left w:val="nil"/>
              <w:right w:val="nil"/>
            </w:tcBorders>
            <w:shd w:val="clear" w:color="auto" w:fill="FFFFFF"/>
            <w:noWrap/>
            <w:vAlign w:val="bottom"/>
          </w:tcPr>
          <w:p w14:paraId="7B538F8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851 </w:t>
            </w:r>
          </w:p>
        </w:tc>
      </w:tr>
      <w:tr w:rsidR="00717BA5" w:rsidRPr="00717BA5" w14:paraId="23F7E33B" w14:textId="77777777" w:rsidTr="00717BA5">
        <w:trPr>
          <w:trHeight w:val="20"/>
        </w:trPr>
        <w:tc>
          <w:tcPr>
            <w:tcW w:w="2843" w:type="pct"/>
            <w:tcBorders>
              <w:top w:val="nil"/>
              <w:left w:val="nil"/>
              <w:right w:val="nil"/>
            </w:tcBorders>
            <w:shd w:val="clear" w:color="auto" w:fill="FFFFFF"/>
            <w:vAlign w:val="bottom"/>
          </w:tcPr>
          <w:p w14:paraId="41ADBC45"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 Revenue</w:t>
            </w:r>
          </w:p>
        </w:tc>
        <w:tc>
          <w:tcPr>
            <w:tcW w:w="683" w:type="pct"/>
            <w:tcBorders>
              <w:top w:val="nil"/>
              <w:left w:val="nil"/>
              <w:right w:val="nil"/>
            </w:tcBorders>
            <w:shd w:val="clear" w:color="auto" w:fill="FFFFFF"/>
            <w:noWrap/>
            <w:vAlign w:val="bottom"/>
          </w:tcPr>
          <w:p w14:paraId="411C7F8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411</w:t>
            </w:r>
          </w:p>
        </w:tc>
        <w:tc>
          <w:tcPr>
            <w:tcW w:w="748" w:type="pct"/>
            <w:tcBorders>
              <w:top w:val="nil"/>
              <w:left w:val="nil"/>
              <w:right w:val="nil"/>
            </w:tcBorders>
            <w:shd w:val="clear" w:color="auto" w:fill="FFFFFF"/>
            <w:noWrap/>
            <w:vAlign w:val="bottom"/>
          </w:tcPr>
          <w:p w14:paraId="7D553D6C"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230</w:t>
            </w:r>
          </w:p>
        </w:tc>
        <w:tc>
          <w:tcPr>
            <w:tcW w:w="726" w:type="pct"/>
            <w:tcBorders>
              <w:top w:val="nil"/>
              <w:left w:val="nil"/>
              <w:right w:val="nil"/>
            </w:tcBorders>
            <w:shd w:val="clear" w:color="auto" w:fill="FFFFFF"/>
            <w:noWrap/>
            <w:vAlign w:val="bottom"/>
          </w:tcPr>
          <w:p w14:paraId="4A22613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269 </w:t>
            </w:r>
          </w:p>
        </w:tc>
      </w:tr>
      <w:tr w:rsidR="00717BA5" w:rsidRPr="00717BA5" w14:paraId="31FAE725" w14:textId="77777777" w:rsidTr="00717BA5">
        <w:trPr>
          <w:trHeight w:val="20"/>
        </w:trPr>
        <w:tc>
          <w:tcPr>
            <w:tcW w:w="2843" w:type="pct"/>
            <w:tcBorders>
              <w:left w:val="nil"/>
              <w:right w:val="nil"/>
            </w:tcBorders>
            <w:shd w:val="clear" w:color="auto" w:fill="FFFFFF"/>
            <w:vAlign w:val="bottom"/>
          </w:tcPr>
          <w:p w14:paraId="77D51204"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Other Income</w:t>
            </w:r>
          </w:p>
        </w:tc>
        <w:tc>
          <w:tcPr>
            <w:tcW w:w="683" w:type="pct"/>
            <w:tcBorders>
              <w:left w:val="nil"/>
              <w:bottom w:val="single" w:sz="4" w:space="0" w:color="auto"/>
              <w:right w:val="nil"/>
            </w:tcBorders>
            <w:shd w:val="clear" w:color="auto" w:fill="FFFFFF"/>
            <w:noWrap/>
            <w:vAlign w:val="bottom"/>
          </w:tcPr>
          <w:p w14:paraId="44211D8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Cs/>
                <w:color w:val="auto"/>
                <w:sz w:val="18"/>
                <w:szCs w:val="18"/>
                <w:lang w:val="en-AU" w:eastAsia="en-US"/>
              </w:rPr>
              <w:t>20</w:t>
            </w:r>
          </w:p>
        </w:tc>
        <w:tc>
          <w:tcPr>
            <w:tcW w:w="748" w:type="pct"/>
            <w:tcBorders>
              <w:left w:val="nil"/>
              <w:bottom w:val="single" w:sz="4" w:space="0" w:color="auto"/>
              <w:right w:val="nil"/>
            </w:tcBorders>
            <w:shd w:val="clear" w:color="auto" w:fill="FFFFFF"/>
            <w:noWrap/>
            <w:vAlign w:val="bottom"/>
          </w:tcPr>
          <w:p w14:paraId="45760062"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15</w:t>
            </w:r>
          </w:p>
        </w:tc>
        <w:tc>
          <w:tcPr>
            <w:tcW w:w="726" w:type="pct"/>
            <w:tcBorders>
              <w:left w:val="nil"/>
              <w:bottom w:val="single" w:sz="4" w:space="0" w:color="auto"/>
              <w:right w:val="nil"/>
            </w:tcBorders>
            <w:shd w:val="clear" w:color="auto" w:fill="FFFFFF"/>
            <w:noWrap/>
            <w:vAlign w:val="bottom"/>
          </w:tcPr>
          <w:p w14:paraId="5AF9889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11 </w:t>
            </w:r>
          </w:p>
        </w:tc>
      </w:tr>
      <w:tr w:rsidR="00717BA5" w:rsidRPr="00717BA5" w14:paraId="79672A9C" w14:textId="77777777" w:rsidTr="00717BA5">
        <w:trPr>
          <w:trHeight w:val="20"/>
        </w:trPr>
        <w:tc>
          <w:tcPr>
            <w:tcW w:w="2843" w:type="pct"/>
            <w:tcBorders>
              <w:top w:val="nil"/>
              <w:left w:val="nil"/>
              <w:right w:val="nil"/>
            </w:tcBorders>
            <w:shd w:val="clear" w:color="auto" w:fill="FFFFFF"/>
            <w:vAlign w:val="bottom"/>
          </w:tcPr>
          <w:p w14:paraId="018256CE"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Income</w:t>
            </w:r>
          </w:p>
        </w:tc>
        <w:tc>
          <w:tcPr>
            <w:tcW w:w="683" w:type="pct"/>
            <w:tcBorders>
              <w:top w:val="nil"/>
              <w:left w:val="nil"/>
              <w:bottom w:val="single" w:sz="4" w:space="0" w:color="auto"/>
              <w:right w:val="nil"/>
            </w:tcBorders>
            <w:shd w:val="clear" w:color="auto" w:fill="FFFFFF"/>
            <w:noWrap/>
            <w:vAlign w:val="bottom"/>
          </w:tcPr>
          <w:p w14:paraId="0048C09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2,264</w:t>
            </w:r>
          </w:p>
        </w:tc>
        <w:tc>
          <w:tcPr>
            <w:tcW w:w="748" w:type="pct"/>
            <w:tcBorders>
              <w:top w:val="nil"/>
              <w:left w:val="nil"/>
              <w:bottom w:val="single" w:sz="4" w:space="0" w:color="auto"/>
              <w:right w:val="nil"/>
            </w:tcBorders>
            <w:shd w:val="clear" w:color="auto" w:fill="FFFFFF"/>
            <w:noWrap/>
            <w:vAlign w:val="bottom"/>
          </w:tcPr>
          <w:p w14:paraId="0210B9E6"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2,232</w:t>
            </w:r>
          </w:p>
        </w:tc>
        <w:tc>
          <w:tcPr>
            <w:tcW w:w="726" w:type="pct"/>
            <w:tcBorders>
              <w:top w:val="nil"/>
              <w:left w:val="nil"/>
              <w:bottom w:val="single" w:sz="4" w:space="0" w:color="auto"/>
              <w:right w:val="nil"/>
            </w:tcBorders>
            <w:shd w:val="clear" w:color="auto" w:fill="FFFFFF"/>
            <w:noWrap/>
            <w:vAlign w:val="bottom"/>
          </w:tcPr>
          <w:p w14:paraId="56B85A2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2,638</w:t>
            </w:r>
          </w:p>
        </w:tc>
      </w:tr>
      <w:tr w:rsidR="00717BA5" w:rsidRPr="00717BA5" w14:paraId="08E4D087" w14:textId="77777777" w:rsidTr="00717BA5">
        <w:trPr>
          <w:trHeight w:val="20"/>
        </w:trPr>
        <w:tc>
          <w:tcPr>
            <w:tcW w:w="2843" w:type="pct"/>
            <w:tcBorders>
              <w:top w:val="nil"/>
              <w:left w:val="nil"/>
              <w:bottom w:val="nil"/>
              <w:right w:val="nil"/>
            </w:tcBorders>
            <w:shd w:val="clear" w:color="auto" w:fill="FFFFFF"/>
            <w:vAlign w:val="bottom"/>
          </w:tcPr>
          <w:p w14:paraId="05DA9577"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3" w:type="pct"/>
            <w:tcBorders>
              <w:top w:val="nil"/>
              <w:left w:val="nil"/>
              <w:bottom w:val="nil"/>
              <w:right w:val="nil"/>
            </w:tcBorders>
            <w:shd w:val="clear" w:color="auto" w:fill="FFFFFF"/>
            <w:noWrap/>
            <w:vAlign w:val="bottom"/>
          </w:tcPr>
          <w:p w14:paraId="2DA4B43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748" w:type="pct"/>
            <w:tcBorders>
              <w:top w:val="nil"/>
              <w:left w:val="nil"/>
              <w:bottom w:val="nil"/>
              <w:right w:val="nil"/>
            </w:tcBorders>
            <w:shd w:val="clear" w:color="auto" w:fill="FFFFFF"/>
            <w:noWrap/>
            <w:vAlign w:val="bottom"/>
          </w:tcPr>
          <w:p w14:paraId="22A1C452"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726" w:type="pct"/>
            <w:tcBorders>
              <w:top w:val="nil"/>
              <w:left w:val="nil"/>
              <w:bottom w:val="nil"/>
              <w:right w:val="nil"/>
            </w:tcBorders>
            <w:shd w:val="clear" w:color="auto" w:fill="FFFFFF"/>
            <w:noWrap/>
            <w:vAlign w:val="bottom"/>
          </w:tcPr>
          <w:p w14:paraId="32F555A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F87C2D3" w14:textId="77777777" w:rsidTr="00717BA5">
        <w:trPr>
          <w:trHeight w:val="20"/>
        </w:trPr>
        <w:tc>
          <w:tcPr>
            <w:tcW w:w="2843" w:type="pct"/>
            <w:tcBorders>
              <w:top w:val="nil"/>
              <w:left w:val="nil"/>
              <w:bottom w:val="nil"/>
              <w:right w:val="nil"/>
            </w:tcBorders>
            <w:shd w:val="clear" w:color="auto" w:fill="FFFFFF"/>
            <w:vAlign w:val="bottom"/>
          </w:tcPr>
          <w:p w14:paraId="4D207620"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Expenses</w:t>
            </w:r>
          </w:p>
        </w:tc>
        <w:tc>
          <w:tcPr>
            <w:tcW w:w="683" w:type="pct"/>
            <w:tcBorders>
              <w:top w:val="nil"/>
              <w:left w:val="nil"/>
              <w:bottom w:val="nil"/>
              <w:right w:val="nil"/>
            </w:tcBorders>
            <w:shd w:val="clear" w:color="auto" w:fill="FFFFFF"/>
            <w:noWrap/>
            <w:vAlign w:val="bottom"/>
          </w:tcPr>
          <w:p w14:paraId="71609478"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748" w:type="pct"/>
            <w:tcBorders>
              <w:top w:val="nil"/>
              <w:left w:val="nil"/>
              <w:bottom w:val="nil"/>
              <w:right w:val="nil"/>
            </w:tcBorders>
            <w:shd w:val="clear" w:color="auto" w:fill="FFFFFF"/>
            <w:noWrap/>
            <w:vAlign w:val="bottom"/>
          </w:tcPr>
          <w:p w14:paraId="212CC08C"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726" w:type="pct"/>
            <w:tcBorders>
              <w:top w:val="nil"/>
              <w:left w:val="nil"/>
              <w:bottom w:val="nil"/>
              <w:right w:val="nil"/>
            </w:tcBorders>
            <w:shd w:val="clear" w:color="auto" w:fill="FFFFFF"/>
            <w:noWrap/>
            <w:vAlign w:val="bottom"/>
          </w:tcPr>
          <w:p w14:paraId="4CE3859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5D803E78" w14:textId="77777777" w:rsidTr="00717BA5">
        <w:trPr>
          <w:trHeight w:val="20"/>
        </w:trPr>
        <w:tc>
          <w:tcPr>
            <w:tcW w:w="2843" w:type="pct"/>
            <w:tcBorders>
              <w:top w:val="nil"/>
              <w:left w:val="nil"/>
              <w:bottom w:val="nil"/>
              <w:right w:val="nil"/>
            </w:tcBorders>
            <w:shd w:val="clear" w:color="auto" w:fill="FFFFFF"/>
            <w:vAlign w:val="bottom"/>
          </w:tcPr>
          <w:p w14:paraId="2649E681"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Employee Expenses</w:t>
            </w:r>
          </w:p>
        </w:tc>
        <w:tc>
          <w:tcPr>
            <w:tcW w:w="683" w:type="pct"/>
            <w:tcBorders>
              <w:top w:val="nil"/>
              <w:left w:val="nil"/>
              <w:bottom w:val="nil"/>
              <w:right w:val="nil"/>
            </w:tcBorders>
            <w:shd w:val="clear" w:color="auto" w:fill="FFFFFF"/>
            <w:vAlign w:val="bottom"/>
          </w:tcPr>
          <w:p w14:paraId="7C1CB22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285</w:t>
            </w:r>
          </w:p>
        </w:tc>
        <w:tc>
          <w:tcPr>
            <w:tcW w:w="748" w:type="pct"/>
            <w:tcBorders>
              <w:top w:val="nil"/>
              <w:left w:val="nil"/>
              <w:bottom w:val="nil"/>
              <w:right w:val="nil"/>
            </w:tcBorders>
            <w:shd w:val="clear" w:color="auto" w:fill="FFFFFF"/>
            <w:vAlign w:val="bottom"/>
          </w:tcPr>
          <w:p w14:paraId="73EAC94B"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260</w:t>
            </w:r>
          </w:p>
        </w:tc>
        <w:tc>
          <w:tcPr>
            <w:tcW w:w="726" w:type="pct"/>
            <w:tcBorders>
              <w:top w:val="nil"/>
              <w:left w:val="nil"/>
              <w:bottom w:val="nil"/>
              <w:right w:val="nil"/>
            </w:tcBorders>
            <w:shd w:val="clear" w:color="auto" w:fill="FFFFFF"/>
            <w:vAlign w:val="bottom"/>
          </w:tcPr>
          <w:p w14:paraId="113947B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245 </w:t>
            </w:r>
          </w:p>
        </w:tc>
      </w:tr>
      <w:tr w:rsidR="00717BA5" w:rsidRPr="00717BA5" w14:paraId="7A39C331" w14:textId="77777777" w:rsidTr="00717BA5">
        <w:trPr>
          <w:trHeight w:val="20"/>
        </w:trPr>
        <w:tc>
          <w:tcPr>
            <w:tcW w:w="2843" w:type="pct"/>
            <w:tcBorders>
              <w:top w:val="nil"/>
              <w:left w:val="nil"/>
              <w:bottom w:val="nil"/>
              <w:right w:val="nil"/>
            </w:tcBorders>
            <w:shd w:val="clear" w:color="auto" w:fill="FFFFFF"/>
            <w:vAlign w:val="bottom"/>
          </w:tcPr>
          <w:p w14:paraId="1BE97463"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Supplies and Services</w:t>
            </w:r>
          </w:p>
        </w:tc>
        <w:tc>
          <w:tcPr>
            <w:tcW w:w="683" w:type="pct"/>
            <w:tcBorders>
              <w:top w:val="nil"/>
              <w:left w:val="nil"/>
              <w:bottom w:val="nil"/>
              <w:right w:val="nil"/>
            </w:tcBorders>
            <w:shd w:val="clear" w:color="auto" w:fill="FFFFFF"/>
            <w:vAlign w:val="bottom"/>
          </w:tcPr>
          <w:p w14:paraId="6622B7E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152</w:t>
            </w:r>
          </w:p>
        </w:tc>
        <w:tc>
          <w:tcPr>
            <w:tcW w:w="748" w:type="pct"/>
            <w:tcBorders>
              <w:top w:val="nil"/>
              <w:left w:val="nil"/>
              <w:bottom w:val="nil"/>
              <w:right w:val="nil"/>
            </w:tcBorders>
            <w:shd w:val="clear" w:color="auto" w:fill="FFFFFF"/>
            <w:vAlign w:val="bottom"/>
          </w:tcPr>
          <w:p w14:paraId="5CF7079E"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155</w:t>
            </w:r>
          </w:p>
        </w:tc>
        <w:tc>
          <w:tcPr>
            <w:tcW w:w="726" w:type="pct"/>
            <w:tcBorders>
              <w:top w:val="nil"/>
              <w:left w:val="nil"/>
              <w:bottom w:val="nil"/>
              <w:right w:val="nil"/>
            </w:tcBorders>
            <w:shd w:val="clear" w:color="auto" w:fill="FFFFFF"/>
            <w:vAlign w:val="bottom"/>
          </w:tcPr>
          <w:p w14:paraId="0BEC104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159 </w:t>
            </w:r>
          </w:p>
        </w:tc>
      </w:tr>
      <w:tr w:rsidR="00717BA5" w:rsidRPr="00717BA5" w14:paraId="3D942C64" w14:textId="77777777" w:rsidTr="00717BA5">
        <w:trPr>
          <w:trHeight w:val="20"/>
        </w:trPr>
        <w:tc>
          <w:tcPr>
            <w:tcW w:w="2843" w:type="pct"/>
            <w:tcBorders>
              <w:top w:val="nil"/>
              <w:left w:val="nil"/>
              <w:bottom w:val="nil"/>
              <w:right w:val="nil"/>
            </w:tcBorders>
            <w:shd w:val="clear" w:color="auto" w:fill="FFFFFF"/>
            <w:vAlign w:val="bottom"/>
          </w:tcPr>
          <w:p w14:paraId="1502269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Long Service Leave Benefits Expense</w:t>
            </w:r>
          </w:p>
        </w:tc>
        <w:tc>
          <w:tcPr>
            <w:tcW w:w="683" w:type="pct"/>
            <w:tcBorders>
              <w:top w:val="nil"/>
              <w:left w:val="nil"/>
              <w:right w:val="nil"/>
            </w:tcBorders>
            <w:shd w:val="clear" w:color="auto" w:fill="FFFFFF"/>
            <w:noWrap/>
            <w:vAlign w:val="bottom"/>
          </w:tcPr>
          <w:p w14:paraId="0E90199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1,267</w:t>
            </w:r>
          </w:p>
        </w:tc>
        <w:tc>
          <w:tcPr>
            <w:tcW w:w="748" w:type="pct"/>
            <w:tcBorders>
              <w:top w:val="nil"/>
              <w:left w:val="nil"/>
              <w:right w:val="nil"/>
            </w:tcBorders>
            <w:noWrap/>
            <w:vAlign w:val="bottom"/>
          </w:tcPr>
          <w:p w14:paraId="4932BDC6"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1,655</w:t>
            </w:r>
          </w:p>
        </w:tc>
        <w:tc>
          <w:tcPr>
            <w:tcW w:w="726" w:type="pct"/>
            <w:tcBorders>
              <w:top w:val="nil"/>
              <w:left w:val="nil"/>
              <w:right w:val="nil"/>
            </w:tcBorders>
            <w:shd w:val="clear" w:color="auto" w:fill="FFFFFF"/>
            <w:noWrap/>
            <w:vAlign w:val="bottom"/>
          </w:tcPr>
          <w:p w14:paraId="3AA741C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1,181 </w:t>
            </w:r>
          </w:p>
        </w:tc>
      </w:tr>
      <w:tr w:rsidR="00717BA5" w:rsidRPr="00717BA5" w14:paraId="7FA3247E" w14:textId="77777777" w:rsidTr="00717BA5">
        <w:trPr>
          <w:trHeight w:val="20"/>
        </w:trPr>
        <w:tc>
          <w:tcPr>
            <w:tcW w:w="2843" w:type="pct"/>
            <w:tcBorders>
              <w:top w:val="nil"/>
              <w:left w:val="nil"/>
              <w:bottom w:val="nil"/>
              <w:right w:val="nil"/>
            </w:tcBorders>
            <w:shd w:val="clear" w:color="auto" w:fill="FFFFFF"/>
            <w:vAlign w:val="bottom"/>
          </w:tcPr>
          <w:p w14:paraId="7877C6C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Finance Costs</w:t>
            </w:r>
          </w:p>
        </w:tc>
        <w:tc>
          <w:tcPr>
            <w:tcW w:w="683" w:type="pct"/>
            <w:tcBorders>
              <w:top w:val="nil"/>
              <w:left w:val="nil"/>
              <w:right w:val="nil"/>
            </w:tcBorders>
            <w:shd w:val="clear" w:color="auto" w:fill="FFFFFF"/>
            <w:noWrap/>
            <w:vAlign w:val="bottom"/>
          </w:tcPr>
          <w:p w14:paraId="2611A0F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709</w:t>
            </w:r>
          </w:p>
        </w:tc>
        <w:tc>
          <w:tcPr>
            <w:tcW w:w="748" w:type="pct"/>
            <w:tcBorders>
              <w:top w:val="nil"/>
              <w:left w:val="nil"/>
              <w:right w:val="nil"/>
            </w:tcBorders>
            <w:noWrap/>
            <w:vAlign w:val="bottom"/>
          </w:tcPr>
          <w:p w14:paraId="0D587068"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500</w:t>
            </w:r>
          </w:p>
        </w:tc>
        <w:tc>
          <w:tcPr>
            <w:tcW w:w="726" w:type="pct"/>
            <w:tcBorders>
              <w:top w:val="nil"/>
              <w:left w:val="nil"/>
              <w:right w:val="nil"/>
            </w:tcBorders>
            <w:shd w:val="clear" w:color="auto" w:fill="FFFFFF"/>
            <w:noWrap/>
            <w:vAlign w:val="bottom"/>
          </w:tcPr>
          <w:p w14:paraId="14DD0F5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413 </w:t>
            </w:r>
          </w:p>
        </w:tc>
      </w:tr>
      <w:tr w:rsidR="00717BA5" w:rsidRPr="00717BA5" w14:paraId="2C206D42" w14:textId="77777777" w:rsidTr="00717BA5">
        <w:trPr>
          <w:trHeight w:val="20"/>
        </w:trPr>
        <w:tc>
          <w:tcPr>
            <w:tcW w:w="2843" w:type="pct"/>
            <w:tcBorders>
              <w:top w:val="nil"/>
              <w:left w:val="nil"/>
              <w:bottom w:val="nil"/>
              <w:right w:val="nil"/>
            </w:tcBorders>
            <w:shd w:val="clear" w:color="auto" w:fill="FFFFFF"/>
            <w:vAlign w:val="bottom"/>
          </w:tcPr>
          <w:p w14:paraId="30BC0171"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Other Expenses</w:t>
            </w:r>
          </w:p>
        </w:tc>
        <w:tc>
          <w:tcPr>
            <w:tcW w:w="683" w:type="pct"/>
            <w:tcBorders>
              <w:top w:val="nil"/>
              <w:left w:val="nil"/>
              <w:bottom w:val="single" w:sz="4" w:space="0" w:color="auto"/>
              <w:right w:val="nil"/>
            </w:tcBorders>
            <w:shd w:val="clear" w:color="auto" w:fill="FFFFFF"/>
            <w:noWrap/>
            <w:vAlign w:val="bottom"/>
          </w:tcPr>
          <w:p w14:paraId="379015B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16</w:t>
            </w:r>
          </w:p>
        </w:tc>
        <w:tc>
          <w:tcPr>
            <w:tcW w:w="748" w:type="pct"/>
            <w:tcBorders>
              <w:top w:val="nil"/>
              <w:left w:val="nil"/>
              <w:bottom w:val="single" w:sz="4" w:space="0" w:color="auto"/>
              <w:right w:val="nil"/>
            </w:tcBorders>
            <w:shd w:val="clear" w:color="auto" w:fill="FFFFFF"/>
            <w:noWrap/>
            <w:vAlign w:val="bottom"/>
          </w:tcPr>
          <w:p w14:paraId="2D9D8970"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7</w:t>
            </w:r>
          </w:p>
        </w:tc>
        <w:tc>
          <w:tcPr>
            <w:tcW w:w="726" w:type="pct"/>
            <w:tcBorders>
              <w:top w:val="nil"/>
              <w:left w:val="nil"/>
              <w:bottom w:val="single" w:sz="4" w:space="0" w:color="auto"/>
              <w:right w:val="nil"/>
            </w:tcBorders>
            <w:shd w:val="clear" w:color="auto" w:fill="FFFFFF"/>
            <w:noWrap/>
            <w:vAlign w:val="bottom"/>
          </w:tcPr>
          <w:p w14:paraId="0FAE488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6 </w:t>
            </w:r>
          </w:p>
        </w:tc>
      </w:tr>
      <w:tr w:rsidR="00717BA5" w:rsidRPr="00717BA5" w14:paraId="1619E845" w14:textId="77777777" w:rsidTr="00717BA5">
        <w:trPr>
          <w:trHeight w:val="20"/>
        </w:trPr>
        <w:tc>
          <w:tcPr>
            <w:tcW w:w="2843" w:type="pct"/>
            <w:tcBorders>
              <w:top w:val="nil"/>
              <w:left w:val="nil"/>
              <w:right w:val="nil"/>
            </w:tcBorders>
            <w:shd w:val="clear" w:color="auto" w:fill="FFFFFF"/>
            <w:vAlign w:val="bottom"/>
          </w:tcPr>
          <w:p w14:paraId="730C4222"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Expenses</w:t>
            </w:r>
          </w:p>
        </w:tc>
        <w:tc>
          <w:tcPr>
            <w:tcW w:w="683" w:type="pct"/>
            <w:tcBorders>
              <w:top w:val="single" w:sz="4" w:space="0" w:color="auto"/>
              <w:left w:val="nil"/>
              <w:bottom w:val="single" w:sz="4" w:space="0" w:color="auto"/>
              <w:right w:val="nil"/>
            </w:tcBorders>
            <w:shd w:val="clear" w:color="auto" w:fill="FFFFFF"/>
            <w:noWrap/>
            <w:vAlign w:val="bottom"/>
          </w:tcPr>
          <w:p w14:paraId="3852054B"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2,429</w:t>
            </w:r>
          </w:p>
        </w:tc>
        <w:tc>
          <w:tcPr>
            <w:tcW w:w="748" w:type="pct"/>
            <w:tcBorders>
              <w:top w:val="single" w:sz="4" w:space="0" w:color="auto"/>
              <w:left w:val="nil"/>
              <w:bottom w:val="single" w:sz="4" w:space="0" w:color="auto"/>
              <w:right w:val="nil"/>
            </w:tcBorders>
            <w:shd w:val="clear" w:color="auto" w:fill="FFFFFF"/>
            <w:noWrap/>
            <w:vAlign w:val="bottom"/>
          </w:tcPr>
          <w:p w14:paraId="3DA1DA4C"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2,577</w:t>
            </w:r>
          </w:p>
        </w:tc>
        <w:tc>
          <w:tcPr>
            <w:tcW w:w="726" w:type="pct"/>
            <w:tcBorders>
              <w:top w:val="single" w:sz="4" w:space="0" w:color="auto"/>
              <w:left w:val="nil"/>
              <w:bottom w:val="single" w:sz="4" w:space="0" w:color="auto"/>
              <w:right w:val="nil"/>
            </w:tcBorders>
            <w:shd w:val="clear" w:color="auto" w:fill="FFFFFF"/>
            <w:noWrap/>
            <w:vAlign w:val="bottom"/>
          </w:tcPr>
          <w:p w14:paraId="05407D7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color w:val="auto"/>
                <w:sz w:val="18"/>
                <w:szCs w:val="18"/>
                <w:lang w:val="en-AU" w:eastAsia="en-US"/>
              </w:rPr>
              <w:t xml:space="preserve"> </w:t>
            </w:r>
            <w:r w:rsidRPr="00717BA5">
              <w:rPr>
                <w:rFonts w:ascii="Arial" w:eastAsia="Calibri" w:hAnsi="Arial" w:cs="Arial"/>
                <w:b/>
                <w:color w:val="auto"/>
                <w:sz w:val="18"/>
                <w:szCs w:val="18"/>
                <w:lang w:val="en-AU" w:eastAsia="en-US"/>
              </w:rPr>
              <w:t xml:space="preserve">2,004 </w:t>
            </w:r>
          </w:p>
        </w:tc>
      </w:tr>
      <w:tr w:rsidR="00717BA5" w:rsidRPr="00717BA5" w14:paraId="6ADC011E" w14:textId="77777777" w:rsidTr="00717BA5">
        <w:trPr>
          <w:trHeight w:val="20"/>
        </w:trPr>
        <w:tc>
          <w:tcPr>
            <w:tcW w:w="2843" w:type="pct"/>
            <w:tcBorders>
              <w:top w:val="nil"/>
              <w:left w:val="nil"/>
              <w:bottom w:val="nil"/>
              <w:right w:val="nil"/>
            </w:tcBorders>
            <w:shd w:val="clear" w:color="auto" w:fill="FFFFFF"/>
            <w:vAlign w:val="bottom"/>
          </w:tcPr>
          <w:p w14:paraId="7AF04EB8"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3" w:type="pct"/>
            <w:tcBorders>
              <w:top w:val="nil"/>
              <w:left w:val="nil"/>
              <w:bottom w:val="nil"/>
              <w:right w:val="nil"/>
            </w:tcBorders>
            <w:shd w:val="clear" w:color="auto" w:fill="FFFFFF"/>
            <w:noWrap/>
            <w:vAlign w:val="bottom"/>
          </w:tcPr>
          <w:p w14:paraId="7008D6C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748" w:type="pct"/>
            <w:tcBorders>
              <w:top w:val="nil"/>
              <w:left w:val="nil"/>
              <w:bottom w:val="nil"/>
              <w:right w:val="nil"/>
            </w:tcBorders>
            <w:shd w:val="clear" w:color="auto" w:fill="FFFFFF"/>
            <w:noWrap/>
            <w:vAlign w:val="bottom"/>
          </w:tcPr>
          <w:p w14:paraId="1E23E2AA"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726" w:type="pct"/>
            <w:tcBorders>
              <w:top w:val="nil"/>
              <w:left w:val="nil"/>
              <w:bottom w:val="nil"/>
              <w:right w:val="nil"/>
            </w:tcBorders>
            <w:shd w:val="clear" w:color="auto" w:fill="FFFFFF"/>
            <w:noWrap/>
            <w:vAlign w:val="bottom"/>
          </w:tcPr>
          <w:p w14:paraId="61BB55E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72592BA7" w14:textId="77777777" w:rsidTr="00717BA5">
        <w:trPr>
          <w:trHeight w:val="20"/>
        </w:trPr>
        <w:tc>
          <w:tcPr>
            <w:tcW w:w="2843" w:type="pct"/>
            <w:tcBorders>
              <w:left w:val="nil"/>
              <w:right w:val="nil"/>
            </w:tcBorders>
            <w:shd w:val="clear" w:color="auto" w:fill="FFFFFF"/>
            <w:vAlign w:val="bottom"/>
          </w:tcPr>
          <w:p w14:paraId="1523D98E"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Operating Result</w:t>
            </w:r>
          </w:p>
        </w:tc>
        <w:tc>
          <w:tcPr>
            <w:tcW w:w="683" w:type="pct"/>
            <w:tcBorders>
              <w:top w:val="single" w:sz="4" w:space="0" w:color="auto"/>
              <w:left w:val="nil"/>
              <w:bottom w:val="single" w:sz="4" w:space="0" w:color="auto"/>
              <w:right w:val="nil"/>
            </w:tcBorders>
            <w:shd w:val="clear" w:color="auto" w:fill="FFFFFF"/>
            <w:noWrap/>
            <w:vAlign w:val="bottom"/>
          </w:tcPr>
          <w:p w14:paraId="1B5DE79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(165)</w:t>
            </w:r>
          </w:p>
        </w:tc>
        <w:tc>
          <w:tcPr>
            <w:tcW w:w="748" w:type="pct"/>
            <w:tcBorders>
              <w:top w:val="single" w:sz="4" w:space="0" w:color="auto"/>
              <w:left w:val="nil"/>
              <w:bottom w:val="single" w:sz="4" w:space="0" w:color="auto"/>
              <w:right w:val="nil"/>
            </w:tcBorders>
            <w:shd w:val="clear" w:color="auto" w:fill="FFFFFF"/>
            <w:noWrap/>
            <w:vAlign w:val="bottom"/>
          </w:tcPr>
          <w:p w14:paraId="7C8A5EDF"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r w:rsidRPr="00717BA5">
              <w:rPr>
                <w:rFonts w:ascii="Arial" w:eastAsia="Times New Roman" w:hAnsi="Arial" w:cs="Arial"/>
                <w:b/>
                <w:color w:val="000000"/>
                <w:sz w:val="18"/>
                <w:szCs w:val="18"/>
                <w:lang w:val="en-AU"/>
              </w:rPr>
              <w:t>(345)</w:t>
            </w:r>
          </w:p>
        </w:tc>
        <w:tc>
          <w:tcPr>
            <w:tcW w:w="726" w:type="pct"/>
            <w:tcBorders>
              <w:top w:val="single" w:sz="4" w:space="0" w:color="auto"/>
              <w:left w:val="nil"/>
              <w:bottom w:val="single" w:sz="4" w:space="0" w:color="auto"/>
              <w:right w:val="nil"/>
            </w:tcBorders>
            <w:shd w:val="clear" w:color="auto" w:fill="FFFFFF"/>
            <w:noWrap/>
            <w:vAlign w:val="bottom"/>
          </w:tcPr>
          <w:p w14:paraId="63669B1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634 </w:t>
            </w:r>
          </w:p>
        </w:tc>
      </w:tr>
      <w:tr w:rsidR="00717BA5" w:rsidRPr="00717BA5" w14:paraId="4218DE51" w14:textId="77777777" w:rsidTr="00717BA5">
        <w:trPr>
          <w:trHeight w:val="20"/>
        </w:trPr>
        <w:tc>
          <w:tcPr>
            <w:tcW w:w="2843" w:type="pct"/>
            <w:tcBorders>
              <w:top w:val="nil"/>
              <w:left w:val="nil"/>
              <w:right w:val="nil"/>
            </w:tcBorders>
            <w:shd w:val="clear" w:color="auto" w:fill="FFFFFF"/>
            <w:vAlign w:val="bottom"/>
          </w:tcPr>
          <w:p w14:paraId="61ECA57E"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83" w:type="pct"/>
            <w:tcBorders>
              <w:top w:val="nil"/>
              <w:left w:val="nil"/>
              <w:bottom w:val="single" w:sz="4" w:space="0" w:color="auto"/>
              <w:right w:val="nil"/>
            </w:tcBorders>
            <w:shd w:val="clear" w:color="auto" w:fill="FFFFFF"/>
            <w:vAlign w:val="bottom"/>
          </w:tcPr>
          <w:p w14:paraId="4E95CE7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 </w:t>
            </w:r>
          </w:p>
        </w:tc>
        <w:tc>
          <w:tcPr>
            <w:tcW w:w="748" w:type="pct"/>
            <w:tcBorders>
              <w:top w:val="nil"/>
              <w:left w:val="nil"/>
              <w:bottom w:val="single" w:sz="4" w:space="0" w:color="auto"/>
              <w:right w:val="nil"/>
            </w:tcBorders>
            <w:shd w:val="clear" w:color="auto" w:fill="FFFFFF"/>
            <w:vAlign w:val="bottom"/>
          </w:tcPr>
          <w:p w14:paraId="641F1A40"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726" w:type="pct"/>
            <w:tcBorders>
              <w:top w:val="nil"/>
              <w:left w:val="nil"/>
              <w:bottom w:val="single" w:sz="4" w:space="0" w:color="auto"/>
              <w:right w:val="nil"/>
            </w:tcBorders>
            <w:shd w:val="clear" w:color="auto" w:fill="FFFFFF"/>
            <w:vAlign w:val="bottom"/>
          </w:tcPr>
          <w:p w14:paraId="183EF3B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2D6B87C8" w14:textId="77777777" w:rsidTr="00717BA5">
        <w:trPr>
          <w:trHeight w:val="20"/>
        </w:trPr>
        <w:tc>
          <w:tcPr>
            <w:tcW w:w="2843" w:type="pct"/>
            <w:tcBorders>
              <w:left w:val="nil"/>
              <w:right w:val="nil"/>
            </w:tcBorders>
            <w:shd w:val="clear" w:color="auto" w:fill="FFFFFF"/>
            <w:vAlign w:val="bottom"/>
          </w:tcPr>
          <w:p w14:paraId="4F15A8A9"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Comprehensive Result</w:t>
            </w:r>
          </w:p>
        </w:tc>
        <w:tc>
          <w:tcPr>
            <w:tcW w:w="683" w:type="pct"/>
            <w:tcBorders>
              <w:top w:val="single" w:sz="4" w:space="0" w:color="auto"/>
              <w:left w:val="nil"/>
              <w:bottom w:val="double" w:sz="4" w:space="0" w:color="auto"/>
              <w:right w:val="nil"/>
            </w:tcBorders>
            <w:shd w:val="clear" w:color="auto" w:fill="FFFFFF"/>
            <w:vAlign w:val="bottom"/>
          </w:tcPr>
          <w:p w14:paraId="0CF43011"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(165)</w:t>
            </w:r>
          </w:p>
        </w:tc>
        <w:tc>
          <w:tcPr>
            <w:tcW w:w="748" w:type="pct"/>
            <w:tcBorders>
              <w:top w:val="single" w:sz="4" w:space="0" w:color="auto"/>
              <w:left w:val="nil"/>
              <w:bottom w:val="double" w:sz="4" w:space="0" w:color="auto"/>
              <w:right w:val="nil"/>
            </w:tcBorders>
            <w:shd w:val="clear" w:color="auto" w:fill="FFFFFF"/>
            <w:vAlign w:val="bottom"/>
          </w:tcPr>
          <w:p w14:paraId="0EE4B965"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r w:rsidRPr="00717BA5">
              <w:rPr>
                <w:rFonts w:ascii="Arial" w:eastAsia="Times New Roman" w:hAnsi="Arial" w:cs="Arial"/>
                <w:b/>
                <w:color w:val="000000"/>
                <w:sz w:val="18"/>
                <w:szCs w:val="18"/>
                <w:lang w:val="en-AU"/>
              </w:rPr>
              <w:t>(345)</w:t>
            </w:r>
          </w:p>
        </w:tc>
        <w:tc>
          <w:tcPr>
            <w:tcW w:w="726" w:type="pct"/>
            <w:tcBorders>
              <w:top w:val="single" w:sz="4" w:space="0" w:color="auto"/>
              <w:left w:val="nil"/>
              <w:bottom w:val="double" w:sz="4" w:space="0" w:color="auto"/>
              <w:right w:val="nil"/>
            </w:tcBorders>
            <w:shd w:val="clear" w:color="auto" w:fill="FFFFFF"/>
            <w:vAlign w:val="bottom"/>
          </w:tcPr>
          <w:p w14:paraId="77A91A8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634 </w:t>
            </w:r>
          </w:p>
        </w:tc>
      </w:tr>
    </w:tbl>
    <w:p w14:paraId="1144DC4D" w14:textId="77777777" w:rsidR="00717BA5" w:rsidRPr="00717BA5" w:rsidRDefault="00717BA5" w:rsidP="00717BA5">
      <w:pPr>
        <w:tabs>
          <w:tab w:val="left" w:pos="3780"/>
        </w:tabs>
        <w:spacing w:after="40" w:line="240" w:lineRule="auto"/>
        <w:rPr>
          <w:rFonts w:ascii="Arial" w:eastAsia="Times New Roman" w:hAnsi="Arial" w:cs="Arial"/>
          <w:b/>
          <w:bCs/>
          <w:color w:val="auto"/>
          <w:sz w:val="18"/>
          <w:szCs w:val="18"/>
          <w:lang w:val="en-AU"/>
        </w:rPr>
      </w:pPr>
    </w:p>
    <w:p w14:paraId="19C424E1" w14:textId="77777777" w:rsidR="00717BA5" w:rsidRPr="00717BA5" w:rsidRDefault="00717BA5" w:rsidP="00717BA5">
      <w:pPr>
        <w:tabs>
          <w:tab w:val="left" w:pos="3780"/>
        </w:tabs>
        <w:spacing w:after="40" w:line="240" w:lineRule="auto"/>
        <w:ind w:firstLine="2880"/>
        <w:rPr>
          <w:rFonts w:ascii="Arial" w:eastAsia="Times New Roman" w:hAnsi="Arial" w:cs="Arial"/>
          <w:b/>
          <w:bCs/>
          <w:color w:val="auto"/>
          <w:sz w:val="18"/>
          <w:szCs w:val="18"/>
          <w:lang w:val="en-AU"/>
        </w:rPr>
      </w:pPr>
    </w:p>
    <w:p w14:paraId="14C79A57"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br w:type="page"/>
      </w:r>
    </w:p>
    <w:p w14:paraId="4878C3D6" w14:textId="77777777" w:rsidR="00717BA5" w:rsidRPr="00717BA5" w:rsidRDefault="00717BA5" w:rsidP="00717BA5">
      <w:pPr>
        <w:keepNext/>
        <w:spacing w:before="240" w:after="0" w:line="240" w:lineRule="auto"/>
        <w:ind w:left="1276" w:hanging="1276"/>
        <w:outlineLvl w:val="1"/>
        <w:rPr>
          <w:rFonts w:ascii="Arial" w:eastAsia="Times New Roman" w:hAnsi="Arial" w:cs="Arial"/>
          <w:b/>
          <w:bCs/>
          <w:color w:val="auto"/>
          <w:sz w:val="24"/>
          <w:szCs w:val="24"/>
          <w:lang w:val="en-AU"/>
        </w:rPr>
      </w:pPr>
    </w:p>
    <w:p w14:paraId="5BFDC67A" w14:textId="77777777" w:rsidR="00717BA5" w:rsidRPr="00717BA5" w:rsidRDefault="00717BA5" w:rsidP="00717BA5">
      <w:pPr>
        <w:keepNext/>
        <w:spacing w:after="240" w:line="240" w:lineRule="auto"/>
        <w:ind w:left="1276" w:hanging="1276"/>
        <w:outlineLvl w:val="1"/>
        <w:rPr>
          <w:rFonts w:ascii="Arial" w:eastAsia="Times New Roman" w:hAnsi="Arial" w:cs="Arial"/>
          <w:b/>
          <w:bCs/>
          <w:color w:val="auto"/>
          <w:sz w:val="24"/>
          <w:szCs w:val="24"/>
          <w:lang w:val="en-AU"/>
        </w:rPr>
      </w:pPr>
      <w:bookmarkStart w:id="124" w:name="_Toc240533538"/>
      <w:r w:rsidRPr="00717BA5">
        <w:rPr>
          <w:rFonts w:ascii="Arial" w:eastAsia="Times New Roman" w:hAnsi="Arial" w:cs="Arial"/>
          <w:b/>
          <w:bCs/>
          <w:color w:val="auto"/>
          <w:sz w:val="24"/>
          <w:szCs w:val="24"/>
          <w:lang w:val="en-AU"/>
        </w:rPr>
        <w:t>NOTE 17.   OPERATING STATEMENT AND BALANCE SHEET FOR LONG SERVICE LEAVE SCHEMES - CONTINUED</w:t>
      </w:r>
      <w:bookmarkEnd w:id="124"/>
    </w:p>
    <w:p w14:paraId="31B41914" w14:textId="77777777" w:rsidR="00717BA5" w:rsidRPr="00717BA5" w:rsidRDefault="00717BA5" w:rsidP="00717BA5">
      <w:pPr>
        <w:spacing w:before="120" w:after="120" w:line="240" w:lineRule="auto"/>
        <w:jc w:val="center"/>
        <w:rPr>
          <w:rFonts w:ascii="Arial" w:eastAsia="Times New Roman" w:hAnsi="Arial" w:cs="Arial"/>
          <w:b/>
          <w:color w:val="auto"/>
          <w:sz w:val="22"/>
          <w:szCs w:val="22"/>
          <w:lang w:val="en-AU"/>
        </w:rPr>
      </w:pPr>
      <w:r w:rsidRPr="00717BA5">
        <w:rPr>
          <w:rFonts w:ascii="Arial" w:eastAsia="Times New Roman" w:hAnsi="Arial" w:cs="Arial"/>
          <w:b/>
          <w:color w:val="auto"/>
          <w:sz w:val="22"/>
          <w:szCs w:val="22"/>
          <w:lang w:val="en-AU"/>
        </w:rPr>
        <w:t>Security Industry Scheme – Balance Sheet</w:t>
      </w:r>
    </w:p>
    <w:tbl>
      <w:tblPr>
        <w:tblW w:w="5000" w:type="pct"/>
        <w:tblLook w:val="04A0" w:firstRow="1" w:lastRow="0" w:firstColumn="1" w:lastColumn="0" w:noHBand="0" w:noVBand="1"/>
      </w:tblPr>
      <w:tblGrid>
        <w:gridCol w:w="5910"/>
        <w:gridCol w:w="1349"/>
        <w:gridCol w:w="1349"/>
        <w:gridCol w:w="1341"/>
      </w:tblGrid>
      <w:tr w:rsidR="00717BA5" w:rsidRPr="00717BA5" w14:paraId="295420D4" w14:textId="77777777" w:rsidTr="00717BA5">
        <w:trPr>
          <w:trHeight w:val="272"/>
        </w:trPr>
        <w:tc>
          <w:tcPr>
            <w:tcW w:w="2970" w:type="pct"/>
            <w:shd w:val="clear" w:color="auto" w:fill="FFFFFF"/>
            <w:vAlign w:val="bottom"/>
          </w:tcPr>
          <w:p w14:paraId="6532D72D"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78" w:type="pct"/>
            <w:shd w:val="clear" w:color="auto" w:fill="FFFFFF"/>
            <w:noWrap/>
            <w:vAlign w:val="bottom"/>
          </w:tcPr>
          <w:p w14:paraId="6A75BB0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w:t>
            </w:r>
          </w:p>
        </w:tc>
        <w:tc>
          <w:tcPr>
            <w:tcW w:w="678" w:type="pct"/>
            <w:shd w:val="clear" w:color="auto" w:fill="FFFFFF"/>
            <w:vAlign w:val="bottom"/>
          </w:tcPr>
          <w:p w14:paraId="4195DC8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Original</w:t>
            </w:r>
          </w:p>
        </w:tc>
        <w:tc>
          <w:tcPr>
            <w:tcW w:w="674" w:type="pct"/>
            <w:shd w:val="clear" w:color="auto" w:fill="FFFFFF"/>
            <w:noWrap/>
            <w:vAlign w:val="bottom"/>
          </w:tcPr>
          <w:p w14:paraId="2D3A1C1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4B0B3662" w14:textId="77777777" w:rsidTr="00717BA5">
        <w:trPr>
          <w:trHeight w:val="272"/>
        </w:trPr>
        <w:tc>
          <w:tcPr>
            <w:tcW w:w="2970" w:type="pct"/>
            <w:shd w:val="clear" w:color="auto" w:fill="FFFFFF"/>
            <w:vAlign w:val="bottom"/>
          </w:tcPr>
          <w:p w14:paraId="1B7C3EA2"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78" w:type="pct"/>
            <w:shd w:val="clear" w:color="auto" w:fill="FFFFFF"/>
            <w:vAlign w:val="bottom"/>
          </w:tcPr>
          <w:p w14:paraId="087B899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c>
          <w:tcPr>
            <w:tcW w:w="678" w:type="pct"/>
            <w:shd w:val="clear" w:color="auto" w:fill="FFFFFF"/>
            <w:vAlign w:val="bottom"/>
          </w:tcPr>
          <w:p w14:paraId="065B582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Budget</w:t>
            </w:r>
          </w:p>
        </w:tc>
        <w:tc>
          <w:tcPr>
            <w:tcW w:w="674" w:type="pct"/>
            <w:shd w:val="clear" w:color="auto" w:fill="FFFFFF"/>
            <w:vAlign w:val="bottom"/>
          </w:tcPr>
          <w:p w14:paraId="79519D4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Actual</w:t>
            </w:r>
          </w:p>
        </w:tc>
      </w:tr>
      <w:tr w:rsidR="00717BA5" w:rsidRPr="00717BA5" w14:paraId="0E30A830" w14:textId="77777777" w:rsidTr="00717BA5">
        <w:trPr>
          <w:trHeight w:val="272"/>
        </w:trPr>
        <w:tc>
          <w:tcPr>
            <w:tcW w:w="2970" w:type="pct"/>
            <w:shd w:val="clear" w:color="auto" w:fill="FFFFFF"/>
            <w:vAlign w:val="bottom"/>
          </w:tcPr>
          <w:p w14:paraId="08323109"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78" w:type="pct"/>
            <w:shd w:val="clear" w:color="auto" w:fill="FFFFFF"/>
            <w:vAlign w:val="bottom"/>
          </w:tcPr>
          <w:p w14:paraId="088FDB2C"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678" w:type="pct"/>
            <w:shd w:val="clear" w:color="auto" w:fill="FFFFFF"/>
            <w:vAlign w:val="bottom"/>
          </w:tcPr>
          <w:p w14:paraId="11D7E39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674" w:type="pct"/>
            <w:shd w:val="clear" w:color="auto" w:fill="FFFFFF"/>
            <w:vAlign w:val="bottom"/>
          </w:tcPr>
          <w:p w14:paraId="224362C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41CE5598" w14:textId="77777777" w:rsidTr="00717BA5">
        <w:trPr>
          <w:trHeight w:val="272"/>
        </w:trPr>
        <w:tc>
          <w:tcPr>
            <w:tcW w:w="2970" w:type="pct"/>
            <w:shd w:val="clear" w:color="auto" w:fill="FFFFFF"/>
            <w:vAlign w:val="bottom"/>
          </w:tcPr>
          <w:p w14:paraId="7BB0E8A4"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78" w:type="pct"/>
            <w:tcBorders>
              <w:bottom w:val="single" w:sz="4" w:space="0" w:color="auto"/>
            </w:tcBorders>
            <w:shd w:val="clear" w:color="auto" w:fill="FFFFFF"/>
            <w:vAlign w:val="bottom"/>
          </w:tcPr>
          <w:p w14:paraId="4CD9C60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678" w:type="pct"/>
            <w:tcBorders>
              <w:bottom w:val="single" w:sz="4" w:space="0" w:color="auto"/>
            </w:tcBorders>
            <w:shd w:val="clear" w:color="auto" w:fill="FFFFFF"/>
            <w:vAlign w:val="bottom"/>
          </w:tcPr>
          <w:p w14:paraId="598FBEE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674" w:type="pct"/>
            <w:tcBorders>
              <w:bottom w:val="single" w:sz="4" w:space="0" w:color="auto"/>
            </w:tcBorders>
            <w:shd w:val="clear" w:color="auto" w:fill="FFFFFF"/>
            <w:vAlign w:val="bottom"/>
          </w:tcPr>
          <w:p w14:paraId="7A9BB07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6D7AF020" w14:textId="77777777" w:rsidTr="00717BA5">
        <w:trPr>
          <w:trHeight w:val="20"/>
        </w:trPr>
        <w:tc>
          <w:tcPr>
            <w:tcW w:w="2970" w:type="pct"/>
            <w:shd w:val="clear" w:color="auto" w:fill="FFFFFF"/>
            <w:vAlign w:val="bottom"/>
          </w:tcPr>
          <w:p w14:paraId="23B68C40"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Current Assets</w:t>
            </w:r>
          </w:p>
        </w:tc>
        <w:tc>
          <w:tcPr>
            <w:tcW w:w="678" w:type="pct"/>
            <w:tcBorders>
              <w:top w:val="single" w:sz="4" w:space="0" w:color="auto"/>
            </w:tcBorders>
            <w:shd w:val="clear" w:color="auto" w:fill="FFFFFF"/>
            <w:vAlign w:val="bottom"/>
          </w:tcPr>
          <w:p w14:paraId="2D2F398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678" w:type="pct"/>
            <w:tcBorders>
              <w:top w:val="single" w:sz="4" w:space="0" w:color="auto"/>
            </w:tcBorders>
            <w:shd w:val="clear" w:color="auto" w:fill="FFFFFF"/>
            <w:vAlign w:val="bottom"/>
          </w:tcPr>
          <w:p w14:paraId="07BEFEC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674" w:type="pct"/>
            <w:tcBorders>
              <w:top w:val="single" w:sz="4" w:space="0" w:color="auto"/>
            </w:tcBorders>
            <w:shd w:val="clear" w:color="auto" w:fill="FFFFFF"/>
            <w:vAlign w:val="bottom"/>
          </w:tcPr>
          <w:p w14:paraId="4541197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r>
      <w:tr w:rsidR="00717BA5" w:rsidRPr="00717BA5" w14:paraId="07B6FF11" w14:textId="77777777" w:rsidTr="00717BA5">
        <w:trPr>
          <w:trHeight w:val="20"/>
        </w:trPr>
        <w:tc>
          <w:tcPr>
            <w:tcW w:w="2970" w:type="pct"/>
            <w:shd w:val="clear" w:color="auto" w:fill="FFFFFF"/>
            <w:vAlign w:val="bottom"/>
          </w:tcPr>
          <w:p w14:paraId="205AEC2B"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Cash </w:t>
            </w:r>
          </w:p>
        </w:tc>
        <w:tc>
          <w:tcPr>
            <w:tcW w:w="678" w:type="pct"/>
            <w:shd w:val="clear" w:color="auto" w:fill="FFFFFF"/>
            <w:noWrap/>
            <w:vAlign w:val="bottom"/>
          </w:tcPr>
          <w:p w14:paraId="5B2300D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317</w:t>
            </w:r>
          </w:p>
        </w:tc>
        <w:tc>
          <w:tcPr>
            <w:tcW w:w="678" w:type="pct"/>
            <w:shd w:val="clear" w:color="auto" w:fill="FFFFFF"/>
            <w:noWrap/>
            <w:vAlign w:val="bottom"/>
          </w:tcPr>
          <w:p w14:paraId="68E516EB"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330</w:t>
            </w:r>
          </w:p>
        </w:tc>
        <w:tc>
          <w:tcPr>
            <w:tcW w:w="674" w:type="pct"/>
            <w:shd w:val="clear" w:color="auto" w:fill="FFFFFF"/>
            <w:noWrap/>
            <w:vAlign w:val="bottom"/>
          </w:tcPr>
          <w:p w14:paraId="37AD202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314 </w:t>
            </w:r>
          </w:p>
        </w:tc>
      </w:tr>
      <w:tr w:rsidR="00717BA5" w:rsidRPr="00717BA5" w14:paraId="4F75076D" w14:textId="77777777" w:rsidTr="00717BA5">
        <w:trPr>
          <w:trHeight w:val="20"/>
        </w:trPr>
        <w:tc>
          <w:tcPr>
            <w:tcW w:w="2970" w:type="pct"/>
            <w:vAlign w:val="bottom"/>
          </w:tcPr>
          <w:p w14:paraId="1263D791"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w:t>
            </w:r>
          </w:p>
        </w:tc>
        <w:tc>
          <w:tcPr>
            <w:tcW w:w="678" w:type="pct"/>
            <w:shd w:val="clear" w:color="auto" w:fill="FFFFFF"/>
            <w:noWrap/>
            <w:vAlign w:val="bottom"/>
          </w:tcPr>
          <w:p w14:paraId="1B51857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9,960</w:t>
            </w:r>
          </w:p>
        </w:tc>
        <w:tc>
          <w:tcPr>
            <w:tcW w:w="678" w:type="pct"/>
            <w:shd w:val="clear" w:color="auto" w:fill="FFFFFF"/>
            <w:noWrap/>
            <w:vAlign w:val="bottom"/>
          </w:tcPr>
          <w:p w14:paraId="217A952E"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10,760</w:t>
            </w:r>
          </w:p>
        </w:tc>
        <w:tc>
          <w:tcPr>
            <w:tcW w:w="674" w:type="pct"/>
            <w:shd w:val="clear" w:color="auto" w:fill="FFFFFF"/>
            <w:noWrap/>
            <w:vAlign w:val="bottom"/>
          </w:tcPr>
          <w:p w14:paraId="76B9C2D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9,822 </w:t>
            </w:r>
          </w:p>
        </w:tc>
      </w:tr>
      <w:tr w:rsidR="00717BA5" w:rsidRPr="00717BA5" w14:paraId="2C72C93B" w14:textId="77777777" w:rsidTr="00717BA5">
        <w:trPr>
          <w:trHeight w:val="20"/>
        </w:trPr>
        <w:tc>
          <w:tcPr>
            <w:tcW w:w="2970" w:type="pct"/>
            <w:shd w:val="clear" w:color="auto" w:fill="FFFFFF"/>
            <w:vAlign w:val="bottom"/>
          </w:tcPr>
          <w:p w14:paraId="57AABF88"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Receivables</w:t>
            </w:r>
          </w:p>
        </w:tc>
        <w:tc>
          <w:tcPr>
            <w:tcW w:w="678" w:type="pct"/>
            <w:tcBorders>
              <w:bottom w:val="single" w:sz="4" w:space="0" w:color="auto"/>
            </w:tcBorders>
            <w:shd w:val="clear" w:color="auto" w:fill="FFFFFF"/>
            <w:noWrap/>
            <w:vAlign w:val="bottom"/>
          </w:tcPr>
          <w:p w14:paraId="4C82A39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561</w:t>
            </w:r>
          </w:p>
        </w:tc>
        <w:tc>
          <w:tcPr>
            <w:tcW w:w="678" w:type="pct"/>
            <w:tcBorders>
              <w:bottom w:val="single" w:sz="4" w:space="0" w:color="auto"/>
            </w:tcBorders>
            <w:shd w:val="clear" w:color="auto" w:fill="FFFFFF"/>
            <w:noWrap/>
            <w:vAlign w:val="bottom"/>
          </w:tcPr>
          <w:p w14:paraId="4AC9BF60"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451</w:t>
            </w:r>
          </w:p>
        </w:tc>
        <w:tc>
          <w:tcPr>
            <w:tcW w:w="674" w:type="pct"/>
            <w:tcBorders>
              <w:bottom w:val="single" w:sz="4" w:space="0" w:color="auto"/>
            </w:tcBorders>
            <w:shd w:val="clear" w:color="auto" w:fill="FFFFFF"/>
            <w:noWrap/>
            <w:vAlign w:val="bottom"/>
          </w:tcPr>
          <w:p w14:paraId="38BFAD9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391 </w:t>
            </w:r>
          </w:p>
        </w:tc>
      </w:tr>
      <w:tr w:rsidR="00717BA5" w:rsidRPr="00717BA5" w14:paraId="28602DB1" w14:textId="77777777" w:rsidTr="00717BA5">
        <w:trPr>
          <w:trHeight w:val="20"/>
        </w:trPr>
        <w:tc>
          <w:tcPr>
            <w:tcW w:w="2970" w:type="pct"/>
            <w:shd w:val="clear" w:color="auto" w:fill="FFFFFF"/>
            <w:vAlign w:val="bottom"/>
          </w:tcPr>
          <w:p w14:paraId="4A9E9454"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Total Current Assets</w:t>
            </w:r>
          </w:p>
        </w:tc>
        <w:tc>
          <w:tcPr>
            <w:tcW w:w="678" w:type="pct"/>
            <w:tcBorders>
              <w:top w:val="single" w:sz="4" w:space="0" w:color="auto"/>
            </w:tcBorders>
            <w:shd w:val="clear" w:color="auto" w:fill="FFFFFF"/>
            <w:noWrap/>
            <w:vAlign w:val="bottom"/>
          </w:tcPr>
          <w:p w14:paraId="40AD47B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10,838</w:t>
            </w:r>
          </w:p>
        </w:tc>
        <w:tc>
          <w:tcPr>
            <w:tcW w:w="678" w:type="pct"/>
            <w:tcBorders>
              <w:top w:val="single" w:sz="4" w:space="0" w:color="auto"/>
            </w:tcBorders>
            <w:shd w:val="clear" w:color="auto" w:fill="FFFFFF"/>
            <w:noWrap/>
            <w:vAlign w:val="bottom"/>
          </w:tcPr>
          <w:p w14:paraId="52A3F75D"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11,541</w:t>
            </w:r>
          </w:p>
        </w:tc>
        <w:tc>
          <w:tcPr>
            <w:tcW w:w="674" w:type="pct"/>
            <w:tcBorders>
              <w:top w:val="single" w:sz="4" w:space="0" w:color="auto"/>
            </w:tcBorders>
            <w:shd w:val="clear" w:color="auto" w:fill="FFFFFF"/>
            <w:noWrap/>
            <w:vAlign w:val="bottom"/>
          </w:tcPr>
          <w:p w14:paraId="77558F1C"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10,527</w:t>
            </w:r>
          </w:p>
        </w:tc>
      </w:tr>
      <w:tr w:rsidR="00717BA5" w:rsidRPr="00717BA5" w14:paraId="12A9C03C" w14:textId="77777777" w:rsidTr="00717BA5">
        <w:trPr>
          <w:trHeight w:val="20"/>
        </w:trPr>
        <w:tc>
          <w:tcPr>
            <w:tcW w:w="2970" w:type="pct"/>
            <w:shd w:val="clear" w:color="auto" w:fill="FFFFFF"/>
            <w:vAlign w:val="bottom"/>
          </w:tcPr>
          <w:p w14:paraId="0CC5B758"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78" w:type="pct"/>
            <w:tcBorders>
              <w:bottom w:val="single" w:sz="4" w:space="0" w:color="auto"/>
            </w:tcBorders>
            <w:shd w:val="clear" w:color="auto" w:fill="FFFFFF"/>
            <w:vAlign w:val="bottom"/>
          </w:tcPr>
          <w:p w14:paraId="18176ED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8" w:type="pct"/>
            <w:tcBorders>
              <w:bottom w:val="single" w:sz="4" w:space="0" w:color="auto"/>
            </w:tcBorders>
            <w:shd w:val="clear" w:color="auto" w:fill="FFFFFF"/>
            <w:vAlign w:val="bottom"/>
          </w:tcPr>
          <w:p w14:paraId="560490C3"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4" w:type="pct"/>
            <w:tcBorders>
              <w:bottom w:val="single" w:sz="4" w:space="0" w:color="auto"/>
            </w:tcBorders>
            <w:shd w:val="clear" w:color="auto" w:fill="FFFFFF"/>
            <w:vAlign w:val="bottom"/>
          </w:tcPr>
          <w:p w14:paraId="0832747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787EFD8" w14:textId="77777777" w:rsidTr="00717BA5">
        <w:trPr>
          <w:trHeight w:val="20"/>
        </w:trPr>
        <w:tc>
          <w:tcPr>
            <w:tcW w:w="2970" w:type="pct"/>
            <w:shd w:val="clear" w:color="auto" w:fill="FFFFFF"/>
            <w:vAlign w:val="bottom"/>
          </w:tcPr>
          <w:p w14:paraId="15408595"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Assets</w:t>
            </w:r>
          </w:p>
        </w:tc>
        <w:tc>
          <w:tcPr>
            <w:tcW w:w="678" w:type="pct"/>
            <w:tcBorders>
              <w:top w:val="single" w:sz="4" w:space="0" w:color="auto"/>
              <w:bottom w:val="single" w:sz="4" w:space="0" w:color="auto"/>
            </w:tcBorders>
            <w:shd w:val="clear" w:color="auto" w:fill="FFFFFF"/>
            <w:noWrap/>
            <w:vAlign w:val="bottom"/>
          </w:tcPr>
          <w:p w14:paraId="6751590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10,838</w:t>
            </w:r>
          </w:p>
        </w:tc>
        <w:tc>
          <w:tcPr>
            <w:tcW w:w="678" w:type="pct"/>
            <w:tcBorders>
              <w:top w:val="single" w:sz="4" w:space="0" w:color="auto"/>
              <w:bottom w:val="single" w:sz="4" w:space="0" w:color="auto"/>
            </w:tcBorders>
            <w:shd w:val="clear" w:color="auto" w:fill="FFFFFF"/>
            <w:noWrap/>
            <w:vAlign w:val="bottom"/>
          </w:tcPr>
          <w:p w14:paraId="36D24335"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11,541</w:t>
            </w:r>
          </w:p>
        </w:tc>
        <w:tc>
          <w:tcPr>
            <w:tcW w:w="674" w:type="pct"/>
            <w:tcBorders>
              <w:top w:val="single" w:sz="4" w:space="0" w:color="auto"/>
              <w:bottom w:val="single" w:sz="4" w:space="0" w:color="auto"/>
            </w:tcBorders>
            <w:shd w:val="clear" w:color="auto" w:fill="FFFFFF"/>
            <w:noWrap/>
            <w:vAlign w:val="bottom"/>
          </w:tcPr>
          <w:p w14:paraId="3B6908EB"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10,527</w:t>
            </w:r>
          </w:p>
        </w:tc>
      </w:tr>
      <w:tr w:rsidR="00717BA5" w:rsidRPr="00717BA5" w14:paraId="3006A8B1" w14:textId="77777777" w:rsidTr="00717BA5">
        <w:trPr>
          <w:trHeight w:val="20"/>
        </w:trPr>
        <w:tc>
          <w:tcPr>
            <w:tcW w:w="2970" w:type="pct"/>
            <w:shd w:val="clear" w:color="auto" w:fill="FFFFFF"/>
            <w:vAlign w:val="bottom"/>
          </w:tcPr>
          <w:p w14:paraId="45090E74"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78" w:type="pct"/>
            <w:tcBorders>
              <w:top w:val="single" w:sz="4" w:space="0" w:color="auto"/>
            </w:tcBorders>
            <w:shd w:val="clear" w:color="auto" w:fill="FFFFFF"/>
            <w:noWrap/>
            <w:vAlign w:val="bottom"/>
          </w:tcPr>
          <w:p w14:paraId="077C61F1"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678" w:type="pct"/>
            <w:tcBorders>
              <w:top w:val="single" w:sz="4" w:space="0" w:color="auto"/>
            </w:tcBorders>
            <w:shd w:val="clear" w:color="auto" w:fill="FFFFFF"/>
            <w:noWrap/>
            <w:vAlign w:val="bottom"/>
          </w:tcPr>
          <w:p w14:paraId="49C6204F"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74" w:type="pct"/>
            <w:tcBorders>
              <w:top w:val="single" w:sz="4" w:space="0" w:color="auto"/>
            </w:tcBorders>
            <w:shd w:val="clear" w:color="auto" w:fill="FFFFFF"/>
            <w:noWrap/>
            <w:vAlign w:val="bottom"/>
          </w:tcPr>
          <w:p w14:paraId="50D254A9"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32F44E4B" w14:textId="77777777" w:rsidTr="00717BA5">
        <w:trPr>
          <w:trHeight w:val="20"/>
        </w:trPr>
        <w:tc>
          <w:tcPr>
            <w:tcW w:w="2970" w:type="pct"/>
            <w:shd w:val="clear" w:color="auto" w:fill="FFFFFF"/>
            <w:vAlign w:val="bottom"/>
          </w:tcPr>
          <w:p w14:paraId="0A826B37"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Current Liabilities</w:t>
            </w:r>
          </w:p>
        </w:tc>
        <w:tc>
          <w:tcPr>
            <w:tcW w:w="678" w:type="pct"/>
            <w:shd w:val="clear" w:color="auto" w:fill="FFFFFF"/>
            <w:noWrap/>
            <w:vAlign w:val="bottom"/>
          </w:tcPr>
          <w:p w14:paraId="4857D973" w14:textId="77777777" w:rsidR="00717BA5" w:rsidRPr="00717BA5" w:rsidRDefault="00717BA5" w:rsidP="00717BA5">
            <w:pPr>
              <w:spacing w:after="0" w:line="240" w:lineRule="auto"/>
              <w:jc w:val="right"/>
              <w:rPr>
                <w:rFonts w:ascii="Arial" w:eastAsia="Calibri" w:hAnsi="Arial" w:cs="Arial"/>
                <w:color w:val="auto"/>
                <w:sz w:val="18"/>
                <w:szCs w:val="18"/>
                <w:lang w:val="en-AU" w:eastAsia="en-US"/>
              </w:rPr>
            </w:pPr>
          </w:p>
        </w:tc>
        <w:tc>
          <w:tcPr>
            <w:tcW w:w="678" w:type="pct"/>
            <w:shd w:val="clear" w:color="auto" w:fill="FFFFFF"/>
            <w:noWrap/>
            <w:vAlign w:val="bottom"/>
          </w:tcPr>
          <w:p w14:paraId="6D3DDAA7"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74" w:type="pct"/>
            <w:shd w:val="clear" w:color="auto" w:fill="FFFFFF"/>
            <w:noWrap/>
            <w:vAlign w:val="bottom"/>
          </w:tcPr>
          <w:p w14:paraId="78FA3C9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63676805" w14:textId="77777777" w:rsidTr="00717BA5">
        <w:trPr>
          <w:trHeight w:val="20"/>
        </w:trPr>
        <w:tc>
          <w:tcPr>
            <w:tcW w:w="2970" w:type="pct"/>
            <w:shd w:val="clear" w:color="auto" w:fill="FFFFFF"/>
            <w:vAlign w:val="bottom"/>
          </w:tcPr>
          <w:p w14:paraId="616C6571"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Payables</w:t>
            </w:r>
          </w:p>
        </w:tc>
        <w:tc>
          <w:tcPr>
            <w:tcW w:w="678" w:type="pct"/>
            <w:shd w:val="clear" w:color="auto" w:fill="FFFFFF"/>
            <w:noWrap/>
            <w:vAlign w:val="bottom"/>
          </w:tcPr>
          <w:p w14:paraId="167C83D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71</w:t>
            </w:r>
          </w:p>
        </w:tc>
        <w:tc>
          <w:tcPr>
            <w:tcW w:w="678" w:type="pct"/>
            <w:shd w:val="clear" w:color="auto" w:fill="FFFFFF"/>
            <w:noWrap/>
            <w:vAlign w:val="bottom"/>
          </w:tcPr>
          <w:p w14:paraId="41DB404D"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90</w:t>
            </w:r>
          </w:p>
        </w:tc>
        <w:tc>
          <w:tcPr>
            <w:tcW w:w="674" w:type="pct"/>
            <w:shd w:val="clear" w:color="auto" w:fill="FFFFFF"/>
            <w:noWrap/>
            <w:vAlign w:val="bottom"/>
          </w:tcPr>
          <w:p w14:paraId="133E985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107 </w:t>
            </w:r>
          </w:p>
        </w:tc>
      </w:tr>
      <w:tr w:rsidR="00717BA5" w:rsidRPr="00717BA5" w14:paraId="3DB8EFBE" w14:textId="77777777" w:rsidTr="00717BA5">
        <w:trPr>
          <w:trHeight w:val="20"/>
        </w:trPr>
        <w:tc>
          <w:tcPr>
            <w:tcW w:w="2970" w:type="pct"/>
            <w:shd w:val="clear" w:color="auto" w:fill="FFFFFF"/>
            <w:vAlign w:val="bottom"/>
          </w:tcPr>
          <w:p w14:paraId="110E71EB"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Provision for Long Service Leave Benefits</w:t>
            </w:r>
          </w:p>
        </w:tc>
        <w:tc>
          <w:tcPr>
            <w:tcW w:w="678" w:type="pct"/>
            <w:shd w:val="clear" w:color="auto" w:fill="FFFFFF"/>
            <w:vAlign w:val="bottom"/>
          </w:tcPr>
          <w:p w14:paraId="7234FFA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8" w:type="pct"/>
            <w:shd w:val="clear" w:color="auto" w:fill="FFFFFF"/>
            <w:vAlign w:val="bottom"/>
          </w:tcPr>
          <w:p w14:paraId="7640040D"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4" w:type="pct"/>
            <w:shd w:val="clear" w:color="auto" w:fill="FFFFFF"/>
            <w:vAlign w:val="bottom"/>
          </w:tcPr>
          <w:p w14:paraId="10E8600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768123D8" w14:textId="77777777" w:rsidTr="00717BA5">
        <w:trPr>
          <w:trHeight w:val="20"/>
        </w:trPr>
        <w:tc>
          <w:tcPr>
            <w:tcW w:w="2970" w:type="pct"/>
            <w:shd w:val="clear" w:color="auto" w:fill="FFFFFF"/>
            <w:vAlign w:val="bottom"/>
          </w:tcPr>
          <w:p w14:paraId="7AD227E2"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Expected to be Settled Within 12 months</w:t>
            </w:r>
          </w:p>
        </w:tc>
        <w:tc>
          <w:tcPr>
            <w:tcW w:w="678" w:type="pct"/>
            <w:shd w:val="clear" w:color="auto" w:fill="FFFFFF"/>
            <w:vAlign w:val="bottom"/>
          </w:tcPr>
          <w:p w14:paraId="6B50FD7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712</w:t>
            </w:r>
          </w:p>
        </w:tc>
        <w:tc>
          <w:tcPr>
            <w:tcW w:w="678" w:type="pct"/>
            <w:shd w:val="clear" w:color="auto" w:fill="FFFFFF"/>
            <w:vAlign w:val="bottom"/>
          </w:tcPr>
          <w:p w14:paraId="1D189B85"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775</w:t>
            </w:r>
          </w:p>
        </w:tc>
        <w:tc>
          <w:tcPr>
            <w:tcW w:w="674" w:type="pct"/>
            <w:shd w:val="clear" w:color="auto" w:fill="FFFFFF"/>
            <w:vAlign w:val="bottom"/>
          </w:tcPr>
          <w:p w14:paraId="5412F65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662 </w:t>
            </w:r>
          </w:p>
        </w:tc>
      </w:tr>
      <w:tr w:rsidR="00717BA5" w:rsidRPr="00717BA5" w14:paraId="3A1457B4" w14:textId="77777777" w:rsidTr="00717BA5">
        <w:trPr>
          <w:trHeight w:val="20"/>
        </w:trPr>
        <w:tc>
          <w:tcPr>
            <w:tcW w:w="2970" w:type="pct"/>
            <w:shd w:val="clear" w:color="auto" w:fill="FFFFFF"/>
            <w:vAlign w:val="bottom"/>
          </w:tcPr>
          <w:p w14:paraId="5349172B" w14:textId="77777777" w:rsidR="00717BA5" w:rsidRPr="00717BA5" w:rsidRDefault="00717BA5" w:rsidP="00717BA5">
            <w:pPr>
              <w:numPr>
                <w:ilvl w:val="0"/>
                <w:numId w:val="74"/>
              </w:num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Expected to be Settled After 12 months</w:t>
            </w:r>
          </w:p>
        </w:tc>
        <w:tc>
          <w:tcPr>
            <w:tcW w:w="678" w:type="pct"/>
            <w:shd w:val="clear" w:color="auto" w:fill="FFFFFF"/>
            <w:vAlign w:val="bottom"/>
          </w:tcPr>
          <w:p w14:paraId="360AB6A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7,292</w:t>
            </w:r>
          </w:p>
        </w:tc>
        <w:tc>
          <w:tcPr>
            <w:tcW w:w="678" w:type="pct"/>
            <w:shd w:val="clear" w:color="auto" w:fill="FFFFFF"/>
            <w:vAlign w:val="bottom"/>
          </w:tcPr>
          <w:p w14:paraId="540DB29B"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8,195</w:t>
            </w:r>
          </w:p>
        </w:tc>
        <w:tc>
          <w:tcPr>
            <w:tcW w:w="674" w:type="pct"/>
            <w:shd w:val="clear" w:color="auto" w:fill="FFFFFF"/>
            <w:vAlign w:val="bottom"/>
          </w:tcPr>
          <w:p w14:paraId="2C89B5E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7,226 </w:t>
            </w:r>
          </w:p>
        </w:tc>
      </w:tr>
      <w:tr w:rsidR="00717BA5" w:rsidRPr="00717BA5" w14:paraId="1E98E8F8" w14:textId="77777777" w:rsidTr="00717BA5">
        <w:trPr>
          <w:trHeight w:val="20"/>
        </w:trPr>
        <w:tc>
          <w:tcPr>
            <w:tcW w:w="2970" w:type="pct"/>
            <w:shd w:val="clear" w:color="auto" w:fill="FFFFFF"/>
            <w:vAlign w:val="bottom"/>
          </w:tcPr>
          <w:p w14:paraId="397566B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Employee Benefits</w:t>
            </w:r>
          </w:p>
        </w:tc>
        <w:tc>
          <w:tcPr>
            <w:tcW w:w="678" w:type="pct"/>
            <w:tcBorders>
              <w:bottom w:val="single" w:sz="4" w:space="0" w:color="auto"/>
            </w:tcBorders>
            <w:shd w:val="clear" w:color="auto" w:fill="FFFFFF"/>
            <w:vAlign w:val="bottom"/>
          </w:tcPr>
          <w:p w14:paraId="67F32C0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54</w:t>
            </w:r>
          </w:p>
        </w:tc>
        <w:tc>
          <w:tcPr>
            <w:tcW w:w="678" w:type="pct"/>
            <w:tcBorders>
              <w:bottom w:val="single" w:sz="4" w:space="0" w:color="auto"/>
            </w:tcBorders>
            <w:shd w:val="clear" w:color="auto" w:fill="FFFFFF"/>
            <w:vAlign w:val="bottom"/>
          </w:tcPr>
          <w:p w14:paraId="76ED4B21"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27</w:t>
            </w:r>
          </w:p>
        </w:tc>
        <w:tc>
          <w:tcPr>
            <w:tcW w:w="674" w:type="pct"/>
            <w:tcBorders>
              <w:bottom w:val="single" w:sz="4" w:space="0" w:color="auto"/>
            </w:tcBorders>
            <w:shd w:val="clear" w:color="auto" w:fill="FFFFFF"/>
            <w:vAlign w:val="bottom"/>
          </w:tcPr>
          <w:p w14:paraId="0868267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33 </w:t>
            </w:r>
          </w:p>
        </w:tc>
      </w:tr>
      <w:tr w:rsidR="00717BA5" w:rsidRPr="00717BA5" w14:paraId="6E1BB9D5" w14:textId="77777777" w:rsidTr="00717BA5">
        <w:trPr>
          <w:trHeight w:val="20"/>
        </w:trPr>
        <w:tc>
          <w:tcPr>
            <w:tcW w:w="2970" w:type="pct"/>
            <w:shd w:val="clear" w:color="auto" w:fill="FFFFFF"/>
            <w:vAlign w:val="bottom"/>
          </w:tcPr>
          <w:p w14:paraId="6B2E32FB"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Current Liabilities</w:t>
            </w:r>
          </w:p>
        </w:tc>
        <w:tc>
          <w:tcPr>
            <w:tcW w:w="678" w:type="pct"/>
            <w:tcBorders>
              <w:top w:val="single" w:sz="4" w:space="0" w:color="auto"/>
            </w:tcBorders>
            <w:shd w:val="clear" w:color="auto" w:fill="FFFFFF"/>
            <w:noWrap/>
            <w:vAlign w:val="bottom"/>
          </w:tcPr>
          <w:p w14:paraId="6666AC8F"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8,129</w:t>
            </w:r>
          </w:p>
        </w:tc>
        <w:tc>
          <w:tcPr>
            <w:tcW w:w="678" w:type="pct"/>
            <w:tcBorders>
              <w:top w:val="single" w:sz="4" w:space="0" w:color="auto"/>
            </w:tcBorders>
            <w:shd w:val="clear" w:color="auto" w:fill="FFFFFF"/>
            <w:noWrap/>
            <w:vAlign w:val="bottom"/>
          </w:tcPr>
          <w:p w14:paraId="0BF6E104"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9,088</w:t>
            </w:r>
          </w:p>
        </w:tc>
        <w:tc>
          <w:tcPr>
            <w:tcW w:w="674" w:type="pct"/>
            <w:tcBorders>
              <w:top w:val="single" w:sz="4" w:space="0" w:color="auto"/>
            </w:tcBorders>
            <w:shd w:val="clear" w:color="auto" w:fill="FFFFFF"/>
            <w:noWrap/>
            <w:vAlign w:val="bottom"/>
          </w:tcPr>
          <w:p w14:paraId="1922FB9F"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 xml:space="preserve"> 8,028 </w:t>
            </w:r>
          </w:p>
        </w:tc>
      </w:tr>
      <w:tr w:rsidR="00717BA5" w:rsidRPr="00717BA5" w14:paraId="1B13A365" w14:textId="77777777" w:rsidTr="00717BA5">
        <w:trPr>
          <w:trHeight w:val="20"/>
        </w:trPr>
        <w:tc>
          <w:tcPr>
            <w:tcW w:w="2970" w:type="pct"/>
            <w:shd w:val="clear" w:color="auto" w:fill="FFFFFF"/>
            <w:vAlign w:val="bottom"/>
          </w:tcPr>
          <w:p w14:paraId="38B50DA0"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78" w:type="pct"/>
            <w:shd w:val="clear" w:color="auto" w:fill="FFFFFF"/>
            <w:noWrap/>
            <w:vAlign w:val="bottom"/>
          </w:tcPr>
          <w:p w14:paraId="14D886A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8" w:type="pct"/>
            <w:shd w:val="clear" w:color="auto" w:fill="FFFFFF"/>
            <w:noWrap/>
            <w:vAlign w:val="bottom"/>
          </w:tcPr>
          <w:p w14:paraId="51B33C4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4" w:type="pct"/>
            <w:shd w:val="clear" w:color="auto" w:fill="FFFFFF"/>
            <w:noWrap/>
            <w:vAlign w:val="bottom"/>
          </w:tcPr>
          <w:p w14:paraId="641BD6F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2D924C9E" w14:textId="77777777" w:rsidTr="00717BA5">
        <w:trPr>
          <w:trHeight w:val="20"/>
        </w:trPr>
        <w:tc>
          <w:tcPr>
            <w:tcW w:w="2970" w:type="pct"/>
            <w:shd w:val="clear" w:color="auto" w:fill="FFFFFF"/>
            <w:vAlign w:val="bottom"/>
          </w:tcPr>
          <w:p w14:paraId="5B701A5A"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Non-Current Liabilities</w:t>
            </w:r>
          </w:p>
        </w:tc>
        <w:tc>
          <w:tcPr>
            <w:tcW w:w="678" w:type="pct"/>
            <w:shd w:val="clear" w:color="auto" w:fill="FFFFFF"/>
            <w:noWrap/>
            <w:vAlign w:val="bottom"/>
          </w:tcPr>
          <w:p w14:paraId="76AFE58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8" w:type="pct"/>
            <w:shd w:val="clear" w:color="auto" w:fill="FFFFFF"/>
            <w:noWrap/>
            <w:vAlign w:val="bottom"/>
          </w:tcPr>
          <w:p w14:paraId="55056F6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74" w:type="pct"/>
            <w:shd w:val="clear" w:color="auto" w:fill="FFFFFF"/>
            <w:noWrap/>
            <w:vAlign w:val="bottom"/>
          </w:tcPr>
          <w:p w14:paraId="4C8F393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01F09E81" w14:textId="77777777" w:rsidTr="00717BA5">
        <w:trPr>
          <w:trHeight w:val="20"/>
        </w:trPr>
        <w:tc>
          <w:tcPr>
            <w:tcW w:w="2970" w:type="pct"/>
            <w:shd w:val="clear" w:color="auto" w:fill="FFFFFF"/>
            <w:vAlign w:val="bottom"/>
          </w:tcPr>
          <w:p w14:paraId="6092233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Provision for Long Service Leave Benefits</w:t>
            </w:r>
          </w:p>
        </w:tc>
        <w:tc>
          <w:tcPr>
            <w:tcW w:w="678" w:type="pct"/>
            <w:shd w:val="clear" w:color="auto" w:fill="FFFFFF"/>
            <w:noWrap/>
            <w:vAlign w:val="bottom"/>
          </w:tcPr>
          <w:p w14:paraId="615EACD5"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SimSun" w:hAnsi="Arial" w:cs="Arial"/>
                <w:color w:val="auto"/>
                <w:sz w:val="18"/>
                <w:szCs w:val="18"/>
                <w:lang w:val="en-AU" w:eastAsia="en-US"/>
              </w:rPr>
              <w:t>617</w:t>
            </w:r>
          </w:p>
        </w:tc>
        <w:tc>
          <w:tcPr>
            <w:tcW w:w="678" w:type="pct"/>
            <w:shd w:val="clear" w:color="auto" w:fill="FFFFFF"/>
            <w:noWrap/>
            <w:vAlign w:val="bottom"/>
          </w:tcPr>
          <w:p w14:paraId="081940C6"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color w:val="000000"/>
                <w:sz w:val="18"/>
                <w:szCs w:val="18"/>
                <w:lang w:val="en-AU" w:eastAsia="en-US"/>
              </w:rPr>
              <w:t>1,196</w:t>
            </w:r>
          </w:p>
        </w:tc>
        <w:tc>
          <w:tcPr>
            <w:tcW w:w="674" w:type="pct"/>
            <w:shd w:val="clear" w:color="auto" w:fill="FFFFFF"/>
            <w:noWrap/>
            <w:vAlign w:val="bottom"/>
          </w:tcPr>
          <w:p w14:paraId="4BD693C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242 </w:t>
            </w:r>
          </w:p>
        </w:tc>
      </w:tr>
      <w:tr w:rsidR="00717BA5" w:rsidRPr="00717BA5" w14:paraId="516BDCB5" w14:textId="77777777" w:rsidTr="00717BA5">
        <w:trPr>
          <w:trHeight w:val="20"/>
        </w:trPr>
        <w:tc>
          <w:tcPr>
            <w:tcW w:w="2970" w:type="pct"/>
            <w:shd w:val="clear" w:color="auto" w:fill="FFFFFF"/>
            <w:vAlign w:val="bottom"/>
          </w:tcPr>
          <w:p w14:paraId="06FD607B"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Employee Benefits</w:t>
            </w:r>
          </w:p>
        </w:tc>
        <w:tc>
          <w:tcPr>
            <w:tcW w:w="678" w:type="pct"/>
            <w:tcBorders>
              <w:bottom w:val="single" w:sz="4" w:space="0" w:color="auto"/>
            </w:tcBorders>
            <w:shd w:val="clear" w:color="auto" w:fill="FFFFFF"/>
            <w:noWrap/>
            <w:vAlign w:val="bottom"/>
          </w:tcPr>
          <w:p w14:paraId="416B0935"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SimSun" w:hAnsi="Arial" w:cs="Arial"/>
                <w:color w:val="auto"/>
                <w:sz w:val="18"/>
                <w:szCs w:val="18"/>
                <w:lang w:val="en-AU" w:eastAsia="en-US"/>
              </w:rPr>
              <w:t>7</w:t>
            </w:r>
          </w:p>
        </w:tc>
        <w:tc>
          <w:tcPr>
            <w:tcW w:w="678" w:type="pct"/>
            <w:tcBorders>
              <w:bottom w:val="single" w:sz="4" w:space="0" w:color="auto"/>
            </w:tcBorders>
            <w:shd w:val="clear" w:color="auto" w:fill="FFFFFF"/>
            <w:noWrap/>
            <w:vAlign w:val="bottom"/>
          </w:tcPr>
          <w:p w14:paraId="424CFB67"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4</w:t>
            </w:r>
          </w:p>
        </w:tc>
        <w:tc>
          <w:tcPr>
            <w:tcW w:w="674" w:type="pct"/>
            <w:tcBorders>
              <w:bottom w:val="single" w:sz="4" w:space="0" w:color="auto"/>
            </w:tcBorders>
            <w:shd w:val="clear" w:color="auto" w:fill="FFFFFF"/>
            <w:noWrap/>
            <w:vAlign w:val="bottom"/>
          </w:tcPr>
          <w:p w14:paraId="1E55821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 xml:space="preserve"> 5 </w:t>
            </w:r>
          </w:p>
        </w:tc>
      </w:tr>
      <w:tr w:rsidR="00717BA5" w:rsidRPr="00717BA5" w14:paraId="21C9BAED" w14:textId="77777777" w:rsidTr="00717BA5">
        <w:trPr>
          <w:trHeight w:val="20"/>
        </w:trPr>
        <w:tc>
          <w:tcPr>
            <w:tcW w:w="2970" w:type="pct"/>
            <w:shd w:val="clear" w:color="auto" w:fill="FFFFFF"/>
            <w:vAlign w:val="bottom"/>
          </w:tcPr>
          <w:p w14:paraId="31FEE25F"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Non-Current Liabilities</w:t>
            </w:r>
          </w:p>
        </w:tc>
        <w:tc>
          <w:tcPr>
            <w:tcW w:w="678" w:type="pct"/>
            <w:tcBorders>
              <w:top w:val="single" w:sz="4" w:space="0" w:color="auto"/>
            </w:tcBorders>
            <w:shd w:val="clear" w:color="auto" w:fill="FFFFFF"/>
            <w:vAlign w:val="bottom"/>
          </w:tcPr>
          <w:p w14:paraId="1A3F2F74"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r w:rsidRPr="00717BA5">
              <w:rPr>
                <w:rFonts w:ascii="Arial" w:eastAsia="SimSun" w:hAnsi="Arial" w:cs="Arial"/>
                <w:b/>
                <w:bCs/>
                <w:color w:val="auto"/>
                <w:sz w:val="18"/>
                <w:szCs w:val="18"/>
                <w:lang w:val="en-AU" w:eastAsia="en-US"/>
              </w:rPr>
              <w:t>624</w:t>
            </w:r>
          </w:p>
        </w:tc>
        <w:tc>
          <w:tcPr>
            <w:tcW w:w="678" w:type="pct"/>
            <w:tcBorders>
              <w:top w:val="single" w:sz="4" w:space="0" w:color="auto"/>
            </w:tcBorders>
            <w:shd w:val="clear" w:color="auto" w:fill="FFFFFF"/>
            <w:vAlign w:val="bottom"/>
          </w:tcPr>
          <w:p w14:paraId="050C3FEC"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 xml:space="preserve">  1,200</w:t>
            </w:r>
          </w:p>
        </w:tc>
        <w:tc>
          <w:tcPr>
            <w:tcW w:w="674" w:type="pct"/>
            <w:tcBorders>
              <w:top w:val="single" w:sz="4" w:space="0" w:color="auto"/>
            </w:tcBorders>
            <w:shd w:val="clear" w:color="auto" w:fill="FFFFFF"/>
            <w:vAlign w:val="bottom"/>
          </w:tcPr>
          <w:p w14:paraId="41FCFED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color w:val="auto"/>
                <w:sz w:val="18"/>
                <w:szCs w:val="18"/>
                <w:lang w:val="en-AU" w:eastAsia="en-US"/>
              </w:rPr>
              <w:t xml:space="preserve"> </w:t>
            </w:r>
            <w:r w:rsidRPr="00717BA5">
              <w:rPr>
                <w:rFonts w:ascii="Arial" w:eastAsia="Calibri" w:hAnsi="Arial" w:cs="Arial"/>
                <w:b/>
                <w:color w:val="auto"/>
                <w:sz w:val="18"/>
                <w:szCs w:val="18"/>
                <w:lang w:val="en-AU" w:eastAsia="en-US"/>
              </w:rPr>
              <w:t xml:space="preserve">247 </w:t>
            </w:r>
          </w:p>
        </w:tc>
      </w:tr>
      <w:tr w:rsidR="00717BA5" w:rsidRPr="00717BA5" w14:paraId="51835773" w14:textId="77777777" w:rsidTr="00717BA5">
        <w:trPr>
          <w:trHeight w:val="20"/>
        </w:trPr>
        <w:tc>
          <w:tcPr>
            <w:tcW w:w="2970" w:type="pct"/>
            <w:shd w:val="clear" w:color="auto" w:fill="FFFFFF"/>
            <w:vAlign w:val="bottom"/>
          </w:tcPr>
          <w:p w14:paraId="5314E5BF"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678" w:type="pct"/>
            <w:tcBorders>
              <w:bottom w:val="single" w:sz="4" w:space="0" w:color="auto"/>
            </w:tcBorders>
            <w:shd w:val="clear" w:color="auto" w:fill="FFFFFF"/>
            <w:vAlign w:val="bottom"/>
          </w:tcPr>
          <w:p w14:paraId="63BEAD72"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8" w:type="pct"/>
            <w:tcBorders>
              <w:bottom w:val="single" w:sz="4" w:space="0" w:color="auto"/>
            </w:tcBorders>
            <w:shd w:val="clear" w:color="auto" w:fill="FFFFFF"/>
            <w:noWrap/>
            <w:vAlign w:val="bottom"/>
          </w:tcPr>
          <w:p w14:paraId="2510DF2F"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p>
        </w:tc>
        <w:tc>
          <w:tcPr>
            <w:tcW w:w="674" w:type="pct"/>
            <w:tcBorders>
              <w:bottom w:val="single" w:sz="4" w:space="0" w:color="auto"/>
            </w:tcBorders>
            <w:shd w:val="clear" w:color="auto" w:fill="FFFFFF"/>
            <w:vAlign w:val="bottom"/>
          </w:tcPr>
          <w:p w14:paraId="134ECFB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4595C35" w14:textId="77777777" w:rsidTr="00717BA5">
        <w:trPr>
          <w:trHeight w:val="20"/>
        </w:trPr>
        <w:tc>
          <w:tcPr>
            <w:tcW w:w="2970" w:type="pct"/>
            <w:shd w:val="clear" w:color="auto" w:fill="FFFFFF"/>
            <w:vAlign w:val="bottom"/>
          </w:tcPr>
          <w:p w14:paraId="36BECAEB"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Liabilities</w:t>
            </w:r>
          </w:p>
        </w:tc>
        <w:tc>
          <w:tcPr>
            <w:tcW w:w="678" w:type="pct"/>
            <w:tcBorders>
              <w:top w:val="single" w:sz="4" w:space="0" w:color="auto"/>
              <w:bottom w:val="single" w:sz="4" w:space="0" w:color="auto"/>
            </w:tcBorders>
            <w:shd w:val="clear" w:color="auto" w:fill="FFFFFF"/>
            <w:noWrap/>
            <w:vAlign w:val="bottom"/>
          </w:tcPr>
          <w:p w14:paraId="507B61AD"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r w:rsidRPr="00717BA5">
              <w:rPr>
                <w:rFonts w:ascii="Arial" w:eastAsia="SimSun" w:hAnsi="Arial" w:cs="Arial"/>
                <w:b/>
                <w:bCs/>
                <w:color w:val="auto"/>
                <w:sz w:val="18"/>
                <w:szCs w:val="18"/>
                <w:lang w:val="en-AU" w:eastAsia="en-US"/>
              </w:rPr>
              <w:t>8,753</w:t>
            </w:r>
          </w:p>
        </w:tc>
        <w:tc>
          <w:tcPr>
            <w:tcW w:w="678" w:type="pct"/>
            <w:tcBorders>
              <w:top w:val="single" w:sz="4" w:space="0" w:color="auto"/>
              <w:bottom w:val="single" w:sz="4" w:space="0" w:color="auto"/>
            </w:tcBorders>
            <w:shd w:val="clear" w:color="auto" w:fill="FFFFFF"/>
            <w:noWrap/>
            <w:vAlign w:val="bottom"/>
          </w:tcPr>
          <w:p w14:paraId="285F0E8E" w14:textId="77777777" w:rsidR="00717BA5" w:rsidRPr="00717BA5" w:rsidRDefault="00717BA5" w:rsidP="00717BA5">
            <w:pPr>
              <w:spacing w:after="0" w:line="240" w:lineRule="auto"/>
              <w:jc w:val="right"/>
              <w:rPr>
                <w:rFonts w:ascii="Arial" w:eastAsia="Calibri" w:hAnsi="Arial" w:cs="Arial"/>
                <w:b/>
                <w:color w:val="000000"/>
                <w:sz w:val="18"/>
                <w:szCs w:val="18"/>
                <w:lang w:val="en-AU" w:eastAsia="en-US"/>
              </w:rPr>
            </w:pPr>
            <w:r w:rsidRPr="00717BA5">
              <w:rPr>
                <w:rFonts w:ascii="Arial" w:eastAsia="Calibri" w:hAnsi="Arial" w:cs="Arial"/>
                <w:b/>
                <w:color w:val="000000"/>
                <w:sz w:val="18"/>
                <w:szCs w:val="18"/>
                <w:lang w:val="en-AU" w:eastAsia="en-US"/>
              </w:rPr>
              <w:t>10,288</w:t>
            </w:r>
          </w:p>
        </w:tc>
        <w:tc>
          <w:tcPr>
            <w:tcW w:w="674" w:type="pct"/>
            <w:tcBorders>
              <w:top w:val="single" w:sz="4" w:space="0" w:color="auto"/>
              <w:bottom w:val="single" w:sz="4" w:space="0" w:color="auto"/>
            </w:tcBorders>
            <w:shd w:val="clear" w:color="auto" w:fill="FFFFFF"/>
            <w:noWrap/>
            <w:vAlign w:val="bottom"/>
          </w:tcPr>
          <w:p w14:paraId="61BE15DB"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8,275</w:t>
            </w:r>
          </w:p>
        </w:tc>
      </w:tr>
      <w:tr w:rsidR="00717BA5" w:rsidRPr="00717BA5" w14:paraId="0B3234FE" w14:textId="77777777" w:rsidTr="00717BA5">
        <w:trPr>
          <w:trHeight w:val="20"/>
        </w:trPr>
        <w:tc>
          <w:tcPr>
            <w:tcW w:w="2970" w:type="pct"/>
            <w:shd w:val="clear" w:color="auto" w:fill="FFFFFF"/>
            <w:vAlign w:val="bottom"/>
          </w:tcPr>
          <w:p w14:paraId="03333B71"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78" w:type="pct"/>
            <w:tcBorders>
              <w:bottom w:val="single" w:sz="4" w:space="0" w:color="auto"/>
            </w:tcBorders>
            <w:shd w:val="clear" w:color="auto" w:fill="FFFFFF"/>
            <w:noWrap/>
            <w:vAlign w:val="bottom"/>
          </w:tcPr>
          <w:p w14:paraId="5F7C1DE3"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78" w:type="pct"/>
            <w:tcBorders>
              <w:bottom w:val="single" w:sz="4" w:space="0" w:color="auto"/>
            </w:tcBorders>
            <w:shd w:val="clear" w:color="auto" w:fill="FFFFFF"/>
            <w:noWrap/>
            <w:vAlign w:val="bottom"/>
          </w:tcPr>
          <w:p w14:paraId="37938461"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74" w:type="pct"/>
            <w:tcBorders>
              <w:bottom w:val="single" w:sz="4" w:space="0" w:color="auto"/>
            </w:tcBorders>
            <w:shd w:val="clear" w:color="auto" w:fill="FFFFFF"/>
            <w:noWrap/>
            <w:vAlign w:val="bottom"/>
          </w:tcPr>
          <w:p w14:paraId="314A51D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688D3E62" w14:textId="77777777" w:rsidTr="00717BA5">
        <w:trPr>
          <w:trHeight w:val="20"/>
        </w:trPr>
        <w:tc>
          <w:tcPr>
            <w:tcW w:w="2970" w:type="pct"/>
            <w:shd w:val="clear" w:color="auto" w:fill="FFFFFF"/>
            <w:vAlign w:val="bottom"/>
          </w:tcPr>
          <w:p w14:paraId="2027BB3C"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Net Assets</w:t>
            </w:r>
          </w:p>
        </w:tc>
        <w:tc>
          <w:tcPr>
            <w:tcW w:w="678" w:type="pct"/>
            <w:tcBorders>
              <w:top w:val="single" w:sz="4" w:space="0" w:color="auto"/>
              <w:bottom w:val="double" w:sz="4" w:space="0" w:color="auto"/>
            </w:tcBorders>
            <w:shd w:val="clear" w:color="auto" w:fill="FFFFFF"/>
            <w:vAlign w:val="bottom"/>
          </w:tcPr>
          <w:p w14:paraId="2F46A0CC"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r w:rsidRPr="00717BA5">
              <w:rPr>
                <w:rFonts w:ascii="Arial" w:eastAsia="SimSun" w:hAnsi="Arial" w:cs="Arial"/>
                <w:b/>
                <w:bCs/>
                <w:color w:val="auto"/>
                <w:sz w:val="18"/>
                <w:szCs w:val="18"/>
                <w:lang w:val="en-AU" w:eastAsia="en-US"/>
              </w:rPr>
              <w:t>2,086</w:t>
            </w:r>
          </w:p>
        </w:tc>
        <w:tc>
          <w:tcPr>
            <w:tcW w:w="678" w:type="pct"/>
            <w:tcBorders>
              <w:top w:val="single" w:sz="4" w:space="0" w:color="auto"/>
              <w:bottom w:val="double" w:sz="4" w:space="0" w:color="auto"/>
            </w:tcBorders>
            <w:shd w:val="clear" w:color="auto" w:fill="FFFFFF"/>
            <w:vAlign w:val="bottom"/>
          </w:tcPr>
          <w:p w14:paraId="43938E32"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r w:rsidRPr="00717BA5">
              <w:rPr>
                <w:rFonts w:ascii="Arial" w:eastAsia="Calibri" w:hAnsi="Arial" w:cs="Arial"/>
                <w:b/>
                <w:color w:val="000000"/>
                <w:sz w:val="18"/>
                <w:szCs w:val="18"/>
                <w:lang w:val="en-AU" w:eastAsia="en-US"/>
              </w:rPr>
              <w:t>1,253</w:t>
            </w:r>
          </w:p>
        </w:tc>
        <w:tc>
          <w:tcPr>
            <w:tcW w:w="674" w:type="pct"/>
            <w:tcBorders>
              <w:top w:val="single" w:sz="4" w:space="0" w:color="auto"/>
              <w:bottom w:val="double" w:sz="4" w:space="0" w:color="auto"/>
            </w:tcBorders>
            <w:shd w:val="clear" w:color="auto" w:fill="FFFFFF"/>
            <w:vAlign w:val="bottom"/>
          </w:tcPr>
          <w:p w14:paraId="0EC2F713"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2,252</w:t>
            </w:r>
          </w:p>
        </w:tc>
      </w:tr>
      <w:tr w:rsidR="00717BA5" w:rsidRPr="00717BA5" w14:paraId="1D90E909" w14:textId="77777777" w:rsidTr="00717BA5">
        <w:trPr>
          <w:trHeight w:val="20"/>
        </w:trPr>
        <w:tc>
          <w:tcPr>
            <w:tcW w:w="2970" w:type="pct"/>
            <w:shd w:val="clear" w:color="auto" w:fill="FFFFFF"/>
            <w:vAlign w:val="bottom"/>
          </w:tcPr>
          <w:p w14:paraId="0D9F356F"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678" w:type="pct"/>
            <w:tcBorders>
              <w:top w:val="double" w:sz="4" w:space="0" w:color="auto"/>
            </w:tcBorders>
            <w:shd w:val="clear" w:color="auto" w:fill="FFFFFF"/>
            <w:noWrap/>
            <w:vAlign w:val="bottom"/>
          </w:tcPr>
          <w:p w14:paraId="2FD19228"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p>
        </w:tc>
        <w:tc>
          <w:tcPr>
            <w:tcW w:w="678" w:type="pct"/>
            <w:tcBorders>
              <w:top w:val="double" w:sz="4" w:space="0" w:color="auto"/>
            </w:tcBorders>
            <w:shd w:val="clear" w:color="auto" w:fill="FFFFFF"/>
            <w:noWrap/>
            <w:vAlign w:val="bottom"/>
          </w:tcPr>
          <w:p w14:paraId="15E0D02A"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74" w:type="pct"/>
            <w:tcBorders>
              <w:top w:val="double" w:sz="4" w:space="0" w:color="auto"/>
            </w:tcBorders>
            <w:shd w:val="clear" w:color="auto" w:fill="FFFFFF"/>
            <w:noWrap/>
            <w:vAlign w:val="bottom"/>
          </w:tcPr>
          <w:p w14:paraId="6C9EA79B"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3F1E9AA0" w14:textId="77777777" w:rsidTr="00717BA5">
        <w:trPr>
          <w:trHeight w:val="20"/>
        </w:trPr>
        <w:tc>
          <w:tcPr>
            <w:tcW w:w="2970" w:type="pct"/>
            <w:shd w:val="clear" w:color="auto" w:fill="FFFFFF"/>
            <w:vAlign w:val="bottom"/>
          </w:tcPr>
          <w:p w14:paraId="5B48BE55"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Equity</w:t>
            </w:r>
          </w:p>
        </w:tc>
        <w:tc>
          <w:tcPr>
            <w:tcW w:w="678" w:type="pct"/>
            <w:shd w:val="clear" w:color="auto" w:fill="FFFFFF"/>
            <w:noWrap/>
            <w:vAlign w:val="bottom"/>
          </w:tcPr>
          <w:p w14:paraId="10BAA856" w14:textId="77777777" w:rsidR="00717BA5" w:rsidRPr="00717BA5" w:rsidRDefault="00717BA5" w:rsidP="00717BA5">
            <w:pPr>
              <w:spacing w:after="0" w:line="240" w:lineRule="auto"/>
              <w:jc w:val="right"/>
              <w:rPr>
                <w:rFonts w:ascii="Arial" w:eastAsia="Calibri" w:hAnsi="Arial" w:cs="Arial"/>
                <w:color w:val="000000"/>
                <w:sz w:val="18"/>
                <w:szCs w:val="18"/>
                <w:lang w:val="en-AU" w:eastAsia="en-US"/>
              </w:rPr>
            </w:pPr>
          </w:p>
        </w:tc>
        <w:tc>
          <w:tcPr>
            <w:tcW w:w="678" w:type="pct"/>
            <w:shd w:val="clear" w:color="auto" w:fill="FFFFFF"/>
            <w:noWrap/>
            <w:vAlign w:val="bottom"/>
          </w:tcPr>
          <w:p w14:paraId="63D89C78"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p>
        </w:tc>
        <w:tc>
          <w:tcPr>
            <w:tcW w:w="674" w:type="pct"/>
            <w:shd w:val="clear" w:color="auto" w:fill="FFFFFF"/>
            <w:noWrap/>
            <w:vAlign w:val="bottom"/>
          </w:tcPr>
          <w:p w14:paraId="07F78E6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r>
      <w:tr w:rsidR="00717BA5" w:rsidRPr="00717BA5" w14:paraId="6BD9B6E1" w14:textId="77777777" w:rsidTr="00717BA5">
        <w:trPr>
          <w:trHeight w:val="20"/>
        </w:trPr>
        <w:tc>
          <w:tcPr>
            <w:tcW w:w="2970" w:type="pct"/>
            <w:shd w:val="clear" w:color="auto" w:fill="FFFFFF"/>
            <w:vAlign w:val="bottom"/>
          </w:tcPr>
          <w:p w14:paraId="141EAF1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Accumulated Funds</w:t>
            </w:r>
          </w:p>
        </w:tc>
        <w:tc>
          <w:tcPr>
            <w:tcW w:w="678" w:type="pct"/>
            <w:tcBorders>
              <w:bottom w:val="single" w:sz="4" w:space="0" w:color="auto"/>
            </w:tcBorders>
            <w:shd w:val="clear" w:color="auto" w:fill="FFFFFF"/>
            <w:vAlign w:val="bottom"/>
          </w:tcPr>
          <w:p w14:paraId="7830ADD8"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SimSun" w:hAnsi="Arial" w:cs="Arial"/>
                <w:color w:val="auto"/>
                <w:sz w:val="18"/>
                <w:szCs w:val="18"/>
                <w:lang w:val="en-AU" w:eastAsia="en-US"/>
              </w:rPr>
              <w:t>2,086</w:t>
            </w:r>
          </w:p>
        </w:tc>
        <w:tc>
          <w:tcPr>
            <w:tcW w:w="678" w:type="pct"/>
            <w:tcBorders>
              <w:bottom w:val="single" w:sz="4" w:space="0" w:color="auto"/>
            </w:tcBorders>
            <w:shd w:val="clear" w:color="auto" w:fill="FFFFFF"/>
            <w:vAlign w:val="bottom"/>
          </w:tcPr>
          <w:p w14:paraId="7E8A2E27" w14:textId="77777777" w:rsidR="00717BA5" w:rsidRPr="00717BA5" w:rsidRDefault="00717BA5" w:rsidP="00717BA5">
            <w:pPr>
              <w:spacing w:after="0" w:line="240" w:lineRule="auto"/>
              <w:jc w:val="right"/>
              <w:rPr>
                <w:rFonts w:ascii="Arial" w:eastAsia="Times New Roman" w:hAnsi="Arial" w:cs="Arial"/>
                <w:color w:val="000000"/>
                <w:sz w:val="18"/>
                <w:szCs w:val="18"/>
                <w:lang w:val="en-AU"/>
              </w:rPr>
            </w:pPr>
            <w:r w:rsidRPr="00717BA5">
              <w:rPr>
                <w:rFonts w:ascii="Arial" w:eastAsia="Times New Roman" w:hAnsi="Arial" w:cs="Arial"/>
                <w:color w:val="000000"/>
                <w:sz w:val="18"/>
                <w:szCs w:val="18"/>
                <w:lang w:val="en-AU"/>
              </w:rPr>
              <w:t>1,253</w:t>
            </w:r>
          </w:p>
        </w:tc>
        <w:tc>
          <w:tcPr>
            <w:tcW w:w="674" w:type="pct"/>
            <w:tcBorders>
              <w:bottom w:val="single" w:sz="4" w:space="0" w:color="auto"/>
            </w:tcBorders>
            <w:shd w:val="clear" w:color="auto" w:fill="FFFFFF"/>
            <w:vAlign w:val="bottom"/>
          </w:tcPr>
          <w:p w14:paraId="1619839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Calibri" w:hAnsi="Arial" w:cs="Arial"/>
                <w:color w:val="auto"/>
                <w:sz w:val="18"/>
                <w:szCs w:val="18"/>
                <w:lang w:val="en-AU" w:eastAsia="en-US"/>
              </w:rPr>
              <w:t>2,252</w:t>
            </w:r>
          </w:p>
        </w:tc>
      </w:tr>
      <w:tr w:rsidR="00717BA5" w:rsidRPr="00717BA5" w14:paraId="56ACEC98" w14:textId="77777777" w:rsidTr="00717BA5">
        <w:trPr>
          <w:trHeight w:val="20"/>
        </w:trPr>
        <w:tc>
          <w:tcPr>
            <w:tcW w:w="2970" w:type="pct"/>
            <w:shd w:val="clear" w:color="auto" w:fill="FFFFFF"/>
            <w:vAlign w:val="bottom"/>
          </w:tcPr>
          <w:p w14:paraId="1A49C815"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Equity</w:t>
            </w:r>
          </w:p>
        </w:tc>
        <w:tc>
          <w:tcPr>
            <w:tcW w:w="678" w:type="pct"/>
            <w:tcBorders>
              <w:top w:val="single" w:sz="4" w:space="0" w:color="auto"/>
              <w:bottom w:val="double" w:sz="4" w:space="0" w:color="auto"/>
            </w:tcBorders>
            <w:shd w:val="clear" w:color="auto" w:fill="FFFFFF"/>
            <w:vAlign w:val="bottom"/>
          </w:tcPr>
          <w:p w14:paraId="1B8D884D"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r w:rsidRPr="00717BA5">
              <w:rPr>
                <w:rFonts w:ascii="Arial" w:eastAsia="SimSun" w:hAnsi="Arial" w:cs="Arial"/>
                <w:b/>
                <w:bCs/>
                <w:color w:val="auto"/>
                <w:sz w:val="18"/>
                <w:szCs w:val="18"/>
                <w:lang w:val="en-AU" w:eastAsia="en-US"/>
              </w:rPr>
              <w:t>2,086</w:t>
            </w:r>
          </w:p>
        </w:tc>
        <w:tc>
          <w:tcPr>
            <w:tcW w:w="678" w:type="pct"/>
            <w:tcBorders>
              <w:top w:val="single" w:sz="4" w:space="0" w:color="auto"/>
              <w:bottom w:val="double" w:sz="4" w:space="0" w:color="auto"/>
            </w:tcBorders>
            <w:shd w:val="clear" w:color="auto" w:fill="FFFFFF"/>
            <w:vAlign w:val="bottom"/>
          </w:tcPr>
          <w:p w14:paraId="1FB2AE11" w14:textId="77777777" w:rsidR="00717BA5" w:rsidRPr="00717BA5" w:rsidRDefault="00717BA5" w:rsidP="00717BA5">
            <w:pPr>
              <w:spacing w:after="0" w:line="240" w:lineRule="auto"/>
              <w:jc w:val="right"/>
              <w:rPr>
                <w:rFonts w:ascii="Arial" w:eastAsia="Times New Roman" w:hAnsi="Arial" w:cs="Arial"/>
                <w:b/>
                <w:color w:val="000000"/>
                <w:sz w:val="18"/>
                <w:szCs w:val="18"/>
                <w:lang w:val="en-AU"/>
              </w:rPr>
            </w:pPr>
            <w:r w:rsidRPr="00717BA5">
              <w:rPr>
                <w:rFonts w:ascii="Arial" w:eastAsia="Times New Roman" w:hAnsi="Arial" w:cs="Arial"/>
                <w:b/>
                <w:color w:val="000000"/>
                <w:sz w:val="18"/>
                <w:szCs w:val="18"/>
                <w:lang w:val="en-AU"/>
              </w:rPr>
              <w:t>1,253</w:t>
            </w:r>
          </w:p>
        </w:tc>
        <w:tc>
          <w:tcPr>
            <w:tcW w:w="674" w:type="pct"/>
            <w:tcBorders>
              <w:top w:val="single" w:sz="4" w:space="0" w:color="auto"/>
              <w:bottom w:val="double" w:sz="4" w:space="0" w:color="auto"/>
            </w:tcBorders>
            <w:shd w:val="clear" w:color="auto" w:fill="FFFFFF"/>
            <w:vAlign w:val="bottom"/>
          </w:tcPr>
          <w:p w14:paraId="24CC8F94"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Calibri" w:hAnsi="Arial" w:cs="Arial"/>
                <w:b/>
                <w:color w:val="auto"/>
                <w:sz w:val="18"/>
                <w:szCs w:val="18"/>
                <w:lang w:val="en-AU" w:eastAsia="en-US"/>
              </w:rPr>
              <w:t>2,252</w:t>
            </w:r>
          </w:p>
        </w:tc>
      </w:tr>
    </w:tbl>
    <w:p w14:paraId="42FD562A" w14:textId="77777777" w:rsidR="00717BA5" w:rsidRPr="00717BA5" w:rsidRDefault="00717BA5" w:rsidP="00717BA5">
      <w:pPr>
        <w:tabs>
          <w:tab w:val="left" w:pos="3780"/>
        </w:tabs>
        <w:spacing w:after="40" w:line="240" w:lineRule="auto"/>
        <w:ind w:firstLine="2880"/>
        <w:jc w:val="both"/>
        <w:rPr>
          <w:rFonts w:ascii="Arial" w:eastAsia="Times New Roman" w:hAnsi="Arial" w:cs="Arial"/>
          <w:b/>
          <w:bCs/>
          <w:color w:val="auto"/>
          <w:sz w:val="18"/>
          <w:szCs w:val="18"/>
          <w:lang w:val="en-AU"/>
        </w:rPr>
      </w:pPr>
    </w:p>
    <w:p w14:paraId="0BDF6606"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br w:type="page"/>
      </w:r>
    </w:p>
    <w:p w14:paraId="1459A2B7" w14:textId="77777777" w:rsidR="00717BA5" w:rsidRPr="00717BA5" w:rsidRDefault="00717BA5" w:rsidP="00717BA5">
      <w:pPr>
        <w:tabs>
          <w:tab w:val="left" w:pos="3780"/>
        </w:tabs>
        <w:spacing w:after="40" w:line="240" w:lineRule="auto"/>
        <w:ind w:firstLine="2880"/>
        <w:jc w:val="both"/>
        <w:rPr>
          <w:rFonts w:ascii="Arial" w:eastAsia="Times New Roman" w:hAnsi="Arial" w:cs="Arial"/>
          <w:b/>
          <w:bCs/>
          <w:color w:val="auto"/>
          <w:sz w:val="18"/>
          <w:szCs w:val="18"/>
          <w:lang w:val="en-AU"/>
        </w:rPr>
      </w:pPr>
    </w:p>
    <w:p w14:paraId="4DC3F23D" w14:textId="77777777" w:rsidR="00717BA5" w:rsidRPr="00717BA5" w:rsidRDefault="00717BA5" w:rsidP="00717BA5">
      <w:pPr>
        <w:keepNext/>
        <w:spacing w:after="240" w:line="240" w:lineRule="auto"/>
        <w:jc w:val="both"/>
        <w:outlineLvl w:val="1"/>
        <w:rPr>
          <w:rFonts w:ascii="Arial" w:eastAsia="Times New Roman" w:hAnsi="Arial" w:cs="Arial"/>
          <w:b/>
          <w:bCs/>
          <w:color w:val="auto"/>
          <w:sz w:val="24"/>
          <w:szCs w:val="24"/>
          <w:lang w:val="en-AU"/>
        </w:rPr>
      </w:pPr>
      <w:bookmarkStart w:id="125" w:name="_Toc240533539"/>
      <w:r w:rsidRPr="00717BA5">
        <w:rPr>
          <w:rFonts w:ascii="Arial" w:eastAsia="Times New Roman" w:hAnsi="Arial" w:cs="Arial"/>
          <w:b/>
          <w:bCs/>
          <w:color w:val="auto"/>
          <w:sz w:val="24"/>
          <w:szCs w:val="24"/>
          <w:lang w:val="en-AU"/>
        </w:rPr>
        <w:t>NOTE 18.   FINANCIAL INSTRUMENTS</w:t>
      </w:r>
      <w:bookmarkEnd w:id="125"/>
    </w:p>
    <w:p w14:paraId="7130EAFE"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Material Accounting Policies Relating to Financial Instruments</w:t>
      </w:r>
    </w:p>
    <w:p w14:paraId="7CB4147F"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Details of the material accounting policies and methods adopted, including the criteria for recognition, the basis of measurement, and the basis on which income and expenses are recognised, with respect to each class of financial assets and financial liabilities, are disclosed in the note to which these amounts relate. In addition, the following accounting policies also relate to the reporting of financial assets and liabilities.</w:t>
      </w:r>
    </w:p>
    <w:p w14:paraId="238340A7"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Financial assets are subsequently measured at amortised cost, fair value through other comprehensive income or fair value through profit or loss on the basis of both:</w:t>
      </w:r>
    </w:p>
    <w:p w14:paraId="7D540B86" w14:textId="77777777" w:rsidR="00717BA5" w:rsidRPr="00717BA5" w:rsidRDefault="00717BA5" w:rsidP="00070544">
      <w:pPr>
        <w:numPr>
          <w:ilvl w:val="0"/>
          <w:numId w:val="106"/>
        </w:numPr>
        <w:spacing w:after="120"/>
        <w:ind w:left="357" w:hanging="357"/>
        <w:jc w:val="both"/>
        <w:rPr>
          <w:rFonts w:ascii="Arial" w:eastAsia="Times New Roman" w:hAnsi="Arial" w:cs="Arial"/>
          <w:color w:val="auto"/>
          <w:lang w:val="en-AU"/>
        </w:rPr>
      </w:pPr>
      <w:r w:rsidRPr="00717BA5">
        <w:rPr>
          <w:rFonts w:ascii="Arial" w:eastAsia="Times New Roman" w:hAnsi="Arial" w:cs="Arial"/>
          <w:color w:val="auto"/>
          <w:lang w:val="en-AU"/>
        </w:rPr>
        <w:t>the business model for managing the financial assets and</w:t>
      </w:r>
    </w:p>
    <w:p w14:paraId="1C4B111D" w14:textId="77777777" w:rsidR="00717BA5" w:rsidRPr="00717BA5" w:rsidRDefault="00717BA5" w:rsidP="00F05F81">
      <w:pPr>
        <w:numPr>
          <w:ilvl w:val="0"/>
          <w:numId w:val="106"/>
        </w:numPr>
        <w:spacing w:after="120"/>
        <w:ind w:left="357" w:hanging="357"/>
        <w:jc w:val="both"/>
        <w:rPr>
          <w:rFonts w:ascii="Arial" w:eastAsia="Times New Roman" w:hAnsi="Arial" w:cs="Arial"/>
          <w:color w:val="auto"/>
          <w:lang w:val="en-AU"/>
        </w:rPr>
      </w:pPr>
      <w:r w:rsidRPr="00717BA5">
        <w:rPr>
          <w:rFonts w:ascii="Arial" w:eastAsia="Times New Roman" w:hAnsi="Arial" w:cs="Arial"/>
          <w:color w:val="auto"/>
          <w:lang w:val="en-AU"/>
        </w:rPr>
        <w:t>the contractual cash flow characteristics of the financial assets.</w:t>
      </w:r>
    </w:p>
    <w:p w14:paraId="06DC3BB6"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Financial liabilities are measured at amortised cost.</w:t>
      </w:r>
    </w:p>
    <w:p w14:paraId="49EB751B" w14:textId="77777777" w:rsidR="00717BA5" w:rsidRPr="00717BA5" w:rsidRDefault="00717BA5" w:rsidP="00717BA5">
      <w:pPr>
        <w:adjustRightInd w:val="0"/>
        <w:snapToGrid w:val="0"/>
        <w:rPr>
          <w:rFonts w:ascii="Arial" w:eastAsia="Times New Roman" w:hAnsi="Arial" w:cs="Arial"/>
          <w:color w:val="auto"/>
          <w:lang w:val="en-AU"/>
        </w:rPr>
      </w:pPr>
      <w:r w:rsidRPr="00717BA5" w:rsidDel="002870AE">
        <w:rPr>
          <w:rFonts w:ascii="Arial" w:eastAsia="Times New Roman" w:hAnsi="Arial" w:cs="Arial"/>
          <w:color w:val="auto"/>
          <w:lang w:val="en-AU"/>
        </w:rPr>
        <w:t xml:space="preserve">The following are the classifications of ACT Leave’s financial assets </w:t>
      </w:r>
      <w:r w:rsidRPr="00717BA5">
        <w:rPr>
          <w:rFonts w:ascii="Arial" w:eastAsia="Times New Roman" w:hAnsi="Arial" w:cs="Arial"/>
          <w:color w:val="auto"/>
          <w:lang w:val="en-AU"/>
        </w:rPr>
        <w:t xml:space="preserve">under AASB 9 </w:t>
      </w:r>
      <w:r w:rsidRPr="00717BA5">
        <w:rPr>
          <w:rFonts w:ascii="Arial" w:eastAsia="Times New Roman" w:hAnsi="Arial" w:cs="Arial"/>
          <w:i/>
          <w:iCs/>
          <w:color w:val="auto"/>
          <w:lang w:val="en-AU"/>
        </w:rPr>
        <w:t>Financial Instruments</w:t>
      </w:r>
      <w:r w:rsidRPr="00717BA5">
        <w:rPr>
          <w:rFonts w:ascii="Arial" w:eastAsia="Times New Roman" w:hAnsi="Arial" w:cs="Arial"/>
          <w:color w:val="auto"/>
          <w:lang w:val="en-AU"/>
        </w:rPr>
        <w:t>:</w:t>
      </w:r>
    </w:p>
    <w:p w14:paraId="68F86B4A"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tbl>
      <w:tblPr>
        <w:tblW w:w="5000" w:type="pct"/>
        <w:tblLook w:val="00A0" w:firstRow="1" w:lastRow="0" w:firstColumn="1" w:lastColumn="0" w:noHBand="0" w:noVBand="0"/>
      </w:tblPr>
      <w:tblGrid>
        <w:gridCol w:w="2562"/>
        <w:gridCol w:w="2408"/>
        <w:gridCol w:w="2412"/>
        <w:gridCol w:w="2567"/>
      </w:tblGrid>
      <w:tr w:rsidR="00717BA5" w:rsidRPr="00717BA5" w14:paraId="2AC07809" w14:textId="77777777" w:rsidTr="00F0752D">
        <w:trPr>
          <w:cantSplit/>
          <w:trHeight w:val="23"/>
        </w:trPr>
        <w:tc>
          <w:tcPr>
            <w:tcW w:w="1288" w:type="pct"/>
            <w:vAlign w:val="bottom"/>
            <w:hideMark/>
          </w:tcPr>
          <w:p w14:paraId="1D38F7F6" w14:textId="77777777" w:rsidR="00717BA5" w:rsidRPr="00717BA5" w:rsidRDefault="00717BA5" w:rsidP="00717BA5">
            <w:pPr>
              <w:keepNext/>
              <w:tabs>
                <w:tab w:val="left" w:pos="720"/>
              </w:tabs>
              <w:spacing w:before="120" w:after="120" w:line="240" w:lineRule="auto"/>
              <w:outlineLvl w:val="0"/>
              <w:rPr>
                <w:rFonts w:ascii="Arial" w:eastAsia="Times New Roman" w:hAnsi="Arial" w:cs="Arial"/>
                <w:b/>
                <w:bCs/>
                <w:color w:val="auto"/>
                <w:kern w:val="32"/>
                <w:sz w:val="18"/>
                <w:szCs w:val="18"/>
                <w:lang w:val="en-AU" w:eastAsia="en-US"/>
              </w:rPr>
            </w:pPr>
            <w:bookmarkStart w:id="126" w:name="_Toc98763162"/>
            <w:bookmarkStart w:id="127" w:name="_Toc240533540"/>
            <w:r w:rsidRPr="00717BA5">
              <w:rPr>
                <w:rFonts w:ascii="Arial" w:eastAsia="Times New Roman" w:hAnsi="Arial" w:cs="Arial"/>
                <w:b/>
                <w:bCs/>
                <w:color w:val="auto"/>
                <w:kern w:val="32"/>
                <w:sz w:val="18"/>
                <w:szCs w:val="18"/>
                <w:lang w:val="en-AU" w:eastAsia="en-US"/>
              </w:rPr>
              <w:t>Items</w:t>
            </w:r>
            <w:bookmarkEnd w:id="126"/>
            <w:bookmarkEnd w:id="127"/>
          </w:p>
        </w:tc>
        <w:tc>
          <w:tcPr>
            <w:tcW w:w="1210" w:type="pct"/>
            <w:vAlign w:val="bottom"/>
            <w:hideMark/>
          </w:tcPr>
          <w:p w14:paraId="2D8D586F" w14:textId="77777777" w:rsidR="00717BA5" w:rsidRPr="00717BA5" w:rsidRDefault="00717BA5" w:rsidP="00717BA5">
            <w:pPr>
              <w:keepNext/>
              <w:tabs>
                <w:tab w:val="left" w:pos="720"/>
              </w:tabs>
              <w:spacing w:before="120" w:after="0" w:line="240" w:lineRule="auto"/>
              <w:jc w:val="center"/>
              <w:outlineLvl w:val="0"/>
              <w:rPr>
                <w:rFonts w:ascii="Arial" w:eastAsia="Times New Roman" w:hAnsi="Arial" w:cs="Arial"/>
                <w:b/>
                <w:bCs/>
                <w:color w:val="auto"/>
                <w:kern w:val="32"/>
                <w:sz w:val="18"/>
                <w:szCs w:val="18"/>
                <w:lang w:val="en-AU" w:eastAsia="en-US"/>
              </w:rPr>
            </w:pPr>
            <w:bookmarkStart w:id="128" w:name="_Toc98763163"/>
            <w:bookmarkStart w:id="129" w:name="_Toc240533541"/>
            <w:r w:rsidRPr="00717BA5">
              <w:rPr>
                <w:rFonts w:ascii="Arial" w:eastAsia="Times New Roman" w:hAnsi="Arial" w:cs="Arial"/>
                <w:b/>
                <w:bCs/>
                <w:color w:val="auto"/>
                <w:kern w:val="32"/>
                <w:sz w:val="18"/>
                <w:szCs w:val="18"/>
                <w:lang w:val="en-AU" w:eastAsia="en-US"/>
              </w:rPr>
              <w:t>Business Model</w:t>
            </w:r>
            <w:bookmarkEnd w:id="128"/>
            <w:bookmarkEnd w:id="129"/>
          </w:p>
          <w:p w14:paraId="2286596A" w14:textId="77777777" w:rsidR="00717BA5" w:rsidRPr="00717BA5" w:rsidRDefault="00717BA5" w:rsidP="00717BA5">
            <w:pPr>
              <w:keepNext/>
              <w:tabs>
                <w:tab w:val="left" w:pos="720"/>
              </w:tabs>
              <w:spacing w:after="120" w:line="240" w:lineRule="auto"/>
              <w:jc w:val="center"/>
              <w:outlineLvl w:val="0"/>
              <w:rPr>
                <w:rFonts w:ascii="Arial" w:eastAsia="Times New Roman" w:hAnsi="Arial" w:cs="Arial"/>
                <w:b/>
                <w:bCs/>
                <w:caps/>
                <w:color w:val="auto"/>
                <w:kern w:val="32"/>
                <w:sz w:val="18"/>
                <w:szCs w:val="18"/>
                <w:lang w:val="en-AU" w:eastAsia="en-US"/>
              </w:rPr>
            </w:pPr>
            <w:bookmarkStart w:id="130" w:name="_Toc98763164"/>
            <w:bookmarkStart w:id="131" w:name="_Toc240533542"/>
            <w:r w:rsidRPr="00717BA5">
              <w:rPr>
                <w:rFonts w:ascii="Arial" w:eastAsia="Times New Roman" w:hAnsi="Arial" w:cs="Arial"/>
                <w:b/>
                <w:bCs/>
                <w:color w:val="auto"/>
                <w:kern w:val="32"/>
                <w:sz w:val="18"/>
                <w:szCs w:val="18"/>
                <w:lang w:val="en-AU" w:eastAsia="en-US"/>
              </w:rPr>
              <w:t>Held to collect principal and interest/sell</w:t>
            </w:r>
            <w:bookmarkEnd w:id="130"/>
            <w:bookmarkEnd w:id="131"/>
          </w:p>
        </w:tc>
        <w:tc>
          <w:tcPr>
            <w:tcW w:w="1212" w:type="pct"/>
            <w:vAlign w:val="bottom"/>
            <w:hideMark/>
          </w:tcPr>
          <w:p w14:paraId="17210F1A" w14:textId="77777777" w:rsidR="00717BA5" w:rsidRPr="00717BA5" w:rsidRDefault="00717BA5" w:rsidP="00717BA5">
            <w:pPr>
              <w:keepNext/>
              <w:tabs>
                <w:tab w:val="left" w:pos="720"/>
              </w:tabs>
              <w:spacing w:before="120" w:after="120" w:line="240" w:lineRule="auto"/>
              <w:jc w:val="center"/>
              <w:outlineLvl w:val="0"/>
              <w:rPr>
                <w:rFonts w:ascii="Arial" w:eastAsia="Times New Roman" w:hAnsi="Arial" w:cs="Arial"/>
                <w:b/>
                <w:bCs/>
                <w:caps/>
                <w:color w:val="auto"/>
                <w:kern w:val="32"/>
                <w:sz w:val="18"/>
                <w:szCs w:val="18"/>
                <w:lang w:val="en-AU" w:eastAsia="en-US"/>
              </w:rPr>
            </w:pPr>
            <w:bookmarkStart w:id="132" w:name="_Toc98763165"/>
            <w:bookmarkStart w:id="133" w:name="_Toc240533543"/>
            <w:r w:rsidRPr="00717BA5">
              <w:rPr>
                <w:rFonts w:ascii="Arial" w:eastAsia="Times New Roman" w:hAnsi="Arial" w:cs="Arial"/>
                <w:b/>
                <w:bCs/>
                <w:color w:val="auto"/>
                <w:kern w:val="32"/>
                <w:sz w:val="18"/>
                <w:szCs w:val="18"/>
                <w:lang w:val="en-AU" w:eastAsia="en-US"/>
              </w:rPr>
              <w:t>Solely for payment of Principal and Interest SPPI Test (basic lending characteristics</w:t>
            </w:r>
            <w:r w:rsidRPr="00717BA5">
              <w:rPr>
                <w:rFonts w:ascii="Arial" w:eastAsia="Times New Roman" w:hAnsi="Arial" w:cs="Arial"/>
                <w:b/>
                <w:bCs/>
                <w:caps/>
                <w:color w:val="auto"/>
                <w:kern w:val="32"/>
                <w:sz w:val="18"/>
                <w:szCs w:val="18"/>
                <w:lang w:val="en-AU" w:eastAsia="en-US"/>
              </w:rPr>
              <w:t>)</w:t>
            </w:r>
            <w:bookmarkEnd w:id="132"/>
            <w:bookmarkEnd w:id="133"/>
          </w:p>
        </w:tc>
        <w:tc>
          <w:tcPr>
            <w:tcW w:w="1290" w:type="pct"/>
            <w:vAlign w:val="bottom"/>
            <w:hideMark/>
          </w:tcPr>
          <w:p w14:paraId="6A4D18E2" w14:textId="77777777" w:rsidR="00717BA5" w:rsidRPr="00717BA5" w:rsidRDefault="00717BA5" w:rsidP="00717BA5">
            <w:pPr>
              <w:keepNext/>
              <w:tabs>
                <w:tab w:val="left" w:pos="720"/>
              </w:tabs>
              <w:spacing w:before="120" w:after="120" w:line="240" w:lineRule="auto"/>
              <w:jc w:val="center"/>
              <w:outlineLvl w:val="0"/>
              <w:rPr>
                <w:rFonts w:ascii="Arial" w:eastAsia="Times New Roman" w:hAnsi="Arial" w:cs="Arial"/>
                <w:b/>
                <w:bCs/>
                <w:color w:val="auto"/>
                <w:kern w:val="32"/>
                <w:sz w:val="18"/>
                <w:szCs w:val="18"/>
                <w:lang w:val="en-AU" w:eastAsia="en-US"/>
              </w:rPr>
            </w:pPr>
            <w:bookmarkStart w:id="134" w:name="_Toc98763166"/>
            <w:bookmarkStart w:id="135" w:name="_Toc240533544"/>
            <w:r w:rsidRPr="00717BA5">
              <w:rPr>
                <w:rFonts w:ascii="Arial" w:eastAsia="Times New Roman" w:hAnsi="Arial" w:cs="Arial"/>
                <w:b/>
                <w:bCs/>
                <w:color w:val="auto"/>
                <w:kern w:val="32"/>
                <w:sz w:val="18"/>
                <w:szCs w:val="18"/>
                <w:lang w:val="en-AU" w:eastAsia="en-US"/>
              </w:rPr>
              <w:t>Classification</w:t>
            </w:r>
            <w:bookmarkEnd w:id="134"/>
            <w:bookmarkEnd w:id="135"/>
          </w:p>
        </w:tc>
      </w:tr>
      <w:tr w:rsidR="00717BA5" w:rsidRPr="00717BA5" w14:paraId="15AACD17" w14:textId="77777777" w:rsidTr="00F0752D">
        <w:trPr>
          <w:cantSplit/>
          <w:trHeight w:val="23"/>
        </w:trPr>
        <w:tc>
          <w:tcPr>
            <w:tcW w:w="1288" w:type="pct"/>
            <w:hideMark/>
          </w:tcPr>
          <w:p w14:paraId="34C9B442"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Cash</w:t>
            </w:r>
          </w:p>
        </w:tc>
        <w:tc>
          <w:tcPr>
            <w:tcW w:w="1210" w:type="pct"/>
            <w:hideMark/>
          </w:tcPr>
          <w:p w14:paraId="39150A4A"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Held to collect</w:t>
            </w:r>
          </w:p>
        </w:tc>
        <w:tc>
          <w:tcPr>
            <w:tcW w:w="1212" w:type="pct"/>
            <w:hideMark/>
          </w:tcPr>
          <w:p w14:paraId="77388934"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Yes</w:t>
            </w:r>
          </w:p>
        </w:tc>
        <w:tc>
          <w:tcPr>
            <w:tcW w:w="1290" w:type="pct"/>
            <w:hideMark/>
          </w:tcPr>
          <w:p w14:paraId="4EF4854D"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Amortised cost</w:t>
            </w:r>
          </w:p>
        </w:tc>
      </w:tr>
      <w:tr w:rsidR="00717BA5" w:rsidRPr="00717BA5" w14:paraId="1FFAC742" w14:textId="77777777" w:rsidTr="00F0752D">
        <w:trPr>
          <w:cantSplit/>
          <w:trHeight w:val="23"/>
        </w:trPr>
        <w:tc>
          <w:tcPr>
            <w:tcW w:w="1288" w:type="pct"/>
          </w:tcPr>
          <w:p w14:paraId="548AB755"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Receivables</w:t>
            </w:r>
          </w:p>
        </w:tc>
        <w:tc>
          <w:tcPr>
            <w:tcW w:w="1210" w:type="pct"/>
          </w:tcPr>
          <w:p w14:paraId="68A818C2"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Held to collect</w:t>
            </w:r>
          </w:p>
        </w:tc>
        <w:tc>
          <w:tcPr>
            <w:tcW w:w="1212" w:type="pct"/>
          </w:tcPr>
          <w:p w14:paraId="13CAC55D"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Yes</w:t>
            </w:r>
          </w:p>
        </w:tc>
        <w:tc>
          <w:tcPr>
            <w:tcW w:w="1290" w:type="pct"/>
          </w:tcPr>
          <w:p w14:paraId="65023010"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Amortised cost</w:t>
            </w:r>
          </w:p>
        </w:tc>
      </w:tr>
      <w:tr w:rsidR="00717BA5" w:rsidRPr="00717BA5" w14:paraId="71C58A49" w14:textId="77777777" w:rsidTr="00F0752D">
        <w:trPr>
          <w:cantSplit/>
          <w:trHeight w:val="23"/>
        </w:trPr>
        <w:tc>
          <w:tcPr>
            <w:tcW w:w="1288" w:type="pct"/>
            <w:hideMark/>
          </w:tcPr>
          <w:p w14:paraId="72BAE299"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Accrued Revenue</w:t>
            </w:r>
          </w:p>
        </w:tc>
        <w:tc>
          <w:tcPr>
            <w:tcW w:w="1210" w:type="pct"/>
            <w:hideMark/>
          </w:tcPr>
          <w:p w14:paraId="06940D8F"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Held to collect</w:t>
            </w:r>
          </w:p>
        </w:tc>
        <w:tc>
          <w:tcPr>
            <w:tcW w:w="1212" w:type="pct"/>
            <w:hideMark/>
          </w:tcPr>
          <w:p w14:paraId="78D8D1BB"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Yes</w:t>
            </w:r>
          </w:p>
        </w:tc>
        <w:tc>
          <w:tcPr>
            <w:tcW w:w="1290" w:type="pct"/>
            <w:hideMark/>
          </w:tcPr>
          <w:p w14:paraId="30F2E846"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Amortised cost</w:t>
            </w:r>
          </w:p>
        </w:tc>
      </w:tr>
      <w:tr w:rsidR="00717BA5" w:rsidRPr="00717BA5" w14:paraId="6EEC867C" w14:textId="77777777" w:rsidTr="00F0752D">
        <w:trPr>
          <w:cantSplit/>
          <w:trHeight w:val="23"/>
        </w:trPr>
        <w:tc>
          <w:tcPr>
            <w:tcW w:w="1288" w:type="pct"/>
            <w:hideMark/>
          </w:tcPr>
          <w:p w14:paraId="42570FF3"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Investments</w:t>
            </w:r>
          </w:p>
        </w:tc>
        <w:tc>
          <w:tcPr>
            <w:tcW w:w="1210" w:type="pct"/>
            <w:hideMark/>
          </w:tcPr>
          <w:p w14:paraId="210BB9D1"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Held to collect /&amp; sell</w:t>
            </w:r>
          </w:p>
        </w:tc>
        <w:tc>
          <w:tcPr>
            <w:tcW w:w="1212" w:type="pct"/>
            <w:hideMark/>
          </w:tcPr>
          <w:p w14:paraId="59E446EA"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No</w:t>
            </w:r>
          </w:p>
        </w:tc>
        <w:tc>
          <w:tcPr>
            <w:tcW w:w="1290" w:type="pct"/>
            <w:hideMark/>
          </w:tcPr>
          <w:p w14:paraId="25815D7F"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FVTPL</w:t>
            </w:r>
          </w:p>
        </w:tc>
      </w:tr>
    </w:tbl>
    <w:p w14:paraId="02F0297A" w14:textId="77777777" w:rsidR="00717BA5" w:rsidRPr="00717BA5" w:rsidRDefault="00717BA5" w:rsidP="00717BA5">
      <w:pPr>
        <w:adjustRightInd w:val="0"/>
        <w:snapToGrid w:val="0"/>
        <w:spacing w:before="240"/>
        <w:rPr>
          <w:rFonts w:ascii="Arial" w:eastAsia="Times New Roman" w:hAnsi="Arial" w:cs="Arial"/>
          <w:b/>
          <w:bCs/>
          <w:color w:val="auto"/>
          <w:lang w:val="en-AU"/>
        </w:rPr>
      </w:pPr>
      <w:r w:rsidRPr="00717BA5">
        <w:rPr>
          <w:rFonts w:ascii="Arial" w:eastAsia="Times New Roman" w:hAnsi="Arial" w:cs="Arial"/>
          <w:b/>
          <w:bCs/>
          <w:color w:val="auto"/>
          <w:lang w:val="en-AU"/>
        </w:rPr>
        <w:t>Interest Rate Risk</w:t>
      </w:r>
    </w:p>
    <w:p w14:paraId="5273EC7C"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Interest rate risk is the risk that the fair value or future cash flows of a financial instrument will fluctuate because of changes in market interest rates.</w:t>
      </w:r>
    </w:p>
    <w:p w14:paraId="44442F9C"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ACT Leave's exposure to interest rate risk is limited mainly to its cash which is subject to variable interest rates. ACT Leave's cash is minimal in comparison to other financial asset balances and any movements in interest rates would not have a material impact on the Operating Statement. The cash component in ACT Leave’s funds under management is managed by the external fund manager, Vanguard Australia, by maintaining the fixed-term deposits and debt securities in high-quality, short-term money markets and by continuously monitoring the market trends to produce a portfolio return broadly in line with that of the benchmark. As a result, interest rate risk is not actively managed by ACT Leave.</w:t>
      </w:r>
    </w:p>
    <w:p w14:paraId="06E346FF" w14:textId="77777777" w:rsidR="00717BA5" w:rsidRPr="00717BA5" w:rsidRDefault="00717BA5" w:rsidP="00717BA5">
      <w:pPr>
        <w:adjustRightInd w:val="0"/>
        <w:snapToGrid w:val="0"/>
        <w:rPr>
          <w:rFonts w:ascii="Arial" w:eastAsia="Times New Roman" w:hAnsi="Arial" w:cs="Arial"/>
          <w:i/>
          <w:color w:val="auto"/>
          <w:sz w:val="18"/>
          <w:szCs w:val="18"/>
          <w:lang w:val="en-AU"/>
        </w:rPr>
      </w:pPr>
      <w:r w:rsidRPr="00717BA5">
        <w:rPr>
          <w:rFonts w:ascii="Arial" w:eastAsia="Times New Roman" w:hAnsi="Arial" w:cs="Arial"/>
          <w:i/>
          <w:iCs/>
          <w:color w:val="auto"/>
          <w:lang w:val="en-AU"/>
        </w:rPr>
        <w:t>Sensitivity Analysis</w:t>
      </w:r>
    </w:p>
    <w:p w14:paraId="58275783"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 xml:space="preserve">A sensitivity analysis has not been undertaken for ACT Leave’s interest rate risk as </w:t>
      </w:r>
      <w:r w:rsidRPr="00717BA5" w:rsidDel="00F51868">
        <w:rPr>
          <w:rFonts w:ascii="Arial" w:eastAsia="Times New Roman" w:hAnsi="Arial" w:cs="Arial"/>
          <w:color w:val="auto"/>
          <w:lang w:val="en-AU"/>
        </w:rPr>
        <w:t xml:space="preserve">it has been determined that </w:t>
      </w:r>
      <w:r w:rsidRPr="00717BA5">
        <w:rPr>
          <w:rFonts w:ascii="Arial" w:eastAsia="Times New Roman" w:hAnsi="Arial" w:cs="Arial"/>
          <w:color w:val="auto"/>
          <w:lang w:val="en-AU"/>
        </w:rPr>
        <w:t>the possible impact on income and expenses or total equity from fluctuations in interest rates is not financially material.</w:t>
      </w:r>
    </w:p>
    <w:p w14:paraId="7855233D"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b/>
          <w:bCs/>
          <w:color w:val="auto"/>
          <w:lang w:val="en-AU"/>
        </w:rPr>
        <w:t>Credit Risk</w:t>
      </w:r>
    </w:p>
    <w:p w14:paraId="7535D584"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Credit risk is the risk that one party to a financial instrument will fail to discharge an obligation and cause the other party to incur a financial loss. ACT Leave's credit risk is limited to the amount of the financial assets it holds.</w:t>
      </w:r>
    </w:p>
    <w:p w14:paraId="2D4D1A9F"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p w14:paraId="02030E5F" w14:textId="77777777" w:rsidR="00717BA5" w:rsidRPr="00717BA5" w:rsidRDefault="00717BA5" w:rsidP="00717BA5">
      <w:pPr>
        <w:spacing w:after="0" w:line="240" w:lineRule="auto"/>
        <w:jc w:val="both"/>
        <w:rPr>
          <w:rFonts w:ascii="Arial" w:eastAsia="Times New Roman" w:hAnsi="Arial" w:cs="Arial"/>
          <w:b/>
          <w:bCs/>
          <w:color w:val="auto"/>
          <w:sz w:val="18"/>
          <w:szCs w:val="18"/>
          <w:lang w:val="en-AU"/>
        </w:rPr>
      </w:pPr>
    </w:p>
    <w:p w14:paraId="4A4B065D" w14:textId="77777777" w:rsidR="00717BA5" w:rsidRPr="00717BA5" w:rsidRDefault="00717BA5" w:rsidP="00717BA5">
      <w:pPr>
        <w:keepNext/>
        <w:spacing w:after="0" w:line="240" w:lineRule="auto"/>
        <w:outlineLvl w:val="1"/>
        <w:rPr>
          <w:rFonts w:ascii="Arial" w:eastAsia="Times New Roman" w:hAnsi="Arial" w:cs="Arial"/>
          <w:b/>
          <w:bCs/>
          <w:color w:val="auto"/>
          <w:sz w:val="24"/>
          <w:szCs w:val="24"/>
          <w:lang w:val="en-AU"/>
        </w:rPr>
      </w:pPr>
    </w:p>
    <w:p w14:paraId="3B3FEBF0" w14:textId="77777777" w:rsidR="00717BA5" w:rsidRPr="00717BA5" w:rsidRDefault="00717BA5" w:rsidP="00717BA5">
      <w:pPr>
        <w:keepNext/>
        <w:spacing w:after="240" w:line="240" w:lineRule="auto"/>
        <w:outlineLvl w:val="1"/>
        <w:rPr>
          <w:rFonts w:ascii="Arial" w:eastAsia="Times New Roman" w:hAnsi="Arial" w:cs="Arial"/>
          <w:b/>
          <w:bCs/>
          <w:color w:val="auto"/>
          <w:sz w:val="24"/>
          <w:szCs w:val="24"/>
          <w:lang w:val="en-AU"/>
        </w:rPr>
      </w:pPr>
      <w:bookmarkStart w:id="136" w:name="_Toc240533545"/>
      <w:r w:rsidRPr="00717BA5">
        <w:rPr>
          <w:rFonts w:ascii="Arial" w:eastAsia="Times New Roman" w:hAnsi="Arial" w:cs="Arial"/>
          <w:b/>
          <w:bCs/>
          <w:color w:val="auto"/>
          <w:sz w:val="24"/>
          <w:szCs w:val="24"/>
          <w:lang w:val="en-AU"/>
        </w:rPr>
        <w:t>NOTE 18.   FINANCIAL INSTRUMENTS - CONTINUED</w:t>
      </w:r>
      <w:bookmarkEnd w:id="136"/>
    </w:p>
    <w:p w14:paraId="1E4B31FA"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ACT Leave manages credit risk for investments by only investing surplus funds in the appointed external fund manager’s (Vanguard Australia) wholesale funds in accordance with the Investment Plan which has been approved by the Treasurer.</w:t>
      </w:r>
    </w:p>
    <w:p w14:paraId="45C90ADA"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ACT Leave’s exposure to credit risk and the management of this risk has not changed since the previous reporting period.</w:t>
      </w:r>
    </w:p>
    <w:p w14:paraId="4CB22E87"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Liquidity Risk</w:t>
      </w:r>
    </w:p>
    <w:p w14:paraId="6AAFC902"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Liquidity risk is the risk that ACT Leave will not be able to meet its financial obligations as and when these amounts fall due.</w:t>
      </w:r>
    </w:p>
    <w:p w14:paraId="74BF3501"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ACT Leave manages the liquidity risk related to financial liabilities by maintaining sufficient cash reserves and liquid investments to meet the obligations as and when these fall due. ACT Leave has sufficient investments that can be readily converted into cash in the short-term. ACT Leave’s exposure to liquidity risk and the management of this risk has not changed since the previous reporting period.</w:t>
      </w:r>
    </w:p>
    <w:p w14:paraId="66615B0D" w14:textId="77777777" w:rsidR="00717BA5" w:rsidRPr="00717BA5" w:rsidRDefault="00717BA5" w:rsidP="00717BA5">
      <w:pPr>
        <w:adjustRightInd w:val="0"/>
        <w:snapToGrid w:val="0"/>
        <w:rPr>
          <w:rFonts w:ascii="Arial" w:eastAsia="Times New Roman" w:hAnsi="Arial" w:cs="Arial"/>
          <w:i/>
          <w:color w:val="auto"/>
          <w:sz w:val="24"/>
          <w:szCs w:val="24"/>
          <w:lang w:val="en-AU"/>
        </w:rPr>
      </w:pPr>
      <w:r w:rsidRPr="00717BA5">
        <w:rPr>
          <w:rFonts w:ascii="Arial" w:eastAsia="Times New Roman" w:hAnsi="Arial" w:cs="Arial"/>
          <w:b/>
          <w:bCs/>
          <w:color w:val="auto"/>
          <w:lang w:val="en-AU"/>
        </w:rPr>
        <w:t>Price Risk</w:t>
      </w:r>
    </w:p>
    <w:p w14:paraId="3FEEECF2"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Price risk is the risk that the fair value or future cash flows of a financial instrument will fluctuate because of changes in market prices, whether these changes are caused by factors specific to the individual financial instrument or its issuer; or by factors affecting all similar financial instruments traded in the market. The price risk which ACT Leave is exposed to is significant and results from its investments. ACT Leave has investments which are managed by an independent investment manager and include exposure to listed and unlisted equities and property, fixed interest and other securities and instruments. ACT Leave’s investments fluctuate in value, with</w:t>
      </w:r>
      <w:r w:rsidRPr="00717BA5" w:rsidDel="00AF0448">
        <w:rPr>
          <w:rFonts w:ascii="Arial" w:eastAsia="Times New Roman" w:hAnsi="Arial" w:cs="Arial"/>
          <w:color w:val="auto"/>
          <w:lang w:val="en-AU"/>
        </w:rPr>
        <w:t xml:space="preserve"> </w:t>
      </w:r>
      <w:r w:rsidRPr="00717BA5">
        <w:rPr>
          <w:rFonts w:ascii="Arial" w:eastAsia="Times New Roman" w:hAnsi="Arial" w:cs="Arial"/>
          <w:color w:val="auto"/>
          <w:lang w:val="en-AU"/>
        </w:rPr>
        <w:t>price fluctuations caused by movements in the underlying investments of the portfolio.</w:t>
      </w:r>
    </w:p>
    <w:p w14:paraId="4C04D6FB"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 xml:space="preserve">To limit price risk, the investments are managed by an independent professional investment manager (Vanguard Australia). ACT Leave targets a portfolio allocation of 65% to growth-oriented assets (shares and property securities) and 35% to income-oriented asset classes (cash and fixed interest securities). Actual allocations are permitted to deviate from the target allocation provided that these are within the set allocation ranges. </w:t>
      </w:r>
    </w:p>
    <w:p w14:paraId="70B83791"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ACT Leave’s investment funds seek to match the weighted average return of the target indexes of the relevant asset classes before taking into account fund fees and expenses.</w:t>
      </w:r>
    </w:p>
    <w:p w14:paraId="6638B474"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The following table indicates ACT Leave’s exposure to price risk, by estimating the operating impact on the profit/(loss) and equity of ACT Leave of a +/- 20% movement in unit price of the fund in which the schemes have invested and therefore a +/- 20% change in the value of the investments. ACT Leave considers a +/- 20% movement in markets to be reasonably foreseeable. There has been no change in the price risk from the prior financial year.</w:t>
      </w:r>
    </w:p>
    <w:p w14:paraId="286FACDE" w14:textId="77777777" w:rsidR="00717BA5" w:rsidRPr="00717BA5" w:rsidRDefault="00717BA5" w:rsidP="00717BA5">
      <w:pPr>
        <w:spacing w:after="0" w:line="240" w:lineRule="auto"/>
        <w:rPr>
          <w:rFonts w:ascii="Arial" w:eastAsia="Times New Roman" w:hAnsi="Arial" w:cs="Arial"/>
          <w:i/>
          <w:iCs/>
          <w:color w:val="auto"/>
          <w:lang w:val="en-AU"/>
        </w:rPr>
      </w:pPr>
      <w:r w:rsidRPr="00717BA5">
        <w:rPr>
          <w:rFonts w:ascii="Calibri" w:eastAsia="SimSun" w:hAnsi="Calibri"/>
          <w:i/>
          <w:iCs/>
          <w:color w:val="auto"/>
          <w:sz w:val="22"/>
          <w:szCs w:val="22"/>
          <w:lang w:val="en-AU" w:eastAsia="en-US"/>
        </w:rPr>
        <w:br w:type="page"/>
      </w:r>
    </w:p>
    <w:p w14:paraId="5F479B9C" w14:textId="77777777" w:rsidR="00717BA5" w:rsidRPr="00717BA5" w:rsidRDefault="00717BA5" w:rsidP="00717BA5">
      <w:pPr>
        <w:keepNext/>
        <w:spacing w:after="0" w:line="240" w:lineRule="auto"/>
        <w:jc w:val="both"/>
        <w:outlineLvl w:val="1"/>
        <w:rPr>
          <w:rFonts w:ascii="Arial" w:eastAsia="Times New Roman" w:hAnsi="Arial" w:cs="Arial"/>
          <w:b/>
          <w:bCs/>
          <w:color w:val="auto"/>
          <w:sz w:val="24"/>
          <w:szCs w:val="24"/>
          <w:lang w:val="en-AU"/>
        </w:rPr>
      </w:pPr>
    </w:p>
    <w:p w14:paraId="59299D24" w14:textId="77777777" w:rsidR="00717BA5" w:rsidRPr="00717BA5" w:rsidRDefault="00717BA5" w:rsidP="00717BA5">
      <w:pPr>
        <w:keepNext/>
        <w:spacing w:after="240" w:line="240" w:lineRule="auto"/>
        <w:jc w:val="both"/>
        <w:outlineLvl w:val="1"/>
        <w:rPr>
          <w:rFonts w:ascii="Arial" w:eastAsia="Times New Roman" w:hAnsi="Arial" w:cs="Arial"/>
          <w:b/>
          <w:bCs/>
          <w:color w:val="auto"/>
          <w:sz w:val="24"/>
          <w:szCs w:val="24"/>
          <w:lang w:val="en-AU"/>
        </w:rPr>
      </w:pPr>
      <w:bookmarkStart w:id="137" w:name="_Toc240533546"/>
      <w:r w:rsidRPr="00717BA5">
        <w:rPr>
          <w:rFonts w:ascii="Arial" w:eastAsia="Times New Roman" w:hAnsi="Arial" w:cs="Arial"/>
          <w:b/>
          <w:bCs/>
          <w:color w:val="auto"/>
          <w:sz w:val="24"/>
          <w:szCs w:val="24"/>
          <w:lang w:val="en-AU"/>
        </w:rPr>
        <w:t>NOTE 18.   FINANCIAL INSTRUMENTS - CONTINUED</w:t>
      </w:r>
      <w:bookmarkEnd w:id="137"/>
    </w:p>
    <w:p w14:paraId="2C7E5661" w14:textId="77777777" w:rsidR="00717BA5" w:rsidRPr="00717BA5" w:rsidRDefault="00717BA5" w:rsidP="00717BA5">
      <w:pPr>
        <w:adjustRightInd w:val="0"/>
        <w:snapToGrid w:val="0"/>
        <w:rPr>
          <w:rFonts w:ascii="Arial" w:eastAsia="Times New Roman" w:hAnsi="Arial" w:cs="Arial"/>
          <w:i/>
          <w:iCs/>
          <w:color w:val="auto"/>
          <w:lang w:val="en-AU"/>
        </w:rPr>
      </w:pPr>
      <w:r w:rsidRPr="00717BA5">
        <w:rPr>
          <w:rFonts w:ascii="Arial" w:eastAsia="Times New Roman" w:hAnsi="Arial" w:cs="Arial"/>
          <w:i/>
          <w:iCs/>
          <w:color w:val="auto"/>
          <w:lang w:val="en-AU"/>
        </w:rPr>
        <w:t>Sensitivity Analysis</w:t>
      </w:r>
    </w:p>
    <w:tbl>
      <w:tblPr>
        <w:tblW w:w="5000" w:type="pct"/>
        <w:tblLook w:val="04A0" w:firstRow="1" w:lastRow="0" w:firstColumn="1" w:lastColumn="0" w:noHBand="0" w:noVBand="1"/>
      </w:tblPr>
      <w:tblGrid>
        <w:gridCol w:w="3296"/>
        <w:gridCol w:w="2205"/>
        <w:gridCol w:w="2225"/>
        <w:gridCol w:w="2223"/>
      </w:tblGrid>
      <w:tr w:rsidR="00717BA5" w:rsidRPr="00717BA5" w14:paraId="6CE78E81" w14:textId="77777777" w:rsidTr="00F0752D">
        <w:trPr>
          <w:trHeight w:val="284"/>
        </w:trPr>
        <w:tc>
          <w:tcPr>
            <w:tcW w:w="1656" w:type="pct"/>
            <w:tcBorders>
              <w:top w:val="nil"/>
              <w:left w:val="nil"/>
              <w:bottom w:val="nil"/>
              <w:right w:val="nil"/>
            </w:tcBorders>
            <w:shd w:val="clear" w:color="000000" w:fill="FFFFFF"/>
            <w:vAlign w:val="bottom"/>
          </w:tcPr>
          <w:p w14:paraId="05C49B1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1108" w:type="pct"/>
            <w:tcBorders>
              <w:top w:val="nil"/>
              <w:left w:val="nil"/>
              <w:bottom w:val="nil"/>
              <w:right w:val="nil"/>
            </w:tcBorders>
            <w:shd w:val="clear" w:color="000000" w:fill="FFFFFF"/>
            <w:vAlign w:val="bottom"/>
          </w:tcPr>
          <w:p w14:paraId="627E5848"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w:t>
            </w:r>
          </w:p>
        </w:tc>
        <w:tc>
          <w:tcPr>
            <w:tcW w:w="1118" w:type="pct"/>
            <w:tcBorders>
              <w:top w:val="nil"/>
              <w:left w:val="nil"/>
              <w:bottom w:val="nil"/>
              <w:right w:val="nil"/>
            </w:tcBorders>
            <w:shd w:val="clear" w:color="000000" w:fill="FFFFFF"/>
            <w:vAlign w:val="bottom"/>
          </w:tcPr>
          <w:p w14:paraId="240DB253"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 Price Movement</w:t>
            </w:r>
          </w:p>
        </w:tc>
        <w:tc>
          <w:tcPr>
            <w:tcW w:w="1117" w:type="pct"/>
            <w:tcBorders>
              <w:top w:val="nil"/>
              <w:left w:val="nil"/>
              <w:bottom w:val="nil"/>
              <w:right w:val="nil"/>
            </w:tcBorders>
            <w:shd w:val="clear" w:color="000000" w:fill="FFFFFF"/>
            <w:vAlign w:val="bottom"/>
          </w:tcPr>
          <w:p w14:paraId="3C7EF0C5"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 Price Movement</w:t>
            </w:r>
          </w:p>
        </w:tc>
      </w:tr>
      <w:tr w:rsidR="00717BA5" w:rsidRPr="00717BA5" w14:paraId="3F8995D1" w14:textId="77777777" w:rsidTr="00F0752D">
        <w:trPr>
          <w:trHeight w:val="284"/>
        </w:trPr>
        <w:tc>
          <w:tcPr>
            <w:tcW w:w="1656" w:type="pct"/>
            <w:tcBorders>
              <w:top w:val="nil"/>
              <w:left w:val="nil"/>
              <w:bottom w:val="nil"/>
              <w:right w:val="nil"/>
            </w:tcBorders>
            <w:shd w:val="clear" w:color="000000" w:fill="FFFFFF"/>
            <w:vAlign w:val="bottom"/>
          </w:tcPr>
          <w:p w14:paraId="0A52DC02"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w:t>
            </w:r>
          </w:p>
        </w:tc>
        <w:tc>
          <w:tcPr>
            <w:tcW w:w="1108" w:type="pct"/>
            <w:tcBorders>
              <w:top w:val="nil"/>
              <w:left w:val="nil"/>
              <w:bottom w:val="nil"/>
              <w:right w:val="nil"/>
            </w:tcBorders>
            <w:shd w:val="clear" w:color="000000" w:fill="FFFFFF"/>
            <w:vAlign w:val="bottom"/>
          </w:tcPr>
          <w:p w14:paraId="27CEF6FE"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c>
          <w:tcPr>
            <w:tcW w:w="1118" w:type="pct"/>
            <w:tcBorders>
              <w:top w:val="nil"/>
              <w:left w:val="nil"/>
              <w:bottom w:val="nil"/>
              <w:right w:val="nil"/>
            </w:tcBorders>
            <w:shd w:val="clear" w:color="000000" w:fill="FFFFFF"/>
            <w:vAlign w:val="bottom"/>
          </w:tcPr>
          <w:p w14:paraId="49E645F0"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Profit/Equity</w:t>
            </w:r>
          </w:p>
        </w:tc>
        <w:tc>
          <w:tcPr>
            <w:tcW w:w="1117" w:type="pct"/>
            <w:tcBorders>
              <w:top w:val="nil"/>
              <w:left w:val="nil"/>
              <w:bottom w:val="nil"/>
              <w:right w:val="nil"/>
            </w:tcBorders>
            <w:shd w:val="clear" w:color="000000" w:fill="FFFFFF"/>
            <w:vAlign w:val="bottom"/>
          </w:tcPr>
          <w:p w14:paraId="2215F5F6"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Profit/Equity</w:t>
            </w:r>
          </w:p>
        </w:tc>
      </w:tr>
      <w:tr w:rsidR="00717BA5" w:rsidRPr="00717BA5" w14:paraId="2CCE7404" w14:textId="77777777" w:rsidTr="00F0752D">
        <w:trPr>
          <w:trHeight w:val="284"/>
        </w:trPr>
        <w:tc>
          <w:tcPr>
            <w:tcW w:w="1656" w:type="pct"/>
            <w:vMerge w:val="restart"/>
            <w:tcBorders>
              <w:top w:val="nil"/>
              <w:left w:val="nil"/>
              <w:bottom w:val="nil"/>
              <w:right w:val="nil"/>
            </w:tcBorders>
            <w:shd w:val="clear" w:color="000000" w:fill="FFFFFF"/>
            <w:vAlign w:val="bottom"/>
          </w:tcPr>
          <w:p w14:paraId="1C45364A"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 </w:t>
            </w:r>
          </w:p>
        </w:tc>
        <w:tc>
          <w:tcPr>
            <w:tcW w:w="1108" w:type="pct"/>
            <w:tcBorders>
              <w:top w:val="nil"/>
              <w:left w:val="nil"/>
              <w:bottom w:val="nil"/>
              <w:right w:val="nil"/>
            </w:tcBorders>
            <w:shd w:val="clear" w:color="000000" w:fill="FFFFFF"/>
            <w:vAlign w:val="bottom"/>
          </w:tcPr>
          <w:p w14:paraId="264073AD"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1118" w:type="pct"/>
            <w:tcBorders>
              <w:top w:val="nil"/>
              <w:left w:val="nil"/>
              <w:bottom w:val="nil"/>
              <w:right w:val="nil"/>
            </w:tcBorders>
            <w:shd w:val="clear" w:color="000000" w:fill="FFFFFF"/>
            <w:vAlign w:val="bottom"/>
          </w:tcPr>
          <w:p w14:paraId="11A26F92"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1117" w:type="pct"/>
            <w:tcBorders>
              <w:top w:val="nil"/>
              <w:left w:val="nil"/>
              <w:bottom w:val="nil"/>
              <w:right w:val="nil"/>
            </w:tcBorders>
            <w:shd w:val="clear" w:color="000000" w:fill="FFFFFF"/>
            <w:vAlign w:val="bottom"/>
          </w:tcPr>
          <w:p w14:paraId="1F9EDE9A"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r>
      <w:tr w:rsidR="00717BA5" w:rsidRPr="00717BA5" w14:paraId="1F6191C2" w14:textId="77777777" w:rsidTr="00F0752D">
        <w:trPr>
          <w:trHeight w:val="284"/>
        </w:trPr>
        <w:tc>
          <w:tcPr>
            <w:tcW w:w="1656" w:type="pct"/>
            <w:vMerge/>
            <w:tcBorders>
              <w:top w:val="nil"/>
              <w:left w:val="nil"/>
              <w:bottom w:val="nil"/>
              <w:right w:val="nil"/>
            </w:tcBorders>
            <w:vAlign w:val="bottom"/>
          </w:tcPr>
          <w:p w14:paraId="07458E88"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1108" w:type="pct"/>
            <w:tcBorders>
              <w:top w:val="nil"/>
              <w:left w:val="nil"/>
              <w:bottom w:val="single" w:sz="4" w:space="0" w:color="auto"/>
              <w:right w:val="nil"/>
            </w:tcBorders>
            <w:shd w:val="clear" w:color="000000" w:fill="FFFFFF"/>
            <w:vAlign w:val="bottom"/>
          </w:tcPr>
          <w:p w14:paraId="1279990D"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118" w:type="pct"/>
            <w:tcBorders>
              <w:top w:val="nil"/>
              <w:left w:val="nil"/>
              <w:bottom w:val="single" w:sz="4" w:space="0" w:color="auto"/>
              <w:right w:val="nil"/>
            </w:tcBorders>
            <w:shd w:val="clear" w:color="000000" w:fill="FFFFFF"/>
            <w:vAlign w:val="bottom"/>
          </w:tcPr>
          <w:p w14:paraId="5DF1508D"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117" w:type="pct"/>
            <w:tcBorders>
              <w:top w:val="nil"/>
              <w:left w:val="nil"/>
              <w:bottom w:val="single" w:sz="4" w:space="0" w:color="auto"/>
              <w:right w:val="nil"/>
            </w:tcBorders>
            <w:shd w:val="clear" w:color="000000" w:fill="FFFFFF"/>
            <w:vAlign w:val="bottom"/>
          </w:tcPr>
          <w:p w14:paraId="0DAC2058"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54F248AC" w14:textId="77777777" w:rsidTr="00F0752D">
        <w:trPr>
          <w:trHeight w:val="113"/>
        </w:trPr>
        <w:tc>
          <w:tcPr>
            <w:tcW w:w="1656" w:type="pct"/>
            <w:tcBorders>
              <w:top w:val="nil"/>
              <w:left w:val="nil"/>
              <w:bottom w:val="nil"/>
              <w:right w:val="nil"/>
            </w:tcBorders>
            <w:shd w:val="clear" w:color="000000" w:fill="FFFFFF"/>
            <w:vAlign w:val="bottom"/>
          </w:tcPr>
          <w:p w14:paraId="7D218562"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Financial Assets</w:t>
            </w:r>
          </w:p>
        </w:tc>
        <w:tc>
          <w:tcPr>
            <w:tcW w:w="1108" w:type="pct"/>
            <w:tcBorders>
              <w:top w:val="nil"/>
              <w:left w:val="nil"/>
              <w:bottom w:val="nil"/>
              <w:right w:val="nil"/>
            </w:tcBorders>
            <w:shd w:val="clear" w:color="000000" w:fill="FFFFFF"/>
            <w:vAlign w:val="bottom"/>
          </w:tcPr>
          <w:p w14:paraId="0A06EC80"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c>
          <w:tcPr>
            <w:tcW w:w="1118" w:type="pct"/>
            <w:tcBorders>
              <w:top w:val="nil"/>
              <w:left w:val="nil"/>
              <w:bottom w:val="nil"/>
              <w:right w:val="nil"/>
            </w:tcBorders>
            <w:shd w:val="clear" w:color="000000" w:fill="FFFFFF"/>
            <w:vAlign w:val="bottom"/>
          </w:tcPr>
          <w:p w14:paraId="46ABB38E"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c>
          <w:tcPr>
            <w:tcW w:w="1117" w:type="pct"/>
            <w:tcBorders>
              <w:top w:val="nil"/>
              <w:left w:val="nil"/>
              <w:bottom w:val="nil"/>
            </w:tcBorders>
            <w:shd w:val="clear" w:color="000000" w:fill="FFFFFF"/>
            <w:vAlign w:val="bottom"/>
          </w:tcPr>
          <w:p w14:paraId="44142C3F"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r>
      <w:tr w:rsidR="00717BA5" w:rsidRPr="00717BA5" w14:paraId="02AD4B0C" w14:textId="77777777" w:rsidTr="00F0752D">
        <w:trPr>
          <w:trHeight w:val="113"/>
        </w:trPr>
        <w:tc>
          <w:tcPr>
            <w:tcW w:w="1656" w:type="pct"/>
            <w:tcBorders>
              <w:top w:val="nil"/>
              <w:left w:val="nil"/>
              <w:bottom w:val="nil"/>
              <w:right w:val="nil"/>
            </w:tcBorders>
            <w:shd w:val="clear" w:color="000000" w:fill="FFFFFF"/>
            <w:vAlign w:val="bottom"/>
          </w:tcPr>
          <w:p w14:paraId="6DDADBE1"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Investments</w:t>
            </w:r>
          </w:p>
        </w:tc>
        <w:tc>
          <w:tcPr>
            <w:tcW w:w="1108" w:type="pct"/>
            <w:tcBorders>
              <w:top w:val="nil"/>
              <w:left w:val="nil"/>
              <w:bottom w:val="nil"/>
              <w:right w:val="nil"/>
            </w:tcBorders>
            <w:shd w:val="clear" w:color="000000" w:fill="FFFFFF"/>
            <w:vAlign w:val="bottom"/>
          </w:tcPr>
          <w:p w14:paraId="00322813"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380,271</w:t>
            </w:r>
          </w:p>
        </w:tc>
        <w:tc>
          <w:tcPr>
            <w:tcW w:w="1118" w:type="pct"/>
            <w:tcBorders>
              <w:top w:val="nil"/>
              <w:left w:val="nil"/>
              <w:bottom w:val="nil"/>
              <w:right w:val="nil"/>
            </w:tcBorders>
            <w:shd w:val="clear" w:color="000000" w:fill="FFFFFF"/>
            <w:vAlign w:val="bottom"/>
          </w:tcPr>
          <w:p w14:paraId="1F381295"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76,054</w:t>
            </w:r>
          </w:p>
        </w:tc>
        <w:tc>
          <w:tcPr>
            <w:tcW w:w="1117" w:type="pct"/>
            <w:tcBorders>
              <w:top w:val="nil"/>
              <w:left w:val="nil"/>
              <w:bottom w:val="nil"/>
              <w:right w:val="nil"/>
            </w:tcBorders>
            <w:shd w:val="clear" w:color="000000" w:fill="FFFFFF"/>
            <w:vAlign w:val="bottom"/>
          </w:tcPr>
          <w:p w14:paraId="452DA204"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(76,054)</w:t>
            </w:r>
          </w:p>
        </w:tc>
      </w:tr>
      <w:tr w:rsidR="00717BA5" w:rsidRPr="00717BA5" w14:paraId="72FEBCAD" w14:textId="77777777" w:rsidTr="00F0752D">
        <w:trPr>
          <w:trHeight w:val="113"/>
        </w:trPr>
        <w:tc>
          <w:tcPr>
            <w:tcW w:w="1656" w:type="pct"/>
            <w:tcBorders>
              <w:top w:val="nil"/>
              <w:left w:val="nil"/>
              <w:bottom w:val="nil"/>
              <w:right w:val="nil"/>
            </w:tcBorders>
            <w:shd w:val="clear" w:color="000000" w:fill="FFFFFF"/>
            <w:vAlign w:val="bottom"/>
          </w:tcPr>
          <w:p w14:paraId="4D24CBCC"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1108" w:type="pct"/>
            <w:tcBorders>
              <w:top w:val="nil"/>
              <w:left w:val="nil"/>
              <w:bottom w:val="nil"/>
              <w:right w:val="nil"/>
            </w:tcBorders>
            <w:shd w:val="clear" w:color="000000" w:fill="FFFFFF"/>
            <w:vAlign w:val="bottom"/>
          </w:tcPr>
          <w:p w14:paraId="17AB330C"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c>
          <w:tcPr>
            <w:tcW w:w="1118" w:type="pct"/>
            <w:tcBorders>
              <w:top w:val="nil"/>
              <w:left w:val="nil"/>
              <w:bottom w:val="nil"/>
              <w:right w:val="nil"/>
            </w:tcBorders>
            <w:shd w:val="clear" w:color="000000" w:fill="FFFFFF"/>
            <w:vAlign w:val="bottom"/>
          </w:tcPr>
          <w:p w14:paraId="1DD206FD"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c>
          <w:tcPr>
            <w:tcW w:w="1117" w:type="pct"/>
            <w:tcBorders>
              <w:top w:val="nil"/>
              <w:left w:val="nil"/>
              <w:bottom w:val="nil"/>
              <w:right w:val="nil"/>
            </w:tcBorders>
            <w:shd w:val="clear" w:color="000000" w:fill="FFFFFF"/>
            <w:vAlign w:val="bottom"/>
          </w:tcPr>
          <w:p w14:paraId="1D62D128"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r>
      <w:tr w:rsidR="00717BA5" w:rsidRPr="00717BA5" w14:paraId="69FEC136" w14:textId="77777777" w:rsidTr="00F0752D">
        <w:trPr>
          <w:trHeight w:val="113"/>
        </w:trPr>
        <w:tc>
          <w:tcPr>
            <w:tcW w:w="1656" w:type="pct"/>
            <w:tcBorders>
              <w:top w:val="nil"/>
              <w:left w:val="nil"/>
              <w:bottom w:val="nil"/>
              <w:right w:val="nil"/>
            </w:tcBorders>
            <w:shd w:val="clear" w:color="000000" w:fill="FFFFFF"/>
            <w:vAlign w:val="bottom"/>
          </w:tcPr>
          <w:p w14:paraId="31992E30"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1108" w:type="pct"/>
            <w:tcBorders>
              <w:top w:val="nil"/>
              <w:left w:val="nil"/>
              <w:bottom w:val="nil"/>
              <w:right w:val="nil"/>
            </w:tcBorders>
            <w:shd w:val="clear" w:color="000000" w:fill="FFFFFF"/>
            <w:vAlign w:val="bottom"/>
          </w:tcPr>
          <w:p w14:paraId="5C8DAC4C"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c>
          <w:tcPr>
            <w:tcW w:w="1118" w:type="pct"/>
            <w:tcBorders>
              <w:top w:val="nil"/>
              <w:left w:val="nil"/>
              <w:bottom w:val="nil"/>
              <w:right w:val="nil"/>
            </w:tcBorders>
            <w:shd w:val="clear" w:color="000000" w:fill="FFFFFF"/>
            <w:vAlign w:val="bottom"/>
          </w:tcPr>
          <w:p w14:paraId="4217B6AD"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c>
          <w:tcPr>
            <w:tcW w:w="1117" w:type="pct"/>
            <w:tcBorders>
              <w:top w:val="nil"/>
              <w:left w:val="nil"/>
              <w:bottom w:val="nil"/>
              <w:right w:val="nil"/>
            </w:tcBorders>
            <w:shd w:val="clear" w:color="000000" w:fill="FFFFFF"/>
            <w:vAlign w:val="bottom"/>
          </w:tcPr>
          <w:p w14:paraId="22C7E73D"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3FE5B677" w14:textId="77777777" w:rsidTr="00F0752D">
        <w:trPr>
          <w:trHeight w:val="113"/>
        </w:trPr>
        <w:tc>
          <w:tcPr>
            <w:tcW w:w="1656" w:type="pct"/>
            <w:tcBorders>
              <w:top w:val="nil"/>
              <w:left w:val="nil"/>
              <w:bottom w:val="nil"/>
              <w:right w:val="nil"/>
            </w:tcBorders>
            <w:shd w:val="clear" w:color="000000" w:fill="FFFFFF"/>
            <w:vAlign w:val="bottom"/>
          </w:tcPr>
          <w:p w14:paraId="6D471B57"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1108" w:type="pct"/>
            <w:tcBorders>
              <w:top w:val="nil"/>
              <w:left w:val="nil"/>
              <w:bottom w:val="single" w:sz="4" w:space="0" w:color="auto"/>
              <w:right w:val="nil"/>
            </w:tcBorders>
            <w:shd w:val="clear" w:color="000000" w:fill="FFFFFF"/>
            <w:vAlign w:val="bottom"/>
          </w:tcPr>
          <w:p w14:paraId="5BF0D9EE"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118" w:type="pct"/>
            <w:tcBorders>
              <w:top w:val="nil"/>
              <w:left w:val="nil"/>
              <w:bottom w:val="single" w:sz="4" w:space="0" w:color="auto"/>
              <w:right w:val="nil"/>
            </w:tcBorders>
            <w:shd w:val="clear" w:color="000000" w:fill="FFFFFF"/>
            <w:vAlign w:val="bottom"/>
          </w:tcPr>
          <w:p w14:paraId="41E56D15"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1117" w:type="pct"/>
            <w:tcBorders>
              <w:top w:val="nil"/>
              <w:left w:val="nil"/>
              <w:bottom w:val="single" w:sz="4" w:space="0" w:color="auto"/>
              <w:right w:val="nil"/>
            </w:tcBorders>
            <w:shd w:val="clear" w:color="000000" w:fill="FFFFFF"/>
            <w:vAlign w:val="bottom"/>
          </w:tcPr>
          <w:p w14:paraId="19968E81"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6BF9976B" w14:textId="77777777" w:rsidTr="00F0752D">
        <w:trPr>
          <w:trHeight w:val="113"/>
        </w:trPr>
        <w:tc>
          <w:tcPr>
            <w:tcW w:w="1656" w:type="pct"/>
            <w:tcBorders>
              <w:top w:val="nil"/>
              <w:left w:val="nil"/>
              <w:bottom w:val="nil"/>
              <w:right w:val="nil"/>
            </w:tcBorders>
            <w:shd w:val="clear" w:color="000000" w:fill="FFFFFF"/>
            <w:vAlign w:val="bottom"/>
          </w:tcPr>
          <w:p w14:paraId="6A95D7A2"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Financial Assets</w:t>
            </w:r>
          </w:p>
        </w:tc>
        <w:tc>
          <w:tcPr>
            <w:tcW w:w="1108" w:type="pct"/>
            <w:tcBorders>
              <w:top w:val="single" w:sz="4" w:space="0" w:color="auto"/>
              <w:left w:val="nil"/>
              <w:right w:val="nil"/>
            </w:tcBorders>
            <w:shd w:val="clear" w:color="000000" w:fill="FFFFFF"/>
            <w:vAlign w:val="bottom"/>
          </w:tcPr>
          <w:p w14:paraId="117E4AFB"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p>
        </w:tc>
        <w:tc>
          <w:tcPr>
            <w:tcW w:w="1118" w:type="pct"/>
            <w:tcBorders>
              <w:top w:val="single" w:sz="4" w:space="0" w:color="auto"/>
              <w:left w:val="nil"/>
              <w:right w:val="nil"/>
            </w:tcBorders>
            <w:shd w:val="clear" w:color="000000" w:fill="FFFFFF"/>
            <w:vAlign w:val="bottom"/>
          </w:tcPr>
          <w:p w14:paraId="350F2C97"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p>
        </w:tc>
        <w:tc>
          <w:tcPr>
            <w:tcW w:w="1117" w:type="pct"/>
            <w:tcBorders>
              <w:top w:val="single" w:sz="4" w:space="0" w:color="auto"/>
              <w:left w:val="nil"/>
              <w:right w:val="nil"/>
            </w:tcBorders>
            <w:shd w:val="clear" w:color="000000" w:fill="FFFFFF"/>
            <w:vAlign w:val="bottom"/>
          </w:tcPr>
          <w:p w14:paraId="222E798B"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p>
        </w:tc>
      </w:tr>
      <w:tr w:rsidR="00717BA5" w:rsidRPr="00717BA5" w14:paraId="0DADD572" w14:textId="77777777" w:rsidTr="00F0752D">
        <w:trPr>
          <w:trHeight w:val="113"/>
        </w:trPr>
        <w:tc>
          <w:tcPr>
            <w:tcW w:w="1656" w:type="pct"/>
            <w:tcBorders>
              <w:top w:val="nil"/>
              <w:left w:val="nil"/>
              <w:bottom w:val="nil"/>
              <w:right w:val="nil"/>
            </w:tcBorders>
            <w:shd w:val="clear" w:color="000000" w:fill="FFFFFF"/>
            <w:vAlign w:val="bottom"/>
          </w:tcPr>
          <w:p w14:paraId="6132E07A"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Investments</w:t>
            </w:r>
          </w:p>
        </w:tc>
        <w:tc>
          <w:tcPr>
            <w:tcW w:w="1108" w:type="pct"/>
            <w:tcBorders>
              <w:top w:val="nil"/>
              <w:left w:val="nil"/>
              <w:bottom w:val="nil"/>
              <w:right w:val="nil"/>
            </w:tcBorders>
            <w:shd w:val="clear" w:color="000000" w:fill="FFFFFF"/>
            <w:vAlign w:val="bottom"/>
          </w:tcPr>
          <w:p w14:paraId="77DA84DB"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351,072</w:t>
            </w:r>
          </w:p>
        </w:tc>
        <w:tc>
          <w:tcPr>
            <w:tcW w:w="1118" w:type="pct"/>
            <w:tcBorders>
              <w:top w:val="nil"/>
              <w:left w:val="nil"/>
              <w:bottom w:val="nil"/>
              <w:right w:val="nil"/>
            </w:tcBorders>
            <w:shd w:val="clear" w:color="000000" w:fill="FFFFFF"/>
            <w:vAlign w:val="bottom"/>
          </w:tcPr>
          <w:p w14:paraId="1527ABEA"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70,214</w:t>
            </w:r>
          </w:p>
        </w:tc>
        <w:tc>
          <w:tcPr>
            <w:tcW w:w="1117" w:type="pct"/>
            <w:tcBorders>
              <w:top w:val="nil"/>
              <w:left w:val="nil"/>
              <w:bottom w:val="nil"/>
              <w:right w:val="nil"/>
            </w:tcBorders>
            <w:shd w:val="clear" w:color="000000" w:fill="FFFFFF"/>
            <w:vAlign w:val="bottom"/>
          </w:tcPr>
          <w:p w14:paraId="2DFAE848"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(70,214)</w:t>
            </w:r>
          </w:p>
        </w:tc>
      </w:tr>
    </w:tbl>
    <w:p w14:paraId="60E22E3C" w14:textId="77777777" w:rsidR="00717BA5" w:rsidRPr="00717BA5" w:rsidRDefault="00717BA5" w:rsidP="00717BA5">
      <w:pPr>
        <w:spacing w:after="0" w:line="240" w:lineRule="auto"/>
        <w:rPr>
          <w:rFonts w:ascii="Arial" w:eastAsia="SimSun" w:hAnsi="Arial" w:cs="Arial"/>
          <w:color w:val="auto"/>
          <w:lang w:val="en-AU"/>
        </w:rPr>
      </w:pPr>
    </w:p>
    <w:p w14:paraId="601499FF"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Currency Risk</w:t>
      </w:r>
    </w:p>
    <w:p w14:paraId="1164C28D"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color w:val="auto"/>
          <w:lang w:val="en-AU"/>
        </w:rPr>
        <w:t>Currency risk is the risk that the fair value or future cash flows of a financial instrument will fluctuate because of changes to foreign currency exchange rates. ACT Leave’s transactions are carried out in Australian dollars and ACT Leave does not directly hold any foreign currency. ACT Leave’s underlying investment holdings of international fixed interest and property securities are fully hedged by way of investing in wholesale managed funds, reducing exposure to foreign currency risk. ACT Leave’s underlying international equity is not hedged with the fund measured in Australian dollars. Therefore, ACT Leave is exposed to currency risk, however, the currency risk is considered to be low as the portfolio is invested in a diversified pool of international equities with the currency allocation of up to 20 countries. ACT Leave’s exposure to currency risk and the management of this risk has not changed since the previous reporting period</w:t>
      </w:r>
      <w:r w:rsidRPr="00717BA5">
        <w:rPr>
          <w:rFonts w:ascii="Arial" w:eastAsia="Times New Roman" w:hAnsi="Arial" w:cs="Arial"/>
          <w:color w:val="auto"/>
          <w:sz w:val="18"/>
          <w:szCs w:val="18"/>
          <w:lang w:val="en-AU"/>
        </w:rPr>
        <w:t>.</w:t>
      </w:r>
    </w:p>
    <w:p w14:paraId="618858D0"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Fair Value of Financial Assets and Liabilities</w:t>
      </w:r>
    </w:p>
    <w:p w14:paraId="46C4093D"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The carrying amounts and fair values of financial assets and liabilities at the end of the reporting period are:</w:t>
      </w:r>
    </w:p>
    <w:tbl>
      <w:tblPr>
        <w:tblW w:w="5000" w:type="pct"/>
        <w:tblLook w:val="04A0" w:firstRow="1" w:lastRow="0" w:firstColumn="1" w:lastColumn="0" w:noHBand="0" w:noVBand="1"/>
      </w:tblPr>
      <w:tblGrid>
        <w:gridCol w:w="3541"/>
        <w:gridCol w:w="1757"/>
        <w:gridCol w:w="1027"/>
        <w:gridCol w:w="1027"/>
        <w:gridCol w:w="523"/>
        <w:gridCol w:w="1027"/>
        <w:gridCol w:w="1047"/>
      </w:tblGrid>
      <w:tr w:rsidR="00717BA5" w:rsidRPr="00717BA5" w14:paraId="1B9B6B16" w14:textId="77777777" w:rsidTr="00F0752D">
        <w:trPr>
          <w:trHeight w:val="284"/>
        </w:trPr>
        <w:tc>
          <w:tcPr>
            <w:tcW w:w="1780" w:type="pct"/>
            <w:tcBorders>
              <w:left w:val="nil"/>
              <w:right w:val="nil"/>
            </w:tcBorders>
            <w:shd w:val="clear" w:color="000000" w:fill="FFFFFF"/>
            <w:vAlign w:val="bottom"/>
          </w:tcPr>
          <w:p w14:paraId="69A355A7"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883" w:type="pct"/>
            <w:tcBorders>
              <w:left w:val="nil"/>
              <w:right w:val="nil"/>
            </w:tcBorders>
            <w:shd w:val="clear" w:color="000000" w:fill="FFFFFF"/>
            <w:vAlign w:val="bottom"/>
          </w:tcPr>
          <w:p w14:paraId="3A19E878"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p>
        </w:tc>
        <w:tc>
          <w:tcPr>
            <w:tcW w:w="516" w:type="pct"/>
            <w:tcBorders>
              <w:top w:val="single" w:sz="4" w:space="0" w:color="auto"/>
              <w:left w:val="nil"/>
              <w:bottom w:val="single" w:sz="4" w:space="0" w:color="auto"/>
              <w:right w:val="nil"/>
            </w:tcBorders>
            <w:shd w:val="clear" w:color="000000" w:fill="FFFFFF"/>
            <w:vAlign w:val="bottom"/>
          </w:tcPr>
          <w:p w14:paraId="0EF826A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w:t>
            </w:r>
          </w:p>
        </w:tc>
        <w:tc>
          <w:tcPr>
            <w:tcW w:w="516" w:type="pct"/>
            <w:tcBorders>
              <w:top w:val="single" w:sz="4" w:space="0" w:color="auto"/>
              <w:left w:val="nil"/>
              <w:bottom w:val="single" w:sz="4" w:space="0" w:color="auto"/>
              <w:right w:val="nil"/>
            </w:tcBorders>
            <w:shd w:val="clear" w:color="000000" w:fill="FFFFFF"/>
            <w:vAlign w:val="bottom"/>
          </w:tcPr>
          <w:p w14:paraId="60EF8D1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Fair Value</w:t>
            </w:r>
          </w:p>
        </w:tc>
        <w:tc>
          <w:tcPr>
            <w:tcW w:w="263" w:type="pct"/>
            <w:tcBorders>
              <w:left w:val="nil"/>
              <w:right w:val="nil"/>
            </w:tcBorders>
            <w:shd w:val="clear" w:color="000000" w:fill="FFFFFF"/>
            <w:vAlign w:val="bottom"/>
          </w:tcPr>
          <w:p w14:paraId="61047C9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16" w:type="pct"/>
            <w:tcBorders>
              <w:top w:val="single" w:sz="4" w:space="0" w:color="auto"/>
              <w:left w:val="nil"/>
              <w:bottom w:val="single" w:sz="4" w:space="0" w:color="auto"/>
              <w:right w:val="nil"/>
            </w:tcBorders>
            <w:shd w:val="clear" w:color="000000" w:fill="FFFFFF"/>
            <w:vAlign w:val="bottom"/>
          </w:tcPr>
          <w:p w14:paraId="042C0FB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w:t>
            </w:r>
          </w:p>
        </w:tc>
        <w:tc>
          <w:tcPr>
            <w:tcW w:w="526" w:type="pct"/>
            <w:tcBorders>
              <w:top w:val="single" w:sz="4" w:space="0" w:color="auto"/>
              <w:left w:val="nil"/>
              <w:bottom w:val="single" w:sz="4" w:space="0" w:color="auto"/>
              <w:right w:val="nil"/>
            </w:tcBorders>
            <w:shd w:val="clear" w:color="000000" w:fill="FFFFFF"/>
            <w:vAlign w:val="bottom"/>
          </w:tcPr>
          <w:p w14:paraId="296379B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Fair</w:t>
            </w:r>
          </w:p>
          <w:p w14:paraId="6840DE4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xml:space="preserve"> Value</w:t>
            </w:r>
          </w:p>
        </w:tc>
      </w:tr>
      <w:tr w:rsidR="00717BA5" w:rsidRPr="00717BA5" w14:paraId="3245A3D8" w14:textId="77777777" w:rsidTr="00F0752D">
        <w:trPr>
          <w:trHeight w:val="284"/>
        </w:trPr>
        <w:tc>
          <w:tcPr>
            <w:tcW w:w="1780" w:type="pct"/>
            <w:tcBorders>
              <w:top w:val="nil"/>
              <w:left w:val="nil"/>
              <w:bottom w:val="nil"/>
              <w:right w:val="nil"/>
            </w:tcBorders>
            <w:shd w:val="clear" w:color="000000" w:fill="FFFFFF"/>
            <w:vAlign w:val="bottom"/>
          </w:tcPr>
          <w:p w14:paraId="3467EE0E"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883" w:type="pct"/>
            <w:vMerge w:val="restart"/>
            <w:tcBorders>
              <w:top w:val="nil"/>
              <w:left w:val="nil"/>
              <w:right w:val="nil"/>
            </w:tcBorders>
            <w:shd w:val="clear" w:color="000000" w:fill="FFFFFF"/>
            <w:vAlign w:val="bottom"/>
          </w:tcPr>
          <w:p w14:paraId="1224585E"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Note</w:t>
            </w:r>
          </w:p>
          <w:p w14:paraId="175EDA5A"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No.</w:t>
            </w:r>
          </w:p>
        </w:tc>
        <w:tc>
          <w:tcPr>
            <w:tcW w:w="516" w:type="pct"/>
            <w:tcBorders>
              <w:top w:val="nil"/>
              <w:left w:val="nil"/>
              <w:bottom w:val="nil"/>
              <w:right w:val="nil"/>
            </w:tcBorders>
            <w:shd w:val="clear" w:color="000000" w:fill="FFFFFF"/>
            <w:vAlign w:val="bottom"/>
          </w:tcPr>
          <w:p w14:paraId="2CEB7E1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516" w:type="pct"/>
            <w:tcBorders>
              <w:top w:val="nil"/>
              <w:left w:val="nil"/>
              <w:bottom w:val="nil"/>
              <w:right w:val="nil"/>
            </w:tcBorders>
            <w:shd w:val="clear" w:color="000000" w:fill="FFFFFF"/>
            <w:vAlign w:val="bottom"/>
          </w:tcPr>
          <w:p w14:paraId="6152336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263" w:type="pct"/>
            <w:tcBorders>
              <w:top w:val="nil"/>
              <w:left w:val="nil"/>
              <w:bottom w:val="nil"/>
              <w:right w:val="nil"/>
            </w:tcBorders>
            <w:shd w:val="clear" w:color="000000" w:fill="FFFFFF"/>
            <w:vAlign w:val="bottom"/>
          </w:tcPr>
          <w:p w14:paraId="298B66A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16" w:type="pct"/>
            <w:tcBorders>
              <w:top w:val="nil"/>
              <w:left w:val="nil"/>
              <w:bottom w:val="nil"/>
              <w:right w:val="nil"/>
            </w:tcBorders>
            <w:shd w:val="clear" w:color="000000" w:fill="FFFFFF"/>
            <w:vAlign w:val="bottom"/>
          </w:tcPr>
          <w:p w14:paraId="63ED621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c>
          <w:tcPr>
            <w:tcW w:w="526" w:type="pct"/>
            <w:tcBorders>
              <w:top w:val="nil"/>
              <w:left w:val="nil"/>
              <w:bottom w:val="nil"/>
              <w:right w:val="nil"/>
            </w:tcBorders>
            <w:shd w:val="clear" w:color="000000" w:fill="FFFFFF"/>
            <w:vAlign w:val="bottom"/>
          </w:tcPr>
          <w:p w14:paraId="24D8F54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47EDF6A6" w14:textId="77777777" w:rsidTr="00F0752D">
        <w:trPr>
          <w:trHeight w:val="284"/>
        </w:trPr>
        <w:tc>
          <w:tcPr>
            <w:tcW w:w="1780" w:type="pct"/>
            <w:tcBorders>
              <w:top w:val="nil"/>
              <w:left w:val="nil"/>
              <w:right w:val="nil"/>
            </w:tcBorders>
            <w:shd w:val="clear" w:color="000000" w:fill="FFFFFF"/>
            <w:vAlign w:val="bottom"/>
          </w:tcPr>
          <w:p w14:paraId="34AB5828"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Financial Assets</w:t>
            </w:r>
          </w:p>
        </w:tc>
        <w:tc>
          <w:tcPr>
            <w:tcW w:w="883" w:type="pct"/>
            <w:vMerge/>
            <w:tcBorders>
              <w:left w:val="nil"/>
              <w:right w:val="nil"/>
            </w:tcBorders>
            <w:shd w:val="clear" w:color="000000" w:fill="FFFFFF"/>
            <w:vAlign w:val="bottom"/>
          </w:tcPr>
          <w:p w14:paraId="2C61C356" w14:textId="77777777" w:rsidR="00717BA5" w:rsidRPr="00717BA5" w:rsidRDefault="00717BA5" w:rsidP="00717BA5">
            <w:pPr>
              <w:spacing w:after="0" w:line="240" w:lineRule="auto"/>
              <w:jc w:val="center"/>
              <w:rPr>
                <w:rFonts w:ascii="Arial" w:eastAsia="Times New Roman" w:hAnsi="Arial" w:cs="Arial"/>
                <w:b/>
                <w:bCs/>
                <w:color w:val="auto"/>
                <w:sz w:val="18"/>
                <w:szCs w:val="18"/>
                <w:lang w:val="en-AU"/>
              </w:rPr>
            </w:pPr>
          </w:p>
        </w:tc>
        <w:tc>
          <w:tcPr>
            <w:tcW w:w="516" w:type="pct"/>
            <w:tcBorders>
              <w:top w:val="nil"/>
              <w:left w:val="nil"/>
              <w:bottom w:val="single" w:sz="4" w:space="0" w:color="auto"/>
              <w:right w:val="nil"/>
            </w:tcBorders>
            <w:shd w:val="clear" w:color="000000" w:fill="FFFFFF"/>
            <w:vAlign w:val="bottom"/>
          </w:tcPr>
          <w:p w14:paraId="3D8F74B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516" w:type="pct"/>
            <w:tcBorders>
              <w:top w:val="nil"/>
              <w:left w:val="nil"/>
              <w:bottom w:val="single" w:sz="4" w:space="0" w:color="auto"/>
              <w:right w:val="nil"/>
            </w:tcBorders>
            <w:shd w:val="clear" w:color="000000" w:fill="FFFFFF"/>
            <w:vAlign w:val="bottom"/>
          </w:tcPr>
          <w:p w14:paraId="437C517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263" w:type="pct"/>
            <w:tcBorders>
              <w:top w:val="nil"/>
              <w:left w:val="nil"/>
              <w:right w:val="nil"/>
            </w:tcBorders>
            <w:shd w:val="clear" w:color="000000" w:fill="FFFFFF"/>
            <w:vAlign w:val="bottom"/>
          </w:tcPr>
          <w:p w14:paraId="134F022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16" w:type="pct"/>
            <w:tcBorders>
              <w:top w:val="nil"/>
              <w:left w:val="nil"/>
              <w:bottom w:val="single" w:sz="4" w:space="0" w:color="auto"/>
              <w:right w:val="nil"/>
            </w:tcBorders>
            <w:shd w:val="clear" w:color="000000" w:fill="FFFFFF"/>
            <w:vAlign w:val="bottom"/>
          </w:tcPr>
          <w:p w14:paraId="5913430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526" w:type="pct"/>
            <w:tcBorders>
              <w:top w:val="nil"/>
              <w:left w:val="nil"/>
              <w:bottom w:val="single" w:sz="4" w:space="0" w:color="auto"/>
              <w:right w:val="nil"/>
            </w:tcBorders>
            <w:shd w:val="clear" w:color="000000" w:fill="FFFFFF"/>
            <w:vAlign w:val="bottom"/>
          </w:tcPr>
          <w:p w14:paraId="5300273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6DDBA57C" w14:textId="77777777" w:rsidTr="00F0752D">
        <w:trPr>
          <w:trHeight w:val="284"/>
        </w:trPr>
        <w:tc>
          <w:tcPr>
            <w:tcW w:w="1780" w:type="pct"/>
            <w:tcBorders>
              <w:top w:val="nil"/>
              <w:left w:val="nil"/>
              <w:bottom w:val="nil"/>
              <w:right w:val="nil"/>
            </w:tcBorders>
            <w:shd w:val="clear" w:color="000000" w:fill="FFFFFF"/>
            <w:vAlign w:val="bottom"/>
          </w:tcPr>
          <w:p w14:paraId="0F1C0D95"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883" w:type="pct"/>
            <w:tcBorders>
              <w:top w:val="nil"/>
              <w:left w:val="nil"/>
              <w:bottom w:val="nil"/>
              <w:right w:val="nil"/>
            </w:tcBorders>
            <w:shd w:val="clear" w:color="000000" w:fill="FFFFFF"/>
            <w:vAlign w:val="bottom"/>
          </w:tcPr>
          <w:p w14:paraId="4241C759"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vAlign w:val="bottom"/>
          </w:tcPr>
          <w:p w14:paraId="7089805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 </w:t>
            </w:r>
          </w:p>
        </w:tc>
        <w:tc>
          <w:tcPr>
            <w:tcW w:w="516" w:type="pct"/>
            <w:tcBorders>
              <w:top w:val="nil"/>
              <w:left w:val="nil"/>
              <w:bottom w:val="nil"/>
              <w:right w:val="nil"/>
            </w:tcBorders>
            <w:shd w:val="clear" w:color="000000" w:fill="FFFFFF"/>
            <w:vAlign w:val="bottom"/>
          </w:tcPr>
          <w:p w14:paraId="660D6FBB"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 </w:t>
            </w:r>
          </w:p>
        </w:tc>
        <w:tc>
          <w:tcPr>
            <w:tcW w:w="263" w:type="pct"/>
            <w:tcBorders>
              <w:top w:val="nil"/>
              <w:left w:val="nil"/>
              <w:bottom w:val="nil"/>
              <w:right w:val="nil"/>
            </w:tcBorders>
            <w:shd w:val="clear" w:color="000000" w:fill="FFFFFF"/>
            <w:vAlign w:val="bottom"/>
          </w:tcPr>
          <w:p w14:paraId="2C8448F4"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516" w:type="pct"/>
            <w:tcBorders>
              <w:top w:val="nil"/>
              <w:left w:val="nil"/>
              <w:bottom w:val="nil"/>
              <w:right w:val="nil"/>
            </w:tcBorders>
            <w:shd w:val="clear" w:color="000000" w:fill="FFFFFF"/>
            <w:vAlign w:val="bottom"/>
          </w:tcPr>
          <w:p w14:paraId="69EF8152"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 </w:t>
            </w:r>
          </w:p>
        </w:tc>
        <w:tc>
          <w:tcPr>
            <w:tcW w:w="526" w:type="pct"/>
            <w:tcBorders>
              <w:top w:val="nil"/>
              <w:left w:val="nil"/>
              <w:bottom w:val="nil"/>
              <w:right w:val="nil"/>
            </w:tcBorders>
            <w:shd w:val="clear" w:color="000000" w:fill="FFFFFF"/>
            <w:vAlign w:val="bottom"/>
          </w:tcPr>
          <w:p w14:paraId="244107F9"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 </w:t>
            </w:r>
          </w:p>
        </w:tc>
      </w:tr>
      <w:tr w:rsidR="00717BA5" w:rsidRPr="00717BA5" w14:paraId="081F420A" w14:textId="77777777" w:rsidTr="00F0752D">
        <w:trPr>
          <w:trHeight w:val="284"/>
        </w:trPr>
        <w:tc>
          <w:tcPr>
            <w:tcW w:w="1780" w:type="pct"/>
            <w:tcBorders>
              <w:top w:val="nil"/>
              <w:left w:val="nil"/>
              <w:bottom w:val="nil"/>
              <w:right w:val="nil"/>
            </w:tcBorders>
            <w:shd w:val="clear" w:color="000000" w:fill="FFFFFF"/>
            <w:vAlign w:val="bottom"/>
          </w:tcPr>
          <w:p w14:paraId="1E687192"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Cash</w:t>
            </w:r>
          </w:p>
        </w:tc>
        <w:tc>
          <w:tcPr>
            <w:tcW w:w="883" w:type="pct"/>
            <w:tcBorders>
              <w:top w:val="nil"/>
              <w:left w:val="nil"/>
              <w:bottom w:val="nil"/>
              <w:right w:val="nil"/>
            </w:tcBorders>
            <w:shd w:val="clear" w:color="000000" w:fill="FFFFFF"/>
            <w:vAlign w:val="bottom"/>
          </w:tcPr>
          <w:p w14:paraId="27D9BAB1"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11</w:t>
            </w:r>
          </w:p>
        </w:tc>
        <w:tc>
          <w:tcPr>
            <w:tcW w:w="516" w:type="pct"/>
            <w:tcBorders>
              <w:top w:val="nil"/>
              <w:left w:val="nil"/>
              <w:bottom w:val="nil"/>
              <w:right w:val="nil"/>
            </w:tcBorders>
            <w:shd w:val="clear" w:color="000000" w:fill="FFFFFF"/>
            <w:vAlign w:val="bottom"/>
          </w:tcPr>
          <w:p w14:paraId="66DBEB2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8,501</w:t>
            </w:r>
          </w:p>
        </w:tc>
        <w:tc>
          <w:tcPr>
            <w:tcW w:w="516" w:type="pct"/>
            <w:tcBorders>
              <w:top w:val="nil"/>
              <w:left w:val="nil"/>
              <w:bottom w:val="nil"/>
              <w:right w:val="nil"/>
            </w:tcBorders>
            <w:shd w:val="clear" w:color="000000" w:fill="FFFFFF"/>
            <w:vAlign w:val="bottom"/>
          </w:tcPr>
          <w:p w14:paraId="1DD9CCC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8,501</w:t>
            </w:r>
          </w:p>
        </w:tc>
        <w:tc>
          <w:tcPr>
            <w:tcW w:w="263" w:type="pct"/>
            <w:tcBorders>
              <w:top w:val="nil"/>
              <w:left w:val="nil"/>
              <w:bottom w:val="nil"/>
              <w:right w:val="nil"/>
            </w:tcBorders>
            <w:shd w:val="clear" w:color="000000" w:fill="FFFFFF"/>
            <w:vAlign w:val="bottom"/>
          </w:tcPr>
          <w:p w14:paraId="4791C74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noWrap/>
            <w:vAlign w:val="bottom"/>
          </w:tcPr>
          <w:p w14:paraId="3E97F37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5,942 </w:t>
            </w:r>
          </w:p>
        </w:tc>
        <w:tc>
          <w:tcPr>
            <w:tcW w:w="526" w:type="pct"/>
            <w:tcBorders>
              <w:top w:val="nil"/>
              <w:left w:val="nil"/>
              <w:bottom w:val="nil"/>
              <w:right w:val="nil"/>
            </w:tcBorders>
            <w:shd w:val="clear" w:color="000000" w:fill="FFFFFF"/>
            <w:noWrap/>
            <w:vAlign w:val="bottom"/>
          </w:tcPr>
          <w:p w14:paraId="66633CC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5,942 </w:t>
            </w:r>
          </w:p>
        </w:tc>
      </w:tr>
      <w:tr w:rsidR="00717BA5" w:rsidRPr="00717BA5" w14:paraId="4303E7C6" w14:textId="77777777" w:rsidTr="00F0752D">
        <w:trPr>
          <w:trHeight w:val="284"/>
        </w:trPr>
        <w:tc>
          <w:tcPr>
            <w:tcW w:w="1780" w:type="pct"/>
            <w:tcBorders>
              <w:top w:val="nil"/>
              <w:left w:val="nil"/>
              <w:bottom w:val="nil"/>
              <w:right w:val="nil"/>
            </w:tcBorders>
            <w:shd w:val="clear" w:color="000000" w:fill="FFFFFF"/>
            <w:vAlign w:val="bottom"/>
          </w:tcPr>
          <w:p w14:paraId="32351F6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Investments</w:t>
            </w:r>
          </w:p>
        </w:tc>
        <w:tc>
          <w:tcPr>
            <w:tcW w:w="883" w:type="pct"/>
            <w:tcBorders>
              <w:top w:val="nil"/>
              <w:left w:val="nil"/>
              <w:bottom w:val="nil"/>
              <w:right w:val="nil"/>
            </w:tcBorders>
            <w:shd w:val="clear" w:color="000000" w:fill="FFFFFF"/>
            <w:vAlign w:val="bottom"/>
          </w:tcPr>
          <w:p w14:paraId="3B025483"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11</w:t>
            </w:r>
          </w:p>
        </w:tc>
        <w:tc>
          <w:tcPr>
            <w:tcW w:w="516" w:type="pct"/>
            <w:tcBorders>
              <w:top w:val="nil"/>
              <w:left w:val="nil"/>
              <w:bottom w:val="nil"/>
              <w:right w:val="nil"/>
            </w:tcBorders>
            <w:shd w:val="clear" w:color="000000" w:fill="FFFFFF"/>
            <w:vAlign w:val="bottom"/>
          </w:tcPr>
          <w:p w14:paraId="6370F1D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380,271</w:t>
            </w:r>
          </w:p>
        </w:tc>
        <w:tc>
          <w:tcPr>
            <w:tcW w:w="516" w:type="pct"/>
            <w:tcBorders>
              <w:top w:val="nil"/>
              <w:left w:val="nil"/>
              <w:bottom w:val="nil"/>
              <w:right w:val="nil"/>
            </w:tcBorders>
            <w:shd w:val="clear" w:color="000000" w:fill="FFFFFF"/>
            <w:vAlign w:val="bottom"/>
          </w:tcPr>
          <w:p w14:paraId="7EFBA80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380,271</w:t>
            </w:r>
          </w:p>
        </w:tc>
        <w:tc>
          <w:tcPr>
            <w:tcW w:w="263" w:type="pct"/>
            <w:tcBorders>
              <w:top w:val="nil"/>
              <w:left w:val="nil"/>
              <w:bottom w:val="nil"/>
              <w:right w:val="nil"/>
            </w:tcBorders>
            <w:shd w:val="clear" w:color="000000" w:fill="FFFFFF"/>
            <w:vAlign w:val="bottom"/>
          </w:tcPr>
          <w:p w14:paraId="176A720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noWrap/>
            <w:vAlign w:val="bottom"/>
          </w:tcPr>
          <w:p w14:paraId="69A5740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351,072 </w:t>
            </w:r>
          </w:p>
        </w:tc>
        <w:tc>
          <w:tcPr>
            <w:tcW w:w="526" w:type="pct"/>
            <w:tcBorders>
              <w:top w:val="nil"/>
              <w:left w:val="nil"/>
              <w:bottom w:val="nil"/>
              <w:right w:val="nil"/>
            </w:tcBorders>
            <w:shd w:val="clear" w:color="000000" w:fill="FFFFFF"/>
            <w:noWrap/>
            <w:vAlign w:val="bottom"/>
          </w:tcPr>
          <w:p w14:paraId="0B61D3B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351,072 </w:t>
            </w:r>
          </w:p>
        </w:tc>
      </w:tr>
      <w:tr w:rsidR="00717BA5" w:rsidRPr="00717BA5" w14:paraId="486AA7E7" w14:textId="77777777" w:rsidTr="00F0752D">
        <w:trPr>
          <w:trHeight w:val="284"/>
        </w:trPr>
        <w:tc>
          <w:tcPr>
            <w:tcW w:w="1780" w:type="pct"/>
            <w:tcBorders>
              <w:top w:val="nil"/>
              <w:left w:val="nil"/>
              <w:bottom w:val="nil"/>
              <w:right w:val="nil"/>
            </w:tcBorders>
            <w:shd w:val="clear" w:color="000000" w:fill="FFFFFF"/>
            <w:vAlign w:val="bottom"/>
          </w:tcPr>
          <w:p w14:paraId="07DF7E09"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Accrued Investment Revenue and Interest</w:t>
            </w:r>
          </w:p>
        </w:tc>
        <w:tc>
          <w:tcPr>
            <w:tcW w:w="883" w:type="pct"/>
            <w:tcBorders>
              <w:top w:val="nil"/>
              <w:left w:val="nil"/>
              <w:bottom w:val="nil"/>
              <w:right w:val="nil"/>
            </w:tcBorders>
            <w:shd w:val="clear" w:color="000000" w:fill="FFFFFF"/>
            <w:vAlign w:val="bottom"/>
          </w:tcPr>
          <w:p w14:paraId="23F2D059"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12</w:t>
            </w:r>
          </w:p>
        </w:tc>
        <w:tc>
          <w:tcPr>
            <w:tcW w:w="516" w:type="pct"/>
            <w:tcBorders>
              <w:top w:val="nil"/>
              <w:left w:val="nil"/>
              <w:bottom w:val="nil"/>
              <w:right w:val="nil"/>
            </w:tcBorders>
            <w:vAlign w:val="bottom"/>
          </w:tcPr>
          <w:p w14:paraId="352FBF3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5,934</w:t>
            </w:r>
          </w:p>
        </w:tc>
        <w:tc>
          <w:tcPr>
            <w:tcW w:w="516" w:type="pct"/>
            <w:tcBorders>
              <w:top w:val="nil"/>
              <w:left w:val="nil"/>
              <w:bottom w:val="nil"/>
              <w:right w:val="nil"/>
            </w:tcBorders>
            <w:vAlign w:val="bottom"/>
          </w:tcPr>
          <w:p w14:paraId="03C6CB5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5,934</w:t>
            </w:r>
          </w:p>
        </w:tc>
        <w:tc>
          <w:tcPr>
            <w:tcW w:w="263" w:type="pct"/>
            <w:tcBorders>
              <w:top w:val="nil"/>
              <w:left w:val="nil"/>
              <w:bottom w:val="nil"/>
              <w:right w:val="nil"/>
            </w:tcBorders>
            <w:shd w:val="clear" w:color="000000" w:fill="FFFFFF"/>
            <w:vAlign w:val="bottom"/>
          </w:tcPr>
          <w:p w14:paraId="7C738AD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6" w:type="pct"/>
            <w:tcBorders>
              <w:top w:val="nil"/>
              <w:left w:val="nil"/>
              <w:bottom w:val="nil"/>
              <w:right w:val="nil"/>
            </w:tcBorders>
            <w:noWrap/>
            <w:vAlign w:val="bottom"/>
          </w:tcPr>
          <w:p w14:paraId="77A249D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3,478 </w:t>
            </w:r>
          </w:p>
        </w:tc>
        <w:tc>
          <w:tcPr>
            <w:tcW w:w="526" w:type="pct"/>
            <w:tcBorders>
              <w:top w:val="nil"/>
              <w:left w:val="nil"/>
              <w:bottom w:val="nil"/>
              <w:right w:val="nil"/>
            </w:tcBorders>
            <w:noWrap/>
            <w:vAlign w:val="bottom"/>
          </w:tcPr>
          <w:p w14:paraId="27F6F6E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3,478 </w:t>
            </w:r>
          </w:p>
        </w:tc>
      </w:tr>
      <w:tr w:rsidR="00717BA5" w:rsidRPr="00717BA5" w14:paraId="2DF3872A" w14:textId="77777777" w:rsidTr="00F0752D">
        <w:trPr>
          <w:trHeight w:val="284"/>
        </w:trPr>
        <w:tc>
          <w:tcPr>
            <w:tcW w:w="1780" w:type="pct"/>
            <w:tcBorders>
              <w:left w:val="nil"/>
              <w:right w:val="nil"/>
            </w:tcBorders>
            <w:shd w:val="clear" w:color="000000" w:fill="FFFFFF"/>
            <w:vAlign w:val="bottom"/>
          </w:tcPr>
          <w:p w14:paraId="3EB8144C"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Financial Assets</w:t>
            </w:r>
          </w:p>
        </w:tc>
        <w:tc>
          <w:tcPr>
            <w:tcW w:w="883" w:type="pct"/>
            <w:tcBorders>
              <w:left w:val="nil"/>
              <w:right w:val="nil"/>
            </w:tcBorders>
            <w:shd w:val="clear" w:color="000000" w:fill="FFFFFF"/>
            <w:vAlign w:val="bottom"/>
          </w:tcPr>
          <w:p w14:paraId="36EF771C" w14:textId="77777777" w:rsidR="00717BA5" w:rsidRPr="00717BA5" w:rsidRDefault="00717BA5" w:rsidP="00717BA5">
            <w:pPr>
              <w:spacing w:after="0" w:line="240" w:lineRule="auto"/>
              <w:jc w:val="center"/>
              <w:rPr>
                <w:rFonts w:ascii="Arial" w:eastAsia="Times New Roman" w:hAnsi="Arial" w:cs="Arial"/>
                <w:b/>
                <w:color w:val="auto"/>
                <w:sz w:val="18"/>
                <w:szCs w:val="18"/>
                <w:lang w:val="en-AU"/>
              </w:rPr>
            </w:pPr>
          </w:p>
        </w:tc>
        <w:tc>
          <w:tcPr>
            <w:tcW w:w="516" w:type="pct"/>
            <w:tcBorders>
              <w:top w:val="single" w:sz="4" w:space="0" w:color="auto"/>
              <w:left w:val="nil"/>
              <w:bottom w:val="double" w:sz="6" w:space="0" w:color="auto"/>
              <w:right w:val="nil"/>
            </w:tcBorders>
            <w:shd w:val="clear" w:color="000000" w:fill="FFFFFF"/>
            <w:vAlign w:val="bottom"/>
          </w:tcPr>
          <w:p w14:paraId="1BB93C4C"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394,706</w:t>
            </w:r>
          </w:p>
        </w:tc>
        <w:tc>
          <w:tcPr>
            <w:tcW w:w="516" w:type="pct"/>
            <w:tcBorders>
              <w:top w:val="single" w:sz="4" w:space="0" w:color="auto"/>
              <w:left w:val="nil"/>
              <w:bottom w:val="double" w:sz="6" w:space="0" w:color="auto"/>
              <w:right w:val="nil"/>
            </w:tcBorders>
            <w:shd w:val="clear" w:color="000000" w:fill="FFFFFF"/>
            <w:vAlign w:val="bottom"/>
          </w:tcPr>
          <w:p w14:paraId="2C4B0242"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394,706</w:t>
            </w:r>
          </w:p>
        </w:tc>
        <w:tc>
          <w:tcPr>
            <w:tcW w:w="263" w:type="pct"/>
            <w:tcBorders>
              <w:left w:val="nil"/>
              <w:right w:val="nil"/>
            </w:tcBorders>
            <w:shd w:val="clear" w:color="000000" w:fill="FFFFFF"/>
            <w:vAlign w:val="bottom"/>
          </w:tcPr>
          <w:p w14:paraId="54A25ED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516" w:type="pct"/>
            <w:tcBorders>
              <w:top w:val="single" w:sz="4" w:space="0" w:color="auto"/>
              <w:left w:val="nil"/>
              <w:bottom w:val="double" w:sz="6" w:space="0" w:color="auto"/>
              <w:right w:val="nil"/>
            </w:tcBorders>
            <w:shd w:val="clear" w:color="000000" w:fill="FFFFFF"/>
            <w:noWrap/>
            <w:vAlign w:val="bottom"/>
          </w:tcPr>
          <w:p w14:paraId="741E29A9"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 xml:space="preserve"> 360,492 </w:t>
            </w:r>
          </w:p>
        </w:tc>
        <w:tc>
          <w:tcPr>
            <w:tcW w:w="526" w:type="pct"/>
            <w:tcBorders>
              <w:top w:val="single" w:sz="4" w:space="0" w:color="auto"/>
              <w:left w:val="nil"/>
              <w:bottom w:val="double" w:sz="6" w:space="0" w:color="auto"/>
              <w:right w:val="nil"/>
            </w:tcBorders>
            <w:shd w:val="clear" w:color="000000" w:fill="FFFFFF"/>
            <w:noWrap/>
            <w:vAlign w:val="bottom"/>
          </w:tcPr>
          <w:p w14:paraId="44312F61"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 xml:space="preserve"> 360,492 </w:t>
            </w:r>
          </w:p>
        </w:tc>
      </w:tr>
      <w:tr w:rsidR="00717BA5" w:rsidRPr="00717BA5" w14:paraId="33E5938E" w14:textId="77777777" w:rsidTr="00F0752D">
        <w:trPr>
          <w:trHeight w:val="284"/>
        </w:trPr>
        <w:tc>
          <w:tcPr>
            <w:tcW w:w="1780" w:type="pct"/>
            <w:tcBorders>
              <w:top w:val="nil"/>
              <w:left w:val="nil"/>
              <w:bottom w:val="nil"/>
              <w:right w:val="nil"/>
            </w:tcBorders>
            <w:shd w:val="clear" w:color="000000" w:fill="FFFFFF"/>
            <w:vAlign w:val="bottom"/>
          </w:tcPr>
          <w:p w14:paraId="72951173"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883" w:type="pct"/>
            <w:tcBorders>
              <w:top w:val="nil"/>
              <w:left w:val="nil"/>
              <w:bottom w:val="nil"/>
              <w:right w:val="nil"/>
            </w:tcBorders>
            <w:shd w:val="clear" w:color="000000" w:fill="FFFFFF"/>
            <w:vAlign w:val="bottom"/>
          </w:tcPr>
          <w:p w14:paraId="5BCB55A6"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vAlign w:val="bottom"/>
          </w:tcPr>
          <w:p w14:paraId="22A1984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vAlign w:val="bottom"/>
          </w:tcPr>
          <w:p w14:paraId="2C5C710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63" w:type="pct"/>
            <w:tcBorders>
              <w:top w:val="nil"/>
              <w:left w:val="nil"/>
              <w:bottom w:val="nil"/>
              <w:right w:val="nil"/>
            </w:tcBorders>
            <w:shd w:val="clear" w:color="000000" w:fill="FFFFFF"/>
            <w:vAlign w:val="bottom"/>
          </w:tcPr>
          <w:p w14:paraId="7168F61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noWrap/>
            <w:vAlign w:val="bottom"/>
          </w:tcPr>
          <w:p w14:paraId="62B5439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26" w:type="pct"/>
            <w:tcBorders>
              <w:top w:val="nil"/>
              <w:left w:val="nil"/>
              <w:bottom w:val="nil"/>
              <w:right w:val="nil"/>
            </w:tcBorders>
            <w:shd w:val="clear" w:color="000000" w:fill="FFFFFF"/>
            <w:noWrap/>
            <w:vAlign w:val="bottom"/>
          </w:tcPr>
          <w:p w14:paraId="5EEFE30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45715676" w14:textId="77777777" w:rsidTr="00F0752D">
        <w:trPr>
          <w:trHeight w:val="284"/>
        </w:trPr>
        <w:tc>
          <w:tcPr>
            <w:tcW w:w="1780" w:type="pct"/>
            <w:tcBorders>
              <w:top w:val="nil"/>
              <w:left w:val="nil"/>
              <w:bottom w:val="nil"/>
              <w:right w:val="nil"/>
            </w:tcBorders>
            <w:shd w:val="clear" w:color="000000" w:fill="FFFFFF"/>
            <w:vAlign w:val="bottom"/>
          </w:tcPr>
          <w:p w14:paraId="095A8CC6"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Financial Liabilities</w:t>
            </w:r>
          </w:p>
        </w:tc>
        <w:tc>
          <w:tcPr>
            <w:tcW w:w="883" w:type="pct"/>
            <w:tcBorders>
              <w:top w:val="nil"/>
              <w:left w:val="nil"/>
              <w:bottom w:val="nil"/>
              <w:right w:val="nil"/>
            </w:tcBorders>
            <w:shd w:val="clear" w:color="000000" w:fill="FFFFFF"/>
            <w:vAlign w:val="bottom"/>
          </w:tcPr>
          <w:p w14:paraId="71D747C4"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vAlign w:val="bottom"/>
          </w:tcPr>
          <w:p w14:paraId="6AE9211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vAlign w:val="bottom"/>
          </w:tcPr>
          <w:p w14:paraId="0CA8399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63" w:type="pct"/>
            <w:tcBorders>
              <w:top w:val="nil"/>
              <w:left w:val="nil"/>
              <w:bottom w:val="nil"/>
              <w:right w:val="nil"/>
            </w:tcBorders>
            <w:shd w:val="clear" w:color="000000" w:fill="FFFFFF"/>
            <w:vAlign w:val="bottom"/>
          </w:tcPr>
          <w:p w14:paraId="2CB5360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noWrap/>
            <w:vAlign w:val="bottom"/>
          </w:tcPr>
          <w:p w14:paraId="3EE6C04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26" w:type="pct"/>
            <w:tcBorders>
              <w:top w:val="nil"/>
              <w:left w:val="nil"/>
              <w:bottom w:val="nil"/>
              <w:right w:val="nil"/>
            </w:tcBorders>
            <w:shd w:val="clear" w:color="000000" w:fill="FFFFFF"/>
            <w:noWrap/>
            <w:vAlign w:val="bottom"/>
          </w:tcPr>
          <w:p w14:paraId="356A2DF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7A4B68F0" w14:textId="77777777" w:rsidTr="00F0752D">
        <w:trPr>
          <w:trHeight w:val="284"/>
        </w:trPr>
        <w:tc>
          <w:tcPr>
            <w:tcW w:w="1780" w:type="pct"/>
            <w:tcBorders>
              <w:top w:val="nil"/>
              <w:left w:val="nil"/>
              <w:bottom w:val="nil"/>
              <w:right w:val="nil"/>
            </w:tcBorders>
            <w:shd w:val="clear" w:color="000000" w:fill="FFFFFF"/>
            <w:vAlign w:val="bottom"/>
          </w:tcPr>
          <w:p w14:paraId="280EB387"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883" w:type="pct"/>
            <w:tcBorders>
              <w:top w:val="nil"/>
              <w:left w:val="nil"/>
              <w:bottom w:val="nil"/>
              <w:right w:val="nil"/>
            </w:tcBorders>
            <w:shd w:val="clear" w:color="000000" w:fill="FFFFFF"/>
            <w:vAlign w:val="bottom"/>
          </w:tcPr>
          <w:p w14:paraId="570A0088"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vAlign w:val="bottom"/>
          </w:tcPr>
          <w:p w14:paraId="35C34DF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vAlign w:val="bottom"/>
          </w:tcPr>
          <w:p w14:paraId="2093513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63" w:type="pct"/>
            <w:tcBorders>
              <w:top w:val="nil"/>
              <w:left w:val="nil"/>
              <w:bottom w:val="nil"/>
              <w:right w:val="nil"/>
            </w:tcBorders>
            <w:shd w:val="clear" w:color="000000" w:fill="FFFFFF"/>
            <w:vAlign w:val="bottom"/>
          </w:tcPr>
          <w:p w14:paraId="4E9FFD0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noWrap/>
            <w:vAlign w:val="bottom"/>
          </w:tcPr>
          <w:p w14:paraId="6AB9EE8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26" w:type="pct"/>
            <w:tcBorders>
              <w:top w:val="nil"/>
              <w:left w:val="nil"/>
              <w:bottom w:val="nil"/>
              <w:right w:val="nil"/>
            </w:tcBorders>
            <w:shd w:val="clear" w:color="000000" w:fill="FFFFFF"/>
            <w:noWrap/>
            <w:vAlign w:val="bottom"/>
          </w:tcPr>
          <w:p w14:paraId="7A00586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1BBF0CF6" w14:textId="77777777" w:rsidTr="00F0752D">
        <w:trPr>
          <w:trHeight w:val="284"/>
        </w:trPr>
        <w:tc>
          <w:tcPr>
            <w:tcW w:w="1780" w:type="pct"/>
            <w:tcBorders>
              <w:top w:val="nil"/>
              <w:left w:val="nil"/>
              <w:bottom w:val="nil"/>
              <w:right w:val="nil"/>
            </w:tcBorders>
            <w:shd w:val="clear" w:color="000000" w:fill="FFFFFF"/>
            <w:vAlign w:val="bottom"/>
          </w:tcPr>
          <w:p w14:paraId="3A05A803" w14:textId="6F65CBC5"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Payables</w:t>
            </w:r>
            <w:r w:rsidR="00FC0A57">
              <w:rPr>
                <w:rFonts w:ascii="ZWAdobeF" w:eastAsia="Times New Roman" w:hAnsi="ZWAdobeF" w:cs="ZWAdobeF"/>
                <w:color w:val="auto"/>
                <w:sz w:val="2"/>
                <w:szCs w:val="2"/>
                <w:lang w:val="en-AU"/>
              </w:rPr>
              <w:t>19F</w:t>
            </w:r>
            <w:r w:rsidRPr="00717BA5">
              <w:rPr>
                <w:rFonts w:ascii="Arial" w:eastAsia="Times New Roman" w:hAnsi="Arial" w:cs="Arial"/>
                <w:color w:val="auto"/>
                <w:sz w:val="18"/>
                <w:szCs w:val="18"/>
                <w:vertAlign w:val="superscript"/>
                <w:lang w:val="en-AU"/>
              </w:rPr>
              <w:footnoteReference w:id="21"/>
            </w:r>
          </w:p>
        </w:tc>
        <w:tc>
          <w:tcPr>
            <w:tcW w:w="883" w:type="pct"/>
            <w:tcBorders>
              <w:top w:val="nil"/>
              <w:left w:val="nil"/>
              <w:bottom w:val="nil"/>
              <w:right w:val="nil"/>
            </w:tcBorders>
            <w:shd w:val="clear" w:color="000000" w:fill="FFFFFF"/>
            <w:vAlign w:val="bottom"/>
          </w:tcPr>
          <w:p w14:paraId="060B596E" w14:textId="77777777" w:rsidR="00717BA5" w:rsidRPr="00717BA5" w:rsidRDefault="00717BA5" w:rsidP="00717BA5">
            <w:pPr>
              <w:spacing w:after="0" w:line="240" w:lineRule="auto"/>
              <w:jc w:val="center"/>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14</w:t>
            </w:r>
          </w:p>
        </w:tc>
        <w:tc>
          <w:tcPr>
            <w:tcW w:w="516" w:type="pct"/>
            <w:tcBorders>
              <w:top w:val="nil"/>
              <w:left w:val="nil"/>
              <w:bottom w:val="nil"/>
              <w:right w:val="nil"/>
            </w:tcBorders>
            <w:shd w:val="clear" w:color="000000" w:fill="FFFFFF"/>
            <w:vAlign w:val="bottom"/>
          </w:tcPr>
          <w:p w14:paraId="7C72785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287</w:t>
            </w:r>
          </w:p>
        </w:tc>
        <w:tc>
          <w:tcPr>
            <w:tcW w:w="516" w:type="pct"/>
            <w:tcBorders>
              <w:top w:val="nil"/>
              <w:left w:val="nil"/>
              <w:bottom w:val="nil"/>
              <w:right w:val="nil"/>
            </w:tcBorders>
            <w:shd w:val="clear" w:color="000000" w:fill="FFFFFF"/>
            <w:vAlign w:val="bottom"/>
          </w:tcPr>
          <w:p w14:paraId="4E80C32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287</w:t>
            </w:r>
          </w:p>
        </w:tc>
        <w:tc>
          <w:tcPr>
            <w:tcW w:w="263" w:type="pct"/>
            <w:tcBorders>
              <w:top w:val="nil"/>
              <w:left w:val="nil"/>
              <w:bottom w:val="nil"/>
              <w:right w:val="nil"/>
            </w:tcBorders>
            <w:shd w:val="clear" w:color="000000" w:fill="FFFFFF"/>
            <w:vAlign w:val="bottom"/>
          </w:tcPr>
          <w:p w14:paraId="3CCCA07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6" w:type="pct"/>
            <w:tcBorders>
              <w:top w:val="nil"/>
              <w:left w:val="nil"/>
              <w:bottom w:val="nil"/>
              <w:right w:val="nil"/>
            </w:tcBorders>
            <w:shd w:val="clear" w:color="000000" w:fill="FFFFFF"/>
            <w:noWrap/>
            <w:vAlign w:val="bottom"/>
          </w:tcPr>
          <w:p w14:paraId="1135C10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372</w:t>
            </w:r>
          </w:p>
        </w:tc>
        <w:tc>
          <w:tcPr>
            <w:tcW w:w="526" w:type="pct"/>
            <w:tcBorders>
              <w:top w:val="nil"/>
              <w:left w:val="nil"/>
              <w:bottom w:val="nil"/>
              <w:right w:val="nil"/>
            </w:tcBorders>
            <w:shd w:val="clear" w:color="000000" w:fill="FFFFFF"/>
            <w:noWrap/>
            <w:vAlign w:val="bottom"/>
          </w:tcPr>
          <w:p w14:paraId="563A759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 372 </w:t>
            </w:r>
          </w:p>
        </w:tc>
      </w:tr>
      <w:tr w:rsidR="00717BA5" w:rsidRPr="00717BA5" w14:paraId="4F33F80D" w14:textId="77777777" w:rsidTr="00F0752D">
        <w:trPr>
          <w:trHeight w:val="284"/>
        </w:trPr>
        <w:tc>
          <w:tcPr>
            <w:tcW w:w="1780" w:type="pct"/>
            <w:tcBorders>
              <w:left w:val="nil"/>
              <w:right w:val="nil"/>
            </w:tcBorders>
            <w:shd w:val="clear" w:color="000000" w:fill="FFFFFF"/>
            <w:vAlign w:val="bottom"/>
          </w:tcPr>
          <w:p w14:paraId="0B60F5B0"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Financial Liabilities</w:t>
            </w:r>
          </w:p>
        </w:tc>
        <w:tc>
          <w:tcPr>
            <w:tcW w:w="883" w:type="pct"/>
            <w:tcBorders>
              <w:left w:val="nil"/>
              <w:right w:val="nil"/>
            </w:tcBorders>
            <w:shd w:val="clear" w:color="000000" w:fill="FFFFFF"/>
            <w:vAlign w:val="bottom"/>
          </w:tcPr>
          <w:p w14:paraId="21BE1CE2" w14:textId="77777777" w:rsidR="00717BA5" w:rsidRPr="00717BA5" w:rsidRDefault="00717BA5" w:rsidP="00717BA5">
            <w:pPr>
              <w:spacing w:after="0" w:line="240" w:lineRule="auto"/>
              <w:jc w:val="center"/>
              <w:rPr>
                <w:rFonts w:ascii="Arial" w:eastAsia="Times New Roman" w:hAnsi="Arial" w:cs="Arial"/>
                <w:b/>
                <w:color w:val="auto"/>
                <w:sz w:val="18"/>
                <w:szCs w:val="18"/>
                <w:lang w:val="en-AU"/>
              </w:rPr>
            </w:pPr>
          </w:p>
        </w:tc>
        <w:tc>
          <w:tcPr>
            <w:tcW w:w="516" w:type="pct"/>
            <w:tcBorders>
              <w:top w:val="single" w:sz="4" w:space="0" w:color="auto"/>
              <w:left w:val="nil"/>
              <w:bottom w:val="double" w:sz="6" w:space="0" w:color="auto"/>
              <w:right w:val="nil"/>
            </w:tcBorders>
            <w:shd w:val="clear" w:color="000000" w:fill="FFFFFF"/>
            <w:vAlign w:val="bottom"/>
          </w:tcPr>
          <w:p w14:paraId="1566C992"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287</w:t>
            </w:r>
          </w:p>
        </w:tc>
        <w:tc>
          <w:tcPr>
            <w:tcW w:w="516" w:type="pct"/>
            <w:tcBorders>
              <w:top w:val="single" w:sz="4" w:space="0" w:color="auto"/>
              <w:left w:val="nil"/>
              <w:bottom w:val="double" w:sz="6" w:space="0" w:color="auto"/>
              <w:right w:val="nil"/>
            </w:tcBorders>
            <w:shd w:val="clear" w:color="000000" w:fill="FFFFFF"/>
            <w:vAlign w:val="bottom"/>
          </w:tcPr>
          <w:p w14:paraId="234F93BF"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287</w:t>
            </w:r>
          </w:p>
        </w:tc>
        <w:tc>
          <w:tcPr>
            <w:tcW w:w="263" w:type="pct"/>
            <w:tcBorders>
              <w:left w:val="nil"/>
              <w:right w:val="nil"/>
            </w:tcBorders>
            <w:shd w:val="clear" w:color="000000" w:fill="FFFFFF"/>
            <w:vAlign w:val="bottom"/>
          </w:tcPr>
          <w:p w14:paraId="3EE3D895"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516" w:type="pct"/>
            <w:tcBorders>
              <w:top w:val="single" w:sz="4" w:space="0" w:color="auto"/>
              <w:left w:val="nil"/>
              <w:bottom w:val="double" w:sz="6" w:space="0" w:color="auto"/>
              <w:right w:val="nil"/>
            </w:tcBorders>
            <w:shd w:val="clear" w:color="000000" w:fill="FFFFFF"/>
            <w:noWrap/>
            <w:vAlign w:val="bottom"/>
          </w:tcPr>
          <w:p w14:paraId="45F8AFEF"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 xml:space="preserve">372 </w:t>
            </w:r>
          </w:p>
        </w:tc>
        <w:tc>
          <w:tcPr>
            <w:tcW w:w="526" w:type="pct"/>
            <w:tcBorders>
              <w:top w:val="single" w:sz="4" w:space="0" w:color="auto"/>
              <w:left w:val="nil"/>
              <w:bottom w:val="double" w:sz="6" w:space="0" w:color="auto"/>
              <w:right w:val="nil"/>
            </w:tcBorders>
            <w:shd w:val="clear" w:color="000000" w:fill="FFFFFF"/>
            <w:noWrap/>
            <w:vAlign w:val="bottom"/>
          </w:tcPr>
          <w:p w14:paraId="70823B9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 xml:space="preserve"> 372 </w:t>
            </w:r>
          </w:p>
        </w:tc>
      </w:tr>
    </w:tbl>
    <w:p w14:paraId="17BFE491" w14:textId="77777777" w:rsidR="00717BA5" w:rsidRPr="00717BA5" w:rsidRDefault="00717BA5" w:rsidP="00717BA5">
      <w:pPr>
        <w:spacing w:after="0" w:line="240" w:lineRule="auto"/>
        <w:jc w:val="both"/>
        <w:rPr>
          <w:rFonts w:ascii="Arial" w:eastAsia="Times New Roman" w:hAnsi="Arial" w:cs="Arial"/>
          <w:color w:val="auto"/>
          <w:sz w:val="18"/>
          <w:szCs w:val="18"/>
          <w:lang w:val="en-AU"/>
        </w:rPr>
      </w:pPr>
    </w:p>
    <w:p w14:paraId="37B039FC" w14:textId="77777777" w:rsidR="00717BA5" w:rsidRPr="00717BA5" w:rsidRDefault="00717BA5" w:rsidP="00717BA5">
      <w:pPr>
        <w:spacing w:after="0" w:line="240" w:lineRule="auto"/>
        <w:jc w:val="both"/>
        <w:rPr>
          <w:rFonts w:ascii="Arial" w:eastAsia="Times New Roman" w:hAnsi="Arial" w:cs="Arial"/>
          <w:color w:val="auto"/>
          <w:sz w:val="18"/>
          <w:szCs w:val="18"/>
          <w:lang w:val="en-AU"/>
        </w:rPr>
        <w:sectPr w:rsidR="00717BA5" w:rsidRPr="00717BA5" w:rsidSect="00717BA5">
          <w:headerReference w:type="default" r:id="rId76"/>
          <w:footerReference w:type="default" r:id="rId77"/>
          <w:pgSz w:w="11906" w:h="16838"/>
          <w:pgMar w:top="851" w:right="1106" w:bottom="1134" w:left="851" w:header="709" w:footer="709" w:gutter="0"/>
          <w:cols w:space="708"/>
          <w:docGrid w:linePitch="360"/>
        </w:sectPr>
      </w:pPr>
    </w:p>
    <w:p w14:paraId="7EAD51EF" w14:textId="77777777" w:rsidR="00717BA5" w:rsidRPr="00717BA5" w:rsidRDefault="00717BA5" w:rsidP="00717BA5">
      <w:pPr>
        <w:spacing w:after="0" w:line="240" w:lineRule="auto"/>
        <w:rPr>
          <w:rFonts w:ascii="Arial" w:eastAsia="SimSun" w:hAnsi="Arial" w:cs="Arial"/>
          <w:color w:val="auto"/>
          <w:lang w:val="en-AU"/>
        </w:rPr>
      </w:pPr>
    </w:p>
    <w:p w14:paraId="5A2D3269" w14:textId="77777777" w:rsidR="00717BA5" w:rsidRPr="00717BA5" w:rsidRDefault="00717BA5" w:rsidP="00717BA5">
      <w:pPr>
        <w:keepNext/>
        <w:spacing w:after="120" w:line="240" w:lineRule="auto"/>
        <w:jc w:val="both"/>
        <w:outlineLvl w:val="1"/>
        <w:rPr>
          <w:rFonts w:ascii="Arial" w:eastAsia="Times New Roman" w:hAnsi="Arial" w:cs="Arial"/>
          <w:b/>
          <w:bCs/>
          <w:color w:val="auto"/>
          <w:sz w:val="24"/>
          <w:szCs w:val="24"/>
          <w:lang w:val="en-AU"/>
        </w:rPr>
      </w:pPr>
      <w:bookmarkStart w:id="138" w:name="_Toc240533547"/>
      <w:r w:rsidRPr="00717BA5">
        <w:rPr>
          <w:rFonts w:ascii="Arial" w:eastAsia="Times New Roman" w:hAnsi="Arial" w:cs="Arial"/>
          <w:b/>
          <w:bCs/>
          <w:color w:val="auto"/>
          <w:sz w:val="24"/>
          <w:szCs w:val="24"/>
          <w:lang w:val="en-AU"/>
        </w:rPr>
        <w:t>NOTE 18 - FINANCIAL INSTRUMENTS – CONTINUED</w:t>
      </w:r>
      <w:bookmarkEnd w:id="138"/>
    </w:p>
    <w:p w14:paraId="12F3D843"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The following table sets out ACT Leave’s maturity analysis for financial liabilities as well as the exposure to interest rates, including the weighted average interest rates by maturity period as at 30 June 2026 and 30 June 2025 respectively. Financial liabilities, which are non-interest bearing will mature in one year or less. All amounts appearing in the following maturity analysis are reported on an undiscounted cash flow basis.</w:t>
      </w:r>
    </w:p>
    <w:tbl>
      <w:tblPr>
        <w:tblW w:w="0" w:type="auto"/>
        <w:tblInd w:w="-459" w:type="dxa"/>
        <w:tblLook w:val="04A0" w:firstRow="1" w:lastRow="0" w:firstColumn="1" w:lastColumn="0" w:noHBand="0" w:noVBand="1"/>
      </w:tblPr>
      <w:tblGrid>
        <w:gridCol w:w="1490"/>
        <w:gridCol w:w="456"/>
        <w:gridCol w:w="912"/>
        <w:gridCol w:w="820"/>
        <w:gridCol w:w="1065"/>
        <w:gridCol w:w="916"/>
        <w:gridCol w:w="1020"/>
        <w:gridCol w:w="972"/>
        <w:gridCol w:w="867"/>
        <w:gridCol w:w="222"/>
        <w:gridCol w:w="912"/>
        <w:gridCol w:w="820"/>
        <w:gridCol w:w="1065"/>
        <w:gridCol w:w="916"/>
        <w:gridCol w:w="1020"/>
        <w:gridCol w:w="972"/>
        <w:gridCol w:w="867"/>
      </w:tblGrid>
      <w:tr w:rsidR="00717BA5" w:rsidRPr="00717BA5" w14:paraId="2DB44BC7" w14:textId="77777777">
        <w:trPr>
          <w:trHeight w:val="272"/>
        </w:trPr>
        <w:tc>
          <w:tcPr>
            <w:tcW w:w="0" w:type="auto"/>
            <w:tcBorders>
              <w:top w:val="nil"/>
              <w:left w:val="nil"/>
            </w:tcBorders>
            <w:shd w:val="clear" w:color="000000" w:fill="FFFFFF"/>
            <w:tcMar>
              <w:left w:w="11" w:type="dxa"/>
              <w:right w:w="11" w:type="dxa"/>
            </w:tcMar>
            <w:vAlign w:val="bottom"/>
          </w:tcPr>
          <w:p w14:paraId="2FBC4E52" w14:textId="77777777" w:rsidR="00717BA5" w:rsidRPr="00717BA5" w:rsidRDefault="00717BA5" w:rsidP="00717BA5">
            <w:pPr>
              <w:spacing w:after="0" w:line="240" w:lineRule="auto"/>
              <w:jc w:val="center"/>
              <w:rPr>
                <w:rFonts w:ascii="Arial" w:eastAsia="Times New Roman" w:hAnsi="Arial" w:cs="Arial"/>
                <w:b/>
                <w:bCs/>
                <w:color w:val="auto"/>
                <w:sz w:val="17"/>
                <w:szCs w:val="17"/>
                <w:lang w:val="en-AU"/>
              </w:rPr>
            </w:pPr>
            <w:bookmarkStart w:id="139" w:name="_Hlk104556951"/>
          </w:p>
        </w:tc>
        <w:tc>
          <w:tcPr>
            <w:tcW w:w="0" w:type="auto"/>
            <w:shd w:val="clear" w:color="000000" w:fill="FFFFFF"/>
            <w:tcMar>
              <w:left w:w="11" w:type="dxa"/>
              <w:right w:w="11" w:type="dxa"/>
            </w:tcMar>
            <w:vAlign w:val="bottom"/>
          </w:tcPr>
          <w:p w14:paraId="66155A4E"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p>
          <w:p w14:paraId="5C365D38"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Note No.</w:t>
            </w:r>
          </w:p>
        </w:tc>
        <w:tc>
          <w:tcPr>
            <w:tcW w:w="0" w:type="auto"/>
            <w:shd w:val="clear" w:color="000000" w:fill="FFFFFF"/>
            <w:tcMar>
              <w:left w:w="11" w:type="dxa"/>
              <w:right w:w="11" w:type="dxa"/>
            </w:tcMar>
            <w:vAlign w:val="bottom"/>
          </w:tcPr>
          <w:p w14:paraId="2CA302FD"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p>
          <w:p w14:paraId="04B66EFE"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Weighted</w:t>
            </w:r>
          </w:p>
          <w:p w14:paraId="65CCB9E6"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Average Interest Rate</w:t>
            </w:r>
          </w:p>
        </w:tc>
        <w:tc>
          <w:tcPr>
            <w:tcW w:w="0" w:type="auto"/>
            <w:tcBorders>
              <w:top w:val="nil"/>
              <w:left w:val="nil"/>
              <w:bottom w:val="single" w:sz="4" w:space="0" w:color="auto"/>
              <w:right w:val="nil"/>
            </w:tcBorders>
            <w:shd w:val="clear" w:color="000000" w:fill="FFFFFF"/>
            <w:tcMar>
              <w:left w:w="11" w:type="dxa"/>
              <w:right w:w="11" w:type="dxa"/>
            </w:tcMar>
            <w:vAlign w:val="bottom"/>
          </w:tcPr>
          <w:p w14:paraId="7A048C29"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Floating Interest Rate</w:t>
            </w:r>
          </w:p>
        </w:tc>
        <w:tc>
          <w:tcPr>
            <w:tcW w:w="0" w:type="auto"/>
            <w:tcBorders>
              <w:top w:val="nil"/>
              <w:left w:val="nil"/>
              <w:bottom w:val="single" w:sz="4" w:space="0" w:color="auto"/>
              <w:right w:val="nil"/>
            </w:tcBorders>
            <w:shd w:val="clear" w:color="000000" w:fill="FFFFFF"/>
            <w:tcMar>
              <w:left w:w="11" w:type="dxa"/>
              <w:right w:w="11" w:type="dxa"/>
            </w:tcMar>
            <w:vAlign w:val="bottom"/>
          </w:tcPr>
          <w:p w14:paraId="1B81F868"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Fixed Interest Maturing in 1 Year or Less</w:t>
            </w:r>
          </w:p>
        </w:tc>
        <w:tc>
          <w:tcPr>
            <w:tcW w:w="0" w:type="auto"/>
            <w:tcBorders>
              <w:top w:val="nil"/>
              <w:left w:val="nil"/>
              <w:bottom w:val="single" w:sz="4" w:space="0" w:color="auto"/>
              <w:right w:val="nil"/>
            </w:tcBorders>
            <w:shd w:val="clear" w:color="000000" w:fill="FFFFFF"/>
            <w:tcMar>
              <w:left w:w="11" w:type="dxa"/>
              <w:right w:w="11" w:type="dxa"/>
            </w:tcMar>
            <w:vAlign w:val="bottom"/>
          </w:tcPr>
          <w:p w14:paraId="64237CD4"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Fixed</w:t>
            </w:r>
          </w:p>
          <w:p w14:paraId="4078C30F"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Interest Maturing between</w:t>
            </w:r>
          </w:p>
          <w:p w14:paraId="73DFDB75"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1 and 5   years</w:t>
            </w:r>
          </w:p>
        </w:tc>
        <w:tc>
          <w:tcPr>
            <w:tcW w:w="0" w:type="auto"/>
            <w:tcBorders>
              <w:top w:val="nil"/>
              <w:left w:val="nil"/>
              <w:bottom w:val="single" w:sz="4" w:space="0" w:color="auto"/>
              <w:right w:val="nil"/>
            </w:tcBorders>
            <w:shd w:val="clear" w:color="000000" w:fill="FFFFFF"/>
            <w:tcMar>
              <w:left w:w="11" w:type="dxa"/>
              <w:right w:w="11" w:type="dxa"/>
            </w:tcMar>
            <w:vAlign w:val="bottom"/>
          </w:tcPr>
          <w:p w14:paraId="6DF2FC81"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Fixed Interest Maturing after 5 years</w:t>
            </w:r>
          </w:p>
        </w:tc>
        <w:tc>
          <w:tcPr>
            <w:tcW w:w="0" w:type="auto"/>
            <w:tcBorders>
              <w:top w:val="nil"/>
              <w:left w:val="nil"/>
              <w:bottom w:val="single" w:sz="4" w:space="0" w:color="auto"/>
              <w:right w:val="nil"/>
            </w:tcBorders>
            <w:shd w:val="clear" w:color="000000" w:fill="FFFFFF"/>
            <w:tcMar>
              <w:left w:w="11" w:type="dxa"/>
              <w:right w:w="11" w:type="dxa"/>
            </w:tcMar>
            <w:vAlign w:val="bottom"/>
          </w:tcPr>
          <w:p w14:paraId="1DCDDB60"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proofErr w:type="spellStart"/>
            <w:r w:rsidRPr="00717BA5">
              <w:rPr>
                <w:rFonts w:ascii="Arial" w:eastAsia="Times New Roman" w:hAnsi="Arial" w:cs="Arial"/>
                <w:b/>
                <w:color w:val="auto"/>
                <w:sz w:val="17"/>
                <w:szCs w:val="17"/>
                <w:lang w:val="en-AU"/>
              </w:rPr>
              <w:t>Non Interest</w:t>
            </w:r>
            <w:proofErr w:type="spellEnd"/>
            <w:r w:rsidRPr="00717BA5">
              <w:rPr>
                <w:rFonts w:ascii="Arial" w:eastAsia="Times New Roman" w:hAnsi="Arial" w:cs="Arial"/>
                <w:b/>
                <w:color w:val="auto"/>
                <w:sz w:val="17"/>
                <w:szCs w:val="17"/>
                <w:lang w:val="en-AU"/>
              </w:rPr>
              <w:t xml:space="preserve"> Bearing</w:t>
            </w:r>
          </w:p>
        </w:tc>
        <w:tc>
          <w:tcPr>
            <w:tcW w:w="0" w:type="auto"/>
            <w:tcBorders>
              <w:top w:val="nil"/>
              <w:left w:val="nil"/>
              <w:bottom w:val="single" w:sz="4" w:space="0" w:color="auto"/>
              <w:right w:val="nil"/>
            </w:tcBorders>
            <w:shd w:val="clear" w:color="000000" w:fill="FFFFFF"/>
            <w:noWrap/>
            <w:tcMar>
              <w:left w:w="11" w:type="dxa"/>
              <w:right w:w="11" w:type="dxa"/>
            </w:tcMar>
            <w:vAlign w:val="bottom"/>
          </w:tcPr>
          <w:p w14:paraId="7D65A4BF"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Total</w:t>
            </w:r>
          </w:p>
        </w:tc>
        <w:tc>
          <w:tcPr>
            <w:tcW w:w="0" w:type="auto"/>
            <w:tcBorders>
              <w:top w:val="nil"/>
              <w:left w:val="nil"/>
              <w:right w:val="nil"/>
            </w:tcBorders>
            <w:shd w:val="clear" w:color="000000" w:fill="FFFFFF"/>
            <w:tcMar>
              <w:left w:w="11" w:type="dxa"/>
              <w:right w:w="11" w:type="dxa"/>
            </w:tcMar>
            <w:vAlign w:val="bottom"/>
          </w:tcPr>
          <w:p w14:paraId="3F6E4067"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p>
        </w:tc>
        <w:tc>
          <w:tcPr>
            <w:tcW w:w="0" w:type="auto"/>
            <w:tcBorders>
              <w:top w:val="nil"/>
              <w:left w:val="nil"/>
              <w:right w:val="nil"/>
            </w:tcBorders>
            <w:shd w:val="clear" w:color="000000" w:fill="FFFFFF"/>
            <w:tcMar>
              <w:left w:w="11" w:type="dxa"/>
              <w:right w:w="11" w:type="dxa"/>
            </w:tcMar>
            <w:vAlign w:val="bottom"/>
          </w:tcPr>
          <w:p w14:paraId="03A98391"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p>
          <w:p w14:paraId="1929047B"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Weighted</w:t>
            </w:r>
          </w:p>
          <w:p w14:paraId="559D9C01"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Average Interest Rate</w:t>
            </w:r>
          </w:p>
        </w:tc>
        <w:tc>
          <w:tcPr>
            <w:tcW w:w="0" w:type="auto"/>
            <w:tcBorders>
              <w:top w:val="nil"/>
              <w:left w:val="nil"/>
              <w:bottom w:val="single" w:sz="4" w:space="0" w:color="auto"/>
            </w:tcBorders>
            <w:shd w:val="clear" w:color="000000" w:fill="FFFFFF"/>
            <w:tcMar>
              <w:left w:w="11" w:type="dxa"/>
              <w:right w:w="11" w:type="dxa"/>
            </w:tcMar>
            <w:vAlign w:val="bottom"/>
          </w:tcPr>
          <w:p w14:paraId="1A76AA7B"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Floating Interest Rate</w:t>
            </w:r>
          </w:p>
        </w:tc>
        <w:tc>
          <w:tcPr>
            <w:tcW w:w="0" w:type="auto"/>
            <w:tcBorders>
              <w:top w:val="nil"/>
              <w:bottom w:val="single" w:sz="4" w:space="0" w:color="auto"/>
            </w:tcBorders>
            <w:shd w:val="clear" w:color="000000" w:fill="FFFFFF"/>
            <w:tcMar>
              <w:left w:w="11" w:type="dxa"/>
              <w:right w:w="11" w:type="dxa"/>
            </w:tcMar>
            <w:vAlign w:val="bottom"/>
          </w:tcPr>
          <w:p w14:paraId="5576FB89"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Fixed Interest Maturing in 1 Year or Less</w:t>
            </w:r>
          </w:p>
        </w:tc>
        <w:tc>
          <w:tcPr>
            <w:tcW w:w="0" w:type="auto"/>
            <w:tcBorders>
              <w:top w:val="nil"/>
              <w:bottom w:val="single" w:sz="4" w:space="0" w:color="auto"/>
            </w:tcBorders>
            <w:shd w:val="clear" w:color="000000" w:fill="FFFFFF"/>
            <w:tcMar>
              <w:left w:w="11" w:type="dxa"/>
              <w:right w:w="11" w:type="dxa"/>
            </w:tcMar>
            <w:vAlign w:val="bottom"/>
          </w:tcPr>
          <w:p w14:paraId="509CA237"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Fixed</w:t>
            </w:r>
          </w:p>
          <w:p w14:paraId="240803F4"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Interest Maturing between</w:t>
            </w:r>
          </w:p>
          <w:p w14:paraId="628C77AA"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1 and 5 years</w:t>
            </w:r>
          </w:p>
        </w:tc>
        <w:tc>
          <w:tcPr>
            <w:tcW w:w="0" w:type="auto"/>
            <w:tcBorders>
              <w:top w:val="nil"/>
              <w:bottom w:val="single" w:sz="4" w:space="0" w:color="auto"/>
            </w:tcBorders>
            <w:shd w:val="clear" w:color="000000" w:fill="FFFFFF"/>
            <w:tcMar>
              <w:left w:w="11" w:type="dxa"/>
              <w:right w:w="11" w:type="dxa"/>
            </w:tcMar>
            <w:vAlign w:val="bottom"/>
          </w:tcPr>
          <w:p w14:paraId="41D78E4C"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Fixed Interest Maturing after 5 years</w:t>
            </w:r>
          </w:p>
        </w:tc>
        <w:tc>
          <w:tcPr>
            <w:tcW w:w="0" w:type="auto"/>
            <w:tcBorders>
              <w:top w:val="nil"/>
              <w:left w:val="nil"/>
              <w:bottom w:val="single" w:sz="4" w:space="0" w:color="auto"/>
              <w:right w:val="nil"/>
            </w:tcBorders>
            <w:shd w:val="clear" w:color="000000" w:fill="FFFFFF"/>
            <w:tcMar>
              <w:left w:w="11" w:type="dxa"/>
              <w:right w:w="11" w:type="dxa"/>
            </w:tcMar>
            <w:vAlign w:val="bottom"/>
          </w:tcPr>
          <w:p w14:paraId="057AD5C6"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proofErr w:type="spellStart"/>
            <w:r w:rsidRPr="00717BA5">
              <w:rPr>
                <w:rFonts w:ascii="Arial" w:eastAsia="Times New Roman" w:hAnsi="Arial" w:cs="Arial"/>
                <w:b/>
                <w:color w:val="auto"/>
                <w:sz w:val="17"/>
                <w:szCs w:val="17"/>
                <w:lang w:val="en-AU"/>
              </w:rPr>
              <w:t>Non Interest</w:t>
            </w:r>
            <w:proofErr w:type="spellEnd"/>
            <w:r w:rsidRPr="00717BA5">
              <w:rPr>
                <w:rFonts w:ascii="Arial" w:eastAsia="Times New Roman" w:hAnsi="Arial" w:cs="Arial"/>
                <w:b/>
                <w:color w:val="auto"/>
                <w:sz w:val="17"/>
                <w:szCs w:val="17"/>
                <w:lang w:val="en-AU"/>
              </w:rPr>
              <w:t xml:space="preserve"> Bearing</w:t>
            </w:r>
          </w:p>
        </w:tc>
        <w:tc>
          <w:tcPr>
            <w:tcW w:w="0" w:type="auto"/>
            <w:tcBorders>
              <w:top w:val="nil"/>
              <w:left w:val="nil"/>
              <w:bottom w:val="single" w:sz="4" w:space="0" w:color="auto"/>
              <w:right w:val="nil"/>
            </w:tcBorders>
            <w:shd w:val="clear" w:color="000000" w:fill="FFFFFF"/>
            <w:tcMar>
              <w:left w:w="11" w:type="dxa"/>
              <w:right w:w="11" w:type="dxa"/>
            </w:tcMar>
            <w:vAlign w:val="bottom"/>
          </w:tcPr>
          <w:p w14:paraId="5467D070" w14:textId="77777777" w:rsidR="00717BA5" w:rsidRPr="00717BA5" w:rsidRDefault="00717BA5" w:rsidP="00717BA5">
            <w:pPr>
              <w:spacing w:after="0" w:line="240" w:lineRule="auto"/>
              <w:jc w:val="center"/>
              <w:rPr>
                <w:rFonts w:ascii="Arial" w:eastAsia="Times New Roman" w:hAnsi="Arial" w:cs="Arial"/>
                <w:b/>
                <w:color w:val="auto"/>
                <w:sz w:val="17"/>
                <w:szCs w:val="17"/>
                <w:lang w:val="en-AU"/>
              </w:rPr>
            </w:pPr>
            <w:r w:rsidRPr="00717BA5">
              <w:rPr>
                <w:rFonts w:ascii="Arial" w:eastAsia="Times New Roman" w:hAnsi="Arial" w:cs="Arial"/>
                <w:b/>
                <w:color w:val="auto"/>
                <w:sz w:val="17"/>
                <w:szCs w:val="17"/>
                <w:lang w:val="en-AU"/>
              </w:rPr>
              <w:t>Total</w:t>
            </w:r>
          </w:p>
        </w:tc>
      </w:tr>
      <w:tr w:rsidR="00717BA5" w:rsidRPr="00717BA5" w14:paraId="08037900" w14:textId="77777777">
        <w:trPr>
          <w:trHeight w:val="272"/>
        </w:trPr>
        <w:tc>
          <w:tcPr>
            <w:tcW w:w="0" w:type="auto"/>
            <w:tcBorders>
              <w:top w:val="nil"/>
              <w:left w:val="nil"/>
              <w:bottom w:val="nil"/>
            </w:tcBorders>
            <w:shd w:val="clear" w:color="000000" w:fill="FFFFFF"/>
            <w:vAlign w:val="bottom"/>
          </w:tcPr>
          <w:p w14:paraId="78CBEB21"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0" w:type="auto"/>
            <w:shd w:val="clear" w:color="000000" w:fill="FFFFFF"/>
            <w:vAlign w:val="bottom"/>
          </w:tcPr>
          <w:p w14:paraId="4208490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0" w:type="auto"/>
            <w:shd w:val="clear" w:color="000000" w:fill="FFFFFF"/>
            <w:vAlign w:val="bottom"/>
          </w:tcPr>
          <w:p w14:paraId="52E644B8"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0" w:type="auto"/>
            <w:tcBorders>
              <w:top w:val="single" w:sz="4" w:space="0" w:color="auto"/>
            </w:tcBorders>
            <w:shd w:val="clear" w:color="000000" w:fill="FFFFFF"/>
            <w:vAlign w:val="bottom"/>
          </w:tcPr>
          <w:p w14:paraId="66E7230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0" w:type="auto"/>
            <w:tcBorders>
              <w:top w:val="single" w:sz="4" w:space="0" w:color="auto"/>
            </w:tcBorders>
            <w:shd w:val="clear" w:color="000000" w:fill="FFFFFF"/>
            <w:vAlign w:val="bottom"/>
          </w:tcPr>
          <w:p w14:paraId="4C36C73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0" w:type="auto"/>
            <w:tcBorders>
              <w:top w:val="single" w:sz="4" w:space="0" w:color="auto"/>
            </w:tcBorders>
            <w:shd w:val="clear" w:color="000000" w:fill="FFFFFF"/>
            <w:vAlign w:val="bottom"/>
          </w:tcPr>
          <w:p w14:paraId="6C863BE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0" w:type="auto"/>
            <w:tcBorders>
              <w:top w:val="single" w:sz="4" w:space="0" w:color="auto"/>
            </w:tcBorders>
            <w:shd w:val="clear" w:color="000000" w:fill="FFFFFF"/>
          </w:tcPr>
          <w:p w14:paraId="74B44D4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0" w:type="auto"/>
            <w:tcBorders>
              <w:top w:val="single" w:sz="4" w:space="0" w:color="auto"/>
            </w:tcBorders>
            <w:shd w:val="clear" w:color="000000" w:fill="FFFFFF"/>
            <w:vAlign w:val="bottom"/>
          </w:tcPr>
          <w:p w14:paraId="44067B1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0" w:type="auto"/>
            <w:tcBorders>
              <w:top w:val="single" w:sz="4" w:space="0" w:color="auto"/>
            </w:tcBorders>
            <w:shd w:val="clear" w:color="000000" w:fill="FFFFFF"/>
            <w:vAlign w:val="bottom"/>
          </w:tcPr>
          <w:p w14:paraId="47ACB51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0" w:type="auto"/>
            <w:tcBorders>
              <w:top w:val="nil"/>
              <w:left w:val="nil"/>
              <w:bottom w:val="nil"/>
              <w:right w:val="nil"/>
            </w:tcBorders>
            <w:shd w:val="clear" w:color="000000" w:fill="FFFFFF"/>
            <w:vAlign w:val="bottom"/>
          </w:tcPr>
          <w:p w14:paraId="47AAF7E3"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top w:val="nil"/>
              <w:left w:val="nil"/>
              <w:bottom w:val="nil"/>
              <w:right w:val="nil"/>
            </w:tcBorders>
            <w:shd w:val="clear" w:color="000000" w:fill="FFFFFF"/>
            <w:vAlign w:val="bottom"/>
          </w:tcPr>
          <w:p w14:paraId="04F4877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0" w:type="auto"/>
            <w:tcBorders>
              <w:top w:val="single" w:sz="4" w:space="0" w:color="auto"/>
            </w:tcBorders>
            <w:shd w:val="clear" w:color="000000" w:fill="FFFFFF"/>
            <w:vAlign w:val="bottom"/>
          </w:tcPr>
          <w:p w14:paraId="33FDF5C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c>
          <w:tcPr>
            <w:tcW w:w="0" w:type="auto"/>
            <w:tcBorders>
              <w:top w:val="single" w:sz="4" w:space="0" w:color="auto"/>
            </w:tcBorders>
            <w:shd w:val="clear" w:color="000000" w:fill="FFFFFF"/>
            <w:vAlign w:val="bottom"/>
          </w:tcPr>
          <w:p w14:paraId="30CB0F2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c>
          <w:tcPr>
            <w:tcW w:w="0" w:type="auto"/>
            <w:tcBorders>
              <w:top w:val="single" w:sz="4" w:space="0" w:color="auto"/>
            </w:tcBorders>
            <w:shd w:val="clear" w:color="000000" w:fill="FFFFFF"/>
            <w:vAlign w:val="bottom"/>
          </w:tcPr>
          <w:p w14:paraId="791099DD"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c>
          <w:tcPr>
            <w:tcW w:w="0" w:type="auto"/>
            <w:tcBorders>
              <w:top w:val="single" w:sz="4" w:space="0" w:color="auto"/>
            </w:tcBorders>
            <w:shd w:val="clear" w:color="000000" w:fill="FFFFFF"/>
          </w:tcPr>
          <w:p w14:paraId="0CEB9F8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c>
          <w:tcPr>
            <w:tcW w:w="0" w:type="auto"/>
            <w:tcBorders>
              <w:top w:val="single" w:sz="4" w:space="0" w:color="auto"/>
            </w:tcBorders>
            <w:shd w:val="clear" w:color="000000" w:fill="FFFFFF"/>
            <w:vAlign w:val="bottom"/>
          </w:tcPr>
          <w:p w14:paraId="4654F68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c>
          <w:tcPr>
            <w:tcW w:w="0" w:type="auto"/>
            <w:tcBorders>
              <w:top w:val="single" w:sz="4" w:space="0" w:color="auto"/>
            </w:tcBorders>
            <w:shd w:val="clear" w:color="000000" w:fill="FFFFFF"/>
            <w:vAlign w:val="bottom"/>
          </w:tcPr>
          <w:p w14:paraId="44839BF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5174B950" w14:textId="77777777">
        <w:trPr>
          <w:trHeight w:val="272"/>
        </w:trPr>
        <w:tc>
          <w:tcPr>
            <w:tcW w:w="0" w:type="auto"/>
            <w:tcBorders>
              <w:top w:val="nil"/>
              <w:left w:val="nil"/>
              <w:bottom w:val="nil"/>
              <w:right w:val="nil"/>
            </w:tcBorders>
            <w:shd w:val="clear" w:color="000000" w:fill="FFFFFF"/>
            <w:vAlign w:val="bottom"/>
          </w:tcPr>
          <w:p w14:paraId="0845AACD"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0" w:type="auto"/>
            <w:tcBorders>
              <w:top w:val="nil"/>
              <w:left w:val="nil"/>
              <w:bottom w:val="nil"/>
              <w:right w:val="nil"/>
            </w:tcBorders>
            <w:shd w:val="clear" w:color="000000" w:fill="FFFFFF"/>
            <w:vAlign w:val="bottom"/>
          </w:tcPr>
          <w:p w14:paraId="73B63DF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3174B94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noWrap/>
            <w:vAlign w:val="bottom"/>
          </w:tcPr>
          <w:p w14:paraId="65F48C4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vAlign w:val="bottom"/>
          </w:tcPr>
          <w:p w14:paraId="71B604B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vAlign w:val="bottom"/>
          </w:tcPr>
          <w:p w14:paraId="6EE0A00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tcPr>
          <w:p w14:paraId="3A68E10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noWrap/>
            <w:vAlign w:val="bottom"/>
          </w:tcPr>
          <w:p w14:paraId="648D75F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noWrap/>
            <w:vAlign w:val="bottom"/>
          </w:tcPr>
          <w:p w14:paraId="21F3C6A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vAlign w:val="bottom"/>
          </w:tcPr>
          <w:p w14:paraId="20188514"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top w:val="nil"/>
              <w:left w:val="nil"/>
              <w:bottom w:val="nil"/>
              <w:right w:val="nil"/>
            </w:tcBorders>
            <w:shd w:val="clear" w:color="000000" w:fill="FFFFFF"/>
            <w:vAlign w:val="bottom"/>
          </w:tcPr>
          <w:p w14:paraId="67B621A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51354E1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vAlign w:val="bottom"/>
          </w:tcPr>
          <w:p w14:paraId="0501CD6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vAlign w:val="bottom"/>
          </w:tcPr>
          <w:p w14:paraId="3132BF3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tcPr>
          <w:p w14:paraId="02DE7B0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vAlign w:val="bottom"/>
          </w:tcPr>
          <w:p w14:paraId="2C233B9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c>
          <w:tcPr>
            <w:tcW w:w="0" w:type="auto"/>
            <w:tcBorders>
              <w:top w:val="nil"/>
              <w:left w:val="nil"/>
              <w:bottom w:val="nil"/>
              <w:right w:val="nil"/>
            </w:tcBorders>
            <w:shd w:val="clear" w:color="000000" w:fill="FFFFFF"/>
            <w:vAlign w:val="bottom"/>
          </w:tcPr>
          <w:p w14:paraId="5EB1436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214B5950" w14:textId="77777777">
        <w:trPr>
          <w:trHeight w:val="272"/>
        </w:trPr>
        <w:tc>
          <w:tcPr>
            <w:tcW w:w="0" w:type="auto"/>
            <w:tcBorders>
              <w:top w:val="nil"/>
              <w:left w:val="nil"/>
              <w:bottom w:val="nil"/>
              <w:right w:val="nil"/>
            </w:tcBorders>
            <w:shd w:val="clear" w:color="000000" w:fill="FFFFFF"/>
            <w:vAlign w:val="bottom"/>
          </w:tcPr>
          <w:p w14:paraId="05F6108D"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Financial Assets</w:t>
            </w:r>
          </w:p>
        </w:tc>
        <w:tc>
          <w:tcPr>
            <w:tcW w:w="0" w:type="auto"/>
            <w:tcBorders>
              <w:top w:val="nil"/>
              <w:left w:val="nil"/>
              <w:bottom w:val="nil"/>
              <w:right w:val="nil"/>
            </w:tcBorders>
            <w:shd w:val="clear" w:color="000000" w:fill="FFFFFF"/>
            <w:vAlign w:val="bottom"/>
          </w:tcPr>
          <w:p w14:paraId="4BE5A69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4434157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noWrap/>
            <w:vAlign w:val="bottom"/>
          </w:tcPr>
          <w:p w14:paraId="1D285BB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3052202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59A8D20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tcPr>
          <w:p w14:paraId="3C8F6B6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noWrap/>
            <w:vAlign w:val="bottom"/>
          </w:tcPr>
          <w:p w14:paraId="6517519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noWrap/>
            <w:vAlign w:val="bottom"/>
          </w:tcPr>
          <w:p w14:paraId="4AA1D02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3CBBD1F2"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top w:val="nil"/>
              <w:left w:val="nil"/>
              <w:bottom w:val="nil"/>
              <w:right w:val="nil"/>
            </w:tcBorders>
            <w:shd w:val="clear" w:color="000000" w:fill="FFFFFF"/>
            <w:vAlign w:val="bottom"/>
          </w:tcPr>
          <w:p w14:paraId="0C71FFF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0C75726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10B2EB2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3AF41C2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tcPr>
          <w:p w14:paraId="41E9982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397E032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324BCED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6CA3970C" w14:textId="77777777">
        <w:trPr>
          <w:trHeight w:val="113"/>
        </w:trPr>
        <w:tc>
          <w:tcPr>
            <w:tcW w:w="0" w:type="auto"/>
            <w:tcBorders>
              <w:top w:val="nil"/>
              <w:left w:val="nil"/>
              <w:bottom w:val="nil"/>
              <w:right w:val="nil"/>
            </w:tcBorders>
            <w:shd w:val="clear" w:color="000000" w:fill="FFFFFF"/>
            <w:vAlign w:val="bottom"/>
          </w:tcPr>
          <w:p w14:paraId="62AE1CEA"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Cash</w:t>
            </w:r>
          </w:p>
        </w:tc>
        <w:tc>
          <w:tcPr>
            <w:tcW w:w="0" w:type="auto"/>
            <w:tcBorders>
              <w:top w:val="nil"/>
              <w:left w:val="nil"/>
              <w:bottom w:val="nil"/>
              <w:right w:val="nil"/>
            </w:tcBorders>
            <w:shd w:val="clear" w:color="000000" w:fill="FFFFFF"/>
            <w:vAlign w:val="bottom"/>
          </w:tcPr>
          <w:p w14:paraId="4C98287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11</w:t>
            </w:r>
          </w:p>
        </w:tc>
        <w:tc>
          <w:tcPr>
            <w:tcW w:w="0" w:type="auto"/>
            <w:tcBorders>
              <w:top w:val="nil"/>
              <w:left w:val="nil"/>
              <w:bottom w:val="nil"/>
              <w:right w:val="nil"/>
            </w:tcBorders>
            <w:shd w:val="clear" w:color="000000" w:fill="FFFFFF"/>
            <w:vAlign w:val="bottom"/>
          </w:tcPr>
          <w:p w14:paraId="0454D61E" w14:textId="77777777" w:rsidR="00717BA5" w:rsidRPr="00717BA5" w:rsidRDefault="00717BA5" w:rsidP="00717BA5">
            <w:pPr>
              <w:spacing w:after="0" w:line="240" w:lineRule="auto"/>
              <w:jc w:val="right"/>
              <w:rPr>
                <w:rFonts w:ascii="Arial" w:eastAsia="Times New Roman" w:hAnsi="Arial" w:cs="Arial"/>
                <w:color w:val="auto"/>
                <w:sz w:val="18"/>
                <w:szCs w:val="18"/>
                <w:highlight w:val="yellow"/>
                <w:lang w:val="en-AU"/>
              </w:rPr>
            </w:pPr>
            <w:r w:rsidRPr="00717BA5">
              <w:rPr>
                <w:rFonts w:ascii="Arial" w:eastAsia="Times New Roman" w:hAnsi="Arial" w:cs="Arial"/>
                <w:bCs/>
                <w:color w:val="auto"/>
                <w:sz w:val="18"/>
                <w:szCs w:val="18"/>
                <w:lang w:val="en-AU"/>
              </w:rPr>
              <w:t>4.01%</w:t>
            </w:r>
          </w:p>
        </w:tc>
        <w:tc>
          <w:tcPr>
            <w:tcW w:w="0" w:type="auto"/>
            <w:tcBorders>
              <w:top w:val="nil"/>
              <w:left w:val="nil"/>
              <w:bottom w:val="nil"/>
              <w:right w:val="nil"/>
            </w:tcBorders>
            <w:shd w:val="clear" w:color="000000" w:fill="FFFFFF"/>
            <w:noWrap/>
            <w:vAlign w:val="bottom"/>
          </w:tcPr>
          <w:p w14:paraId="45A6E68F"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8,501</w:t>
            </w:r>
          </w:p>
        </w:tc>
        <w:tc>
          <w:tcPr>
            <w:tcW w:w="0" w:type="auto"/>
            <w:tcBorders>
              <w:top w:val="nil"/>
              <w:left w:val="nil"/>
              <w:bottom w:val="nil"/>
              <w:right w:val="nil"/>
            </w:tcBorders>
            <w:shd w:val="clear" w:color="000000" w:fill="FFFFFF"/>
            <w:vAlign w:val="bottom"/>
          </w:tcPr>
          <w:p w14:paraId="2EE7D57D"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vAlign w:val="bottom"/>
          </w:tcPr>
          <w:p w14:paraId="0EF5F89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vAlign w:val="bottom"/>
          </w:tcPr>
          <w:p w14:paraId="0D4DE2EB"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noWrap/>
            <w:vAlign w:val="bottom"/>
          </w:tcPr>
          <w:p w14:paraId="0006F7BD"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noWrap/>
            <w:vAlign w:val="bottom"/>
          </w:tcPr>
          <w:p w14:paraId="265AC12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b/>
                <w:bCs/>
                <w:color w:val="auto"/>
                <w:sz w:val="18"/>
                <w:szCs w:val="18"/>
                <w:lang w:val="en-AU" w:eastAsia="en-US"/>
              </w:rPr>
              <w:t>8,501</w:t>
            </w:r>
          </w:p>
        </w:tc>
        <w:tc>
          <w:tcPr>
            <w:tcW w:w="0" w:type="auto"/>
            <w:tcBorders>
              <w:top w:val="nil"/>
              <w:left w:val="nil"/>
              <w:bottom w:val="nil"/>
              <w:right w:val="nil"/>
            </w:tcBorders>
            <w:shd w:val="clear" w:color="000000" w:fill="FFFFFF"/>
            <w:vAlign w:val="bottom"/>
          </w:tcPr>
          <w:p w14:paraId="02B02D64"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top w:val="nil"/>
              <w:left w:val="nil"/>
              <w:bottom w:val="nil"/>
              <w:right w:val="nil"/>
            </w:tcBorders>
            <w:shd w:val="clear" w:color="000000" w:fill="FFFFFF"/>
            <w:vAlign w:val="bottom"/>
          </w:tcPr>
          <w:p w14:paraId="3BCA15FE"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4.45%</w:t>
            </w:r>
          </w:p>
        </w:tc>
        <w:tc>
          <w:tcPr>
            <w:tcW w:w="0" w:type="auto"/>
            <w:tcBorders>
              <w:top w:val="nil"/>
              <w:left w:val="nil"/>
              <w:bottom w:val="nil"/>
              <w:right w:val="nil"/>
            </w:tcBorders>
            <w:shd w:val="clear" w:color="000000" w:fill="FFFFFF"/>
            <w:vAlign w:val="bottom"/>
          </w:tcPr>
          <w:p w14:paraId="52BA81BF"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5,942</w:t>
            </w:r>
          </w:p>
        </w:tc>
        <w:tc>
          <w:tcPr>
            <w:tcW w:w="0" w:type="auto"/>
            <w:tcBorders>
              <w:top w:val="nil"/>
              <w:left w:val="nil"/>
              <w:bottom w:val="nil"/>
              <w:right w:val="nil"/>
            </w:tcBorders>
            <w:shd w:val="clear" w:color="000000" w:fill="FFFFFF"/>
            <w:vAlign w:val="bottom"/>
          </w:tcPr>
          <w:p w14:paraId="5810706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09B3F39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57956E41"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1AB3918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75E1A5D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 xml:space="preserve">5,942   </w:t>
            </w:r>
          </w:p>
        </w:tc>
      </w:tr>
      <w:tr w:rsidR="00717BA5" w:rsidRPr="00717BA5" w14:paraId="4E3489DD" w14:textId="77777777">
        <w:trPr>
          <w:trHeight w:val="113"/>
        </w:trPr>
        <w:tc>
          <w:tcPr>
            <w:tcW w:w="0" w:type="auto"/>
            <w:tcBorders>
              <w:top w:val="nil"/>
              <w:left w:val="nil"/>
              <w:bottom w:val="nil"/>
              <w:right w:val="nil"/>
            </w:tcBorders>
            <w:shd w:val="clear" w:color="000000" w:fill="FFFFFF"/>
            <w:vAlign w:val="bottom"/>
          </w:tcPr>
          <w:p w14:paraId="5AE689E4"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Investments</w:t>
            </w:r>
          </w:p>
        </w:tc>
        <w:tc>
          <w:tcPr>
            <w:tcW w:w="0" w:type="auto"/>
            <w:tcBorders>
              <w:top w:val="nil"/>
              <w:left w:val="nil"/>
              <w:bottom w:val="nil"/>
              <w:right w:val="nil"/>
            </w:tcBorders>
            <w:shd w:val="clear" w:color="000000" w:fill="FFFFFF"/>
            <w:vAlign w:val="bottom"/>
          </w:tcPr>
          <w:p w14:paraId="5944C445"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11</w:t>
            </w:r>
          </w:p>
        </w:tc>
        <w:tc>
          <w:tcPr>
            <w:tcW w:w="0" w:type="auto"/>
            <w:tcBorders>
              <w:top w:val="nil"/>
              <w:left w:val="nil"/>
              <w:bottom w:val="nil"/>
              <w:right w:val="nil"/>
            </w:tcBorders>
            <w:shd w:val="clear" w:color="000000" w:fill="FFFFFF"/>
            <w:vAlign w:val="bottom"/>
          </w:tcPr>
          <w:p w14:paraId="3E2A801B"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0" w:type="auto"/>
            <w:tcBorders>
              <w:top w:val="nil"/>
              <w:left w:val="nil"/>
              <w:bottom w:val="nil"/>
              <w:right w:val="nil"/>
            </w:tcBorders>
            <w:shd w:val="clear" w:color="000000" w:fill="FFFFFF"/>
            <w:noWrap/>
            <w:vAlign w:val="bottom"/>
          </w:tcPr>
          <w:p w14:paraId="7F815B01"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vAlign w:val="bottom"/>
          </w:tcPr>
          <w:p w14:paraId="208D3558"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vAlign w:val="bottom"/>
          </w:tcPr>
          <w:p w14:paraId="64442DBC"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vAlign w:val="bottom"/>
          </w:tcPr>
          <w:p w14:paraId="269B6B0D"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noWrap/>
            <w:vAlign w:val="bottom"/>
          </w:tcPr>
          <w:p w14:paraId="33669ED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380,271</w:t>
            </w:r>
          </w:p>
        </w:tc>
        <w:tc>
          <w:tcPr>
            <w:tcW w:w="0" w:type="auto"/>
            <w:tcBorders>
              <w:top w:val="nil"/>
              <w:left w:val="nil"/>
              <w:bottom w:val="nil"/>
              <w:right w:val="nil"/>
            </w:tcBorders>
            <w:shd w:val="clear" w:color="000000" w:fill="FFFFFF"/>
            <w:noWrap/>
            <w:vAlign w:val="bottom"/>
          </w:tcPr>
          <w:p w14:paraId="02E7DAF9"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b/>
                <w:bCs/>
                <w:color w:val="auto"/>
                <w:sz w:val="18"/>
                <w:szCs w:val="18"/>
                <w:lang w:val="en-AU" w:eastAsia="en-US"/>
              </w:rPr>
              <w:t>380,271</w:t>
            </w:r>
          </w:p>
        </w:tc>
        <w:tc>
          <w:tcPr>
            <w:tcW w:w="0" w:type="auto"/>
            <w:tcBorders>
              <w:top w:val="nil"/>
              <w:left w:val="nil"/>
              <w:bottom w:val="nil"/>
              <w:right w:val="nil"/>
            </w:tcBorders>
            <w:shd w:val="clear" w:color="000000" w:fill="FFFFFF"/>
            <w:vAlign w:val="bottom"/>
          </w:tcPr>
          <w:p w14:paraId="13C83F87"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top w:val="nil"/>
              <w:left w:val="nil"/>
              <w:bottom w:val="nil"/>
              <w:right w:val="nil"/>
            </w:tcBorders>
            <w:shd w:val="clear" w:color="000000" w:fill="FFFFFF"/>
            <w:vAlign w:val="bottom"/>
          </w:tcPr>
          <w:p w14:paraId="0439D2F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0" w:type="auto"/>
            <w:tcBorders>
              <w:top w:val="nil"/>
              <w:left w:val="nil"/>
              <w:bottom w:val="nil"/>
              <w:right w:val="nil"/>
            </w:tcBorders>
            <w:shd w:val="clear" w:color="000000" w:fill="FFFFFF"/>
            <w:vAlign w:val="bottom"/>
          </w:tcPr>
          <w:p w14:paraId="395E6189"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74D0938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00B82B7D"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346909B1"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3CA59661"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 xml:space="preserve">351,072   </w:t>
            </w:r>
          </w:p>
        </w:tc>
        <w:tc>
          <w:tcPr>
            <w:tcW w:w="0" w:type="auto"/>
            <w:tcBorders>
              <w:top w:val="nil"/>
              <w:left w:val="nil"/>
              <w:bottom w:val="nil"/>
              <w:right w:val="nil"/>
            </w:tcBorders>
            <w:shd w:val="clear" w:color="000000" w:fill="FFFFFF"/>
            <w:vAlign w:val="bottom"/>
          </w:tcPr>
          <w:p w14:paraId="3786ECBB"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351,072</w:t>
            </w:r>
          </w:p>
        </w:tc>
      </w:tr>
      <w:tr w:rsidR="00717BA5" w:rsidRPr="00717BA5" w14:paraId="5E0A5DA6" w14:textId="77777777">
        <w:trPr>
          <w:trHeight w:val="113"/>
        </w:trPr>
        <w:tc>
          <w:tcPr>
            <w:tcW w:w="0" w:type="auto"/>
            <w:tcBorders>
              <w:top w:val="nil"/>
              <w:left w:val="nil"/>
              <w:bottom w:val="nil"/>
              <w:right w:val="nil"/>
            </w:tcBorders>
            <w:shd w:val="clear" w:color="000000" w:fill="FFFFFF"/>
            <w:vAlign w:val="bottom"/>
          </w:tcPr>
          <w:p w14:paraId="5099CB82" w14:textId="77777777" w:rsidR="00717BA5" w:rsidRPr="00717BA5" w:rsidRDefault="00717BA5" w:rsidP="00717BA5">
            <w:pPr>
              <w:spacing w:after="0" w:line="240" w:lineRule="auto"/>
              <w:rPr>
                <w:rFonts w:ascii="Arial" w:eastAsia="Times New Roman" w:hAnsi="Arial" w:cs="Arial"/>
                <w:bCs/>
                <w:color w:val="auto"/>
                <w:sz w:val="18"/>
                <w:szCs w:val="18"/>
                <w:lang w:val="en-AU"/>
              </w:rPr>
            </w:pPr>
            <w:r w:rsidRPr="00717BA5">
              <w:rPr>
                <w:rFonts w:ascii="Arial" w:eastAsia="Times New Roman" w:hAnsi="Arial" w:cs="Arial"/>
                <w:color w:val="auto"/>
                <w:sz w:val="18"/>
                <w:szCs w:val="18"/>
                <w:lang w:val="en-AU"/>
              </w:rPr>
              <w:t>Accrued Investment Revenue and Interest</w:t>
            </w:r>
          </w:p>
        </w:tc>
        <w:tc>
          <w:tcPr>
            <w:tcW w:w="0" w:type="auto"/>
            <w:tcBorders>
              <w:top w:val="nil"/>
              <w:left w:val="nil"/>
              <w:bottom w:val="nil"/>
              <w:right w:val="nil"/>
            </w:tcBorders>
            <w:shd w:val="clear" w:color="000000" w:fill="FFFFFF"/>
            <w:vAlign w:val="bottom"/>
          </w:tcPr>
          <w:p w14:paraId="37212D78"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12</w:t>
            </w:r>
          </w:p>
        </w:tc>
        <w:tc>
          <w:tcPr>
            <w:tcW w:w="0" w:type="auto"/>
            <w:tcBorders>
              <w:top w:val="nil"/>
              <w:left w:val="nil"/>
              <w:bottom w:val="nil"/>
              <w:right w:val="nil"/>
            </w:tcBorders>
            <w:shd w:val="clear" w:color="000000" w:fill="FFFFFF"/>
            <w:vAlign w:val="bottom"/>
          </w:tcPr>
          <w:p w14:paraId="0EDA1602"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0" w:type="auto"/>
            <w:tcBorders>
              <w:top w:val="nil"/>
              <w:left w:val="nil"/>
              <w:bottom w:val="nil"/>
              <w:right w:val="nil"/>
            </w:tcBorders>
            <w:shd w:val="clear" w:color="000000" w:fill="FFFFFF"/>
            <w:noWrap/>
            <w:vAlign w:val="bottom"/>
          </w:tcPr>
          <w:p w14:paraId="5F8B1428"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vAlign w:val="bottom"/>
          </w:tcPr>
          <w:p w14:paraId="75911CAB"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vAlign w:val="bottom"/>
          </w:tcPr>
          <w:p w14:paraId="5B05B9AA"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vAlign w:val="bottom"/>
          </w:tcPr>
          <w:p w14:paraId="05B09E2E"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bottom w:val="nil"/>
              <w:right w:val="nil"/>
            </w:tcBorders>
            <w:shd w:val="clear" w:color="000000" w:fill="FFFFFF"/>
            <w:noWrap/>
            <w:vAlign w:val="bottom"/>
          </w:tcPr>
          <w:p w14:paraId="63B10202"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color w:val="auto"/>
                <w:sz w:val="18"/>
                <w:szCs w:val="18"/>
                <w:lang w:val="en-AU" w:eastAsia="en-US"/>
              </w:rPr>
              <w:t>5,934</w:t>
            </w:r>
          </w:p>
        </w:tc>
        <w:tc>
          <w:tcPr>
            <w:tcW w:w="0" w:type="auto"/>
            <w:tcBorders>
              <w:top w:val="nil"/>
              <w:left w:val="nil"/>
              <w:bottom w:val="nil"/>
              <w:right w:val="nil"/>
            </w:tcBorders>
            <w:shd w:val="clear" w:color="000000" w:fill="FFFFFF"/>
            <w:noWrap/>
            <w:vAlign w:val="bottom"/>
          </w:tcPr>
          <w:p w14:paraId="18A6E28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SimSun" w:hAnsi="Arial" w:cs="Arial"/>
                <w:b/>
                <w:bCs/>
                <w:color w:val="auto"/>
                <w:sz w:val="18"/>
                <w:szCs w:val="18"/>
                <w:lang w:val="en-AU" w:eastAsia="en-US"/>
              </w:rPr>
              <w:t>5,934</w:t>
            </w:r>
          </w:p>
        </w:tc>
        <w:tc>
          <w:tcPr>
            <w:tcW w:w="0" w:type="auto"/>
            <w:tcBorders>
              <w:top w:val="nil"/>
              <w:left w:val="nil"/>
              <w:bottom w:val="nil"/>
              <w:right w:val="nil"/>
            </w:tcBorders>
            <w:shd w:val="clear" w:color="000000" w:fill="FFFFFF"/>
            <w:vAlign w:val="bottom"/>
          </w:tcPr>
          <w:p w14:paraId="554CA8FC"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top w:val="nil"/>
              <w:left w:val="nil"/>
              <w:bottom w:val="nil"/>
              <w:right w:val="nil"/>
            </w:tcBorders>
            <w:shd w:val="clear" w:color="000000" w:fill="FFFFFF"/>
            <w:vAlign w:val="bottom"/>
          </w:tcPr>
          <w:p w14:paraId="78FBACE0"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p>
        </w:tc>
        <w:tc>
          <w:tcPr>
            <w:tcW w:w="0" w:type="auto"/>
            <w:tcBorders>
              <w:top w:val="nil"/>
              <w:left w:val="nil"/>
              <w:bottom w:val="nil"/>
              <w:right w:val="nil"/>
            </w:tcBorders>
            <w:shd w:val="clear" w:color="000000" w:fill="FFFFFF"/>
            <w:vAlign w:val="bottom"/>
          </w:tcPr>
          <w:p w14:paraId="6A240BB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03E1DBD3"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0ABAE28E"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3E921E34"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w:t>
            </w:r>
          </w:p>
        </w:tc>
        <w:tc>
          <w:tcPr>
            <w:tcW w:w="0" w:type="auto"/>
            <w:tcBorders>
              <w:top w:val="nil"/>
              <w:left w:val="nil"/>
              <w:bottom w:val="nil"/>
              <w:right w:val="nil"/>
            </w:tcBorders>
            <w:shd w:val="clear" w:color="000000" w:fill="FFFFFF"/>
            <w:vAlign w:val="bottom"/>
          </w:tcPr>
          <w:p w14:paraId="069D88B6"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 xml:space="preserve">3,478   </w:t>
            </w:r>
          </w:p>
        </w:tc>
        <w:tc>
          <w:tcPr>
            <w:tcW w:w="0" w:type="auto"/>
            <w:tcBorders>
              <w:top w:val="nil"/>
              <w:left w:val="nil"/>
              <w:bottom w:val="nil"/>
              <w:right w:val="nil"/>
            </w:tcBorders>
            <w:shd w:val="clear" w:color="000000" w:fill="FFFFFF"/>
            <w:vAlign w:val="bottom"/>
          </w:tcPr>
          <w:p w14:paraId="64925D18" w14:textId="77777777" w:rsidR="00717BA5" w:rsidRPr="00717BA5" w:rsidRDefault="00717BA5" w:rsidP="00717BA5">
            <w:pPr>
              <w:spacing w:after="0" w:line="240" w:lineRule="auto"/>
              <w:jc w:val="right"/>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3,478</w:t>
            </w:r>
          </w:p>
        </w:tc>
      </w:tr>
      <w:tr w:rsidR="00717BA5" w:rsidRPr="00717BA5" w14:paraId="028C04BB" w14:textId="77777777">
        <w:trPr>
          <w:trHeight w:val="113"/>
        </w:trPr>
        <w:tc>
          <w:tcPr>
            <w:tcW w:w="0" w:type="auto"/>
            <w:tcBorders>
              <w:top w:val="nil"/>
              <w:left w:val="nil"/>
              <w:bottom w:val="nil"/>
              <w:right w:val="nil"/>
            </w:tcBorders>
            <w:shd w:val="clear" w:color="000000" w:fill="FFFFFF"/>
            <w:vAlign w:val="bottom"/>
          </w:tcPr>
          <w:p w14:paraId="4EB793C7"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Financial Assets</w:t>
            </w:r>
          </w:p>
        </w:tc>
        <w:tc>
          <w:tcPr>
            <w:tcW w:w="0" w:type="auto"/>
            <w:tcBorders>
              <w:top w:val="nil"/>
              <w:left w:val="nil"/>
              <w:bottom w:val="nil"/>
              <w:right w:val="nil"/>
            </w:tcBorders>
            <w:shd w:val="clear" w:color="000000" w:fill="FFFFFF"/>
            <w:vAlign w:val="bottom"/>
          </w:tcPr>
          <w:p w14:paraId="73AD176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0" w:type="auto"/>
            <w:tcBorders>
              <w:top w:val="nil"/>
              <w:left w:val="nil"/>
              <w:bottom w:val="nil"/>
              <w:right w:val="nil"/>
            </w:tcBorders>
            <w:shd w:val="clear" w:color="000000" w:fill="FFFFFF"/>
            <w:vAlign w:val="bottom"/>
          </w:tcPr>
          <w:p w14:paraId="5267A9A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0" w:type="auto"/>
            <w:tcBorders>
              <w:top w:val="nil"/>
              <w:left w:val="nil"/>
              <w:bottom w:val="nil"/>
              <w:right w:val="nil"/>
            </w:tcBorders>
            <w:shd w:val="clear" w:color="000000" w:fill="FFFFFF"/>
            <w:noWrap/>
            <w:vAlign w:val="bottom"/>
          </w:tcPr>
          <w:p w14:paraId="6DE4406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8,501</w:t>
            </w:r>
          </w:p>
        </w:tc>
        <w:tc>
          <w:tcPr>
            <w:tcW w:w="0" w:type="auto"/>
            <w:tcBorders>
              <w:top w:val="nil"/>
              <w:left w:val="nil"/>
              <w:bottom w:val="nil"/>
              <w:right w:val="nil"/>
            </w:tcBorders>
            <w:shd w:val="clear" w:color="000000" w:fill="FFFFFF"/>
            <w:vAlign w:val="bottom"/>
          </w:tcPr>
          <w:p w14:paraId="6887E6B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w:t>
            </w:r>
          </w:p>
        </w:tc>
        <w:tc>
          <w:tcPr>
            <w:tcW w:w="0" w:type="auto"/>
            <w:tcBorders>
              <w:top w:val="nil"/>
              <w:left w:val="nil"/>
              <w:bottom w:val="nil"/>
              <w:right w:val="nil"/>
            </w:tcBorders>
            <w:shd w:val="clear" w:color="000000" w:fill="FFFFFF"/>
            <w:vAlign w:val="bottom"/>
          </w:tcPr>
          <w:p w14:paraId="40A9F98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w:t>
            </w:r>
          </w:p>
        </w:tc>
        <w:tc>
          <w:tcPr>
            <w:tcW w:w="0" w:type="auto"/>
            <w:tcBorders>
              <w:top w:val="nil"/>
              <w:left w:val="nil"/>
              <w:bottom w:val="nil"/>
              <w:right w:val="nil"/>
            </w:tcBorders>
            <w:shd w:val="clear" w:color="000000" w:fill="FFFFFF"/>
            <w:vAlign w:val="bottom"/>
          </w:tcPr>
          <w:p w14:paraId="53D6991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w:t>
            </w:r>
          </w:p>
        </w:tc>
        <w:tc>
          <w:tcPr>
            <w:tcW w:w="0" w:type="auto"/>
            <w:tcBorders>
              <w:top w:val="nil"/>
              <w:left w:val="nil"/>
              <w:bottom w:val="nil"/>
              <w:right w:val="nil"/>
            </w:tcBorders>
            <w:shd w:val="clear" w:color="000000" w:fill="FFFFFF"/>
            <w:noWrap/>
            <w:vAlign w:val="bottom"/>
          </w:tcPr>
          <w:p w14:paraId="6ABBFA8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386,205</w:t>
            </w:r>
          </w:p>
        </w:tc>
        <w:tc>
          <w:tcPr>
            <w:tcW w:w="0" w:type="auto"/>
            <w:tcBorders>
              <w:top w:val="nil"/>
              <w:left w:val="nil"/>
              <w:bottom w:val="nil"/>
              <w:right w:val="nil"/>
            </w:tcBorders>
            <w:shd w:val="clear" w:color="000000" w:fill="FFFFFF"/>
            <w:noWrap/>
            <w:vAlign w:val="bottom"/>
          </w:tcPr>
          <w:p w14:paraId="4886A12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394,706</w:t>
            </w:r>
          </w:p>
        </w:tc>
        <w:tc>
          <w:tcPr>
            <w:tcW w:w="0" w:type="auto"/>
            <w:tcBorders>
              <w:top w:val="nil"/>
              <w:left w:val="nil"/>
              <w:bottom w:val="nil"/>
              <w:right w:val="nil"/>
            </w:tcBorders>
            <w:shd w:val="clear" w:color="000000" w:fill="FFFFFF"/>
            <w:vAlign w:val="bottom"/>
          </w:tcPr>
          <w:p w14:paraId="6FE0162C"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top w:val="nil"/>
              <w:left w:val="nil"/>
              <w:bottom w:val="nil"/>
              <w:right w:val="nil"/>
            </w:tcBorders>
            <w:shd w:val="clear" w:color="000000" w:fill="FFFFFF"/>
            <w:vAlign w:val="bottom"/>
          </w:tcPr>
          <w:p w14:paraId="02BF961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0AEEA16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5,942</w:t>
            </w:r>
          </w:p>
        </w:tc>
        <w:tc>
          <w:tcPr>
            <w:tcW w:w="0" w:type="auto"/>
            <w:tcBorders>
              <w:top w:val="nil"/>
              <w:left w:val="nil"/>
              <w:bottom w:val="nil"/>
              <w:right w:val="nil"/>
            </w:tcBorders>
            <w:shd w:val="clear" w:color="000000" w:fill="FFFFFF"/>
            <w:vAlign w:val="bottom"/>
          </w:tcPr>
          <w:p w14:paraId="7FB23E6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w:t>
            </w:r>
          </w:p>
        </w:tc>
        <w:tc>
          <w:tcPr>
            <w:tcW w:w="0" w:type="auto"/>
            <w:tcBorders>
              <w:top w:val="nil"/>
              <w:left w:val="nil"/>
              <w:bottom w:val="nil"/>
              <w:right w:val="nil"/>
            </w:tcBorders>
            <w:shd w:val="clear" w:color="000000" w:fill="FFFFFF"/>
            <w:vAlign w:val="bottom"/>
          </w:tcPr>
          <w:p w14:paraId="7411451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w:t>
            </w:r>
          </w:p>
        </w:tc>
        <w:tc>
          <w:tcPr>
            <w:tcW w:w="0" w:type="auto"/>
            <w:tcBorders>
              <w:top w:val="nil"/>
              <w:left w:val="nil"/>
              <w:bottom w:val="nil"/>
              <w:right w:val="nil"/>
            </w:tcBorders>
            <w:shd w:val="clear" w:color="000000" w:fill="FFFFFF"/>
            <w:vAlign w:val="bottom"/>
          </w:tcPr>
          <w:p w14:paraId="5595215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p w14:paraId="552D8656"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p w14:paraId="4E8768C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w:t>
            </w:r>
          </w:p>
        </w:tc>
        <w:tc>
          <w:tcPr>
            <w:tcW w:w="0" w:type="auto"/>
            <w:tcBorders>
              <w:top w:val="nil"/>
              <w:left w:val="nil"/>
              <w:bottom w:val="nil"/>
              <w:right w:val="nil"/>
            </w:tcBorders>
            <w:shd w:val="clear" w:color="000000" w:fill="FFFFFF"/>
            <w:vAlign w:val="bottom"/>
          </w:tcPr>
          <w:p w14:paraId="3BCABA4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color w:val="auto"/>
                <w:sz w:val="18"/>
                <w:szCs w:val="18"/>
                <w:lang w:val="en-AU"/>
              </w:rPr>
              <w:t xml:space="preserve">354,550   </w:t>
            </w:r>
          </w:p>
        </w:tc>
        <w:tc>
          <w:tcPr>
            <w:tcW w:w="0" w:type="auto"/>
            <w:tcBorders>
              <w:top w:val="nil"/>
              <w:left w:val="nil"/>
              <w:bottom w:val="nil"/>
              <w:right w:val="nil"/>
            </w:tcBorders>
            <w:shd w:val="clear" w:color="000000" w:fill="FFFFFF"/>
            <w:vAlign w:val="bottom"/>
          </w:tcPr>
          <w:p w14:paraId="6B5A4EC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color w:val="auto"/>
                <w:sz w:val="18"/>
                <w:szCs w:val="18"/>
                <w:lang w:val="en-AU"/>
              </w:rPr>
              <w:t>360,492</w:t>
            </w:r>
          </w:p>
        </w:tc>
      </w:tr>
      <w:tr w:rsidR="00717BA5" w:rsidRPr="00717BA5" w14:paraId="27CECAEF" w14:textId="77777777">
        <w:trPr>
          <w:trHeight w:val="113"/>
        </w:trPr>
        <w:tc>
          <w:tcPr>
            <w:tcW w:w="0" w:type="auto"/>
            <w:tcBorders>
              <w:top w:val="nil"/>
              <w:left w:val="nil"/>
              <w:bottom w:val="nil"/>
              <w:right w:val="nil"/>
            </w:tcBorders>
            <w:shd w:val="clear" w:color="000000" w:fill="FFFFFF"/>
            <w:vAlign w:val="bottom"/>
          </w:tcPr>
          <w:p w14:paraId="509E197A" w14:textId="77777777" w:rsidR="00717BA5" w:rsidRPr="00717BA5" w:rsidRDefault="00717BA5" w:rsidP="00717BA5">
            <w:pPr>
              <w:spacing w:after="0" w:line="240" w:lineRule="auto"/>
              <w:rPr>
                <w:rFonts w:ascii="Arial" w:eastAsia="Times New Roman" w:hAnsi="Arial" w:cs="Arial"/>
                <w:b/>
                <w:color w:val="auto"/>
                <w:sz w:val="18"/>
                <w:szCs w:val="18"/>
                <w:lang w:val="en-AU"/>
              </w:rPr>
            </w:pPr>
          </w:p>
        </w:tc>
        <w:tc>
          <w:tcPr>
            <w:tcW w:w="0" w:type="auto"/>
            <w:tcBorders>
              <w:top w:val="nil"/>
              <w:left w:val="nil"/>
              <w:bottom w:val="nil"/>
              <w:right w:val="nil"/>
            </w:tcBorders>
            <w:shd w:val="clear" w:color="000000" w:fill="FFFFFF"/>
            <w:vAlign w:val="bottom"/>
          </w:tcPr>
          <w:p w14:paraId="5C44493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42B9C96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noWrap/>
            <w:vAlign w:val="bottom"/>
          </w:tcPr>
          <w:p w14:paraId="6C70490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2AADD4B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69C5C45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630A64B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noWrap/>
            <w:vAlign w:val="bottom"/>
          </w:tcPr>
          <w:p w14:paraId="20C5DCC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noWrap/>
            <w:vAlign w:val="bottom"/>
          </w:tcPr>
          <w:p w14:paraId="61B294A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1AFDC1E2"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top w:val="nil"/>
              <w:left w:val="nil"/>
              <w:bottom w:val="nil"/>
              <w:right w:val="nil"/>
            </w:tcBorders>
            <w:shd w:val="clear" w:color="000000" w:fill="FFFFFF"/>
            <w:vAlign w:val="bottom"/>
          </w:tcPr>
          <w:p w14:paraId="1403AE3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6C3ED61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41A7D1A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5E21B37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4DEF2CA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6B91F57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598393E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158B15E7" w14:textId="77777777">
        <w:trPr>
          <w:trHeight w:val="113"/>
        </w:trPr>
        <w:tc>
          <w:tcPr>
            <w:tcW w:w="0" w:type="auto"/>
            <w:tcBorders>
              <w:top w:val="nil"/>
              <w:left w:val="nil"/>
              <w:bottom w:val="nil"/>
              <w:right w:val="nil"/>
            </w:tcBorders>
            <w:shd w:val="clear" w:color="000000" w:fill="FFFFFF"/>
            <w:vAlign w:val="bottom"/>
          </w:tcPr>
          <w:p w14:paraId="434BF283"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Financial Liabilities</w:t>
            </w:r>
          </w:p>
        </w:tc>
        <w:tc>
          <w:tcPr>
            <w:tcW w:w="0" w:type="auto"/>
            <w:tcBorders>
              <w:top w:val="nil"/>
              <w:left w:val="nil"/>
              <w:bottom w:val="nil"/>
              <w:right w:val="nil"/>
            </w:tcBorders>
            <w:shd w:val="clear" w:color="000000" w:fill="FFFFFF"/>
            <w:vAlign w:val="bottom"/>
          </w:tcPr>
          <w:p w14:paraId="53A3749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40BBA48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noWrap/>
            <w:vAlign w:val="bottom"/>
          </w:tcPr>
          <w:p w14:paraId="79A2F42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7B7D6FB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1633503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49982EC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noWrap/>
            <w:vAlign w:val="bottom"/>
          </w:tcPr>
          <w:p w14:paraId="6E46A2D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noWrap/>
            <w:vAlign w:val="bottom"/>
          </w:tcPr>
          <w:p w14:paraId="26E1EE3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447BB0C8"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top w:val="nil"/>
              <w:left w:val="nil"/>
              <w:bottom w:val="nil"/>
              <w:right w:val="nil"/>
            </w:tcBorders>
            <w:shd w:val="clear" w:color="000000" w:fill="FFFFFF"/>
            <w:vAlign w:val="bottom"/>
          </w:tcPr>
          <w:p w14:paraId="5839C07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3A99B74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3619DA8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18E1CA9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29267A6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44333A1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bottom w:val="nil"/>
              <w:right w:val="nil"/>
            </w:tcBorders>
            <w:shd w:val="clear" w:color="000000" w:fill="FFFFFF"/>
            <w:vAlign w:val="bottom"/>
          </w:tcPr>
          <w:p w14:paraId="7C48F27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0CC6801D" w14:textId="77777777">
        <w:trPr>
          <w:trHeight w:val="113"/>
        </w:trPr>
        <w:tc>
          <w:tcPr>
            <w:tcW w:w="0" w:type="auto"/>
            <w:tcBorders>
              <w:top w:val="nil"/>
              <w:left w:val="nil"/>
              <w:right w:val="nil"/>
            </w:tcBorders>
            <w:shd w:val="clear" w:color="000000" w:fill="FFFFFF"/>
            <w:vAlign w:val="bottom"/>
          </w:tcPr>
          <w:p w14:paraId="13D401D5"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Payables</w:t>
            </w:r>
          </w:p>
        </w:tc>
        <w:tc>
          <w:tcPr>
            <w:tcW w:w="0" w:type="auto"/>
            <w:tcBorders>
              <w:top w:val="nil"/>
              <w:left w:val="nil"/>
              <w:right w:val="nil"/>
            </w:tcBorders>
            <w:shd w:val="clear" w:color="000000" w:fill="FFFFFF"/>
            <w:vAlign w:val="bottom"/>
          </w:tcPr>
          <w:p w14:paraId="475703B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14</w:t>
            </w:r>
          </w:p>
        </w:tc>
        <w:tc>
          <w:tcPr>
            <w:tcW w:w="0" w:type="auto"/>
            <w:tcBorders>
              <w:top w:val="nil"/>
              <w:left w:val="nil"/>
              <w:right w:val="nil"/>
            </w:tcBorders>
            <w:shd w:val="clear" w:color="000000" w:fill="FFFFFF"/>
            <w:vAlign w:val="bottom"/>
          </w:tcPr>
          <w:p w14:paraId="7036A4A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right w:val="nil"/>
            </w:tcBorders>
            <w:shd w:val="clear" w:color="000000" w:fill="FFFFFF"/>
            <w:noWrap/>
            <w:vAlign w:val="bottom"/>
          </w:tcPr>
          <w:p w14:paraId="7B57695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right w:val="nil"/>
            </w:tcBorders>
            <w:shd w:val="clear" w:color="000000" w:fill="FFFFFF"/>
            <w:vAlign w:val="bottom"/>
          </w:tcPr>
          <w:p w14:paraId="6371245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right w:val="nil"/>
            </w:tcBorders>
            <w:shd w:val="clear" w:color="000000" w:fill="FFFFFF"/>
            <w:vAlign w:val="bottom"/>
          </w:tcPr>
          <w:p w14:paraId="068B1F0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right w:val="nil"/>
            </w:tcBorders>
            <w:shd w:val="clear" w:color="000000" w:fill="FFFFFF"/>
            <w:vAlign w:val="bottom"/>
          </w:tcPr>
          <w:p w14:paraId="2233179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w:t>
            </w:r>
          </w:p>
        </w:tc>
        <w:tc>
          <w:tcPr>
            <w:tcW w:w="0" w:type="auto"/>
            <w:tcBorders>
              <w:top w:val="nil"/>
              <w:left w:val="nil"/>
              <w:right w:val="nil"/>
            </w:tcBorders>
            <w:shd w:val="clear" w:color="000000" w:fill="FFFFFF"/>
            <w:noWrap/>
            <w:vAlign w:val="bottom"/>
          </w:tcPr>
          <w:p w14:paraId="1D1C6B2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287</w:t>
            </w:r>
          </w:p>
        </w:tc>
        <w:tc>
          <w:tcPr>
            <w:tcW w:w="0" w:type="auto"/>
            <w:tcBorders>
              <w:top w:val="nil"/>
              <w:left w:val="nil"/>
              <w:right w:val="nil"/>
            </w:tcBorders>
            <w:shd w:val="clear" w:color="000000" w:fill="FFFFFF"/>
            <w:noWrap/>
            <w:vAlign w:val="bottom"/>
          </w:tcPr>
          <w:p w14:paraId="6647573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b/>
                <w:bCs/>
                <w:color w:val="auto"/>
                <w:sz w:val="18"/>
                <w:szCs w:val="18"/>
                <w:lang w:val="en-AU" w:eastAsia="en-US"/>
              </w:rPr>
              <w:t>287</w:t>
            </w:r>
          </w:p>
        </w:tc>
        <w:tc>
          <w:tcPr>
            <w:tcW w:w="0" w:type="auto"/>
            <w:tcBorders>
              <w:top w:val="nil"/>
              <w:left w:val="nil"/>
              <w:bottom w:val="nil"/>
              <w:right w:val="nil"/>
            </w:tcBorders>
            <w:shd w:val="clear" w:color="000000" w:fill="FFFFFF"/>
            <w:vAlign w:val="bottom"/>
          </w:tcPr>
          <w:p w14:paraId="59EA8F1B"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top w:val="nil"/>
              <w:left w:val="nil"/>
              <w:right w:val="nil"/>
            </w:tcBorders>
            <w:shd w:val="clear" w:color="000000" w:fill="FFFFFF"/>
            <w:vAlign w:val="bottom"/>
          </w:tcPr>
          <w:p w14:paraId="1680F7B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0" w:type="auto"/>
            <w:tcBorders>
              <w:top w:val="nil"/>
              <w:left w:val="nil"/>
              <w:right w:val="nil"/>
            </w:tcBorders>
            <w:shd w:val="clear" w:color="000000" w:fill="FFFFFF"/>
            <w:vAlign w:val="bottom"/>
          </w:tcPr>
          <w:p w14:paraId="6CAD144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c>
          <w:tcPr>
            <w:tcW w:w="0" w:type="auto"/>
            <w:tcBorders>
              <w:top w:val="nil"/>
              <w:left w:val="nil"/>
              <w:right w:val="nil"/>
            </w:tcBorders>
            <w:shd w:val="clear" w:color="000000" w:fill="FFFFFF"/>
            <w:vAlign w:val="bottom"/>
          </w:tcPr>
          <w:p w14:paraId="46F0DDD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c>
          <w:tcPr>
            <w:tcW w:w="0" w:type="auto"/>
            <w:tcBorders>
              <w:top w:val="nil"/>
              <w:left w:val="nil"/>
              <w:right w:val="nil"/>
            </w:tcBorders>
            <w:shd w:val="clear" w:color="000000" w:fill="FFFFFF"/>
            <w:vAlign w:val="bottom"/>
          </w:tcPr>
          <w:p w14:paraId="217B2AF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c>
          <w:tcPr>
            <w:tcW w:w="0" w:type="auto"/>
            <w:tcBorders>
              <w:top w:val="nil"/>
              <w:left w:val="nil"/>
              <w:right w:val="nil"/>
            </w:tcBorders>
            <w:shd w:val="clear" w:color="000000" w:fill="FFFFFF"/>
            <w:vAlign w:val="bottom"/>
          </w:tcPr>
          <w:p w14:paraId="0D2D1A5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t>
            </w:r>
          </w:p>
        </w:tc>
        <w:tc>
          <w:tcPr>
            <w:tcW w:w="0" w:type="auto"/>
            <w:tcBorders>
              <w:top w:val="nil"/>
              <w:left w:val="nil"/>
              <w:right w:val="nil"/>
            </w:tcBorders>
            <w:shd w:val="clear" w:color="000000" w:fill="FFFFFF"/>
            <w:vAlign w:val="bottom"/>
          </w:tcPr>
          <w:p w14:paraId="1658E4D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Cs/>
                <w:color w:val="auto"/>
                <w:sz w:val="18"/>
                <w:szCs w:val="18"/>
                <w:lang w:val="en-AU"/>
              </w:rPr>
              <w:t>372</w:t>
            </w:r>
          </w:p>
        </w:tc>
        <w:tc>
          <w:tcPr>
            <w:tcW w:w="0" w:type="auto"/>
            <w:tcBorders>
              <w:top w:val="nil"/>
              <w:left w:val="nil"/>
              <w:right w:val="nil"/>
            </w:tcBorders>
            <w:shd w:val="clear" w:color="000000" w:fill="FFFFFF"/>
            <w:vAlign w:val="bottom"/>
          </w:tcPr>
          <w:p w14:paraId="6B50908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Cs/>
                <w:color w:val="auto"/>
                <w:sz w:val="18"/>
                <w:szCs w:val="18"/>
                <w:lang w:val="en-AU"/>
              </w:rPr>
              <w:t>372</w:t>
            </w:r>
          </w:p>
        </w:tc>
      </w:tr>
      <w:tr w:rsidR="00717BA5" w:rsidRPr="00717BA5" w14:paraId="5A933F90" w14:textId="77777777">
        <w:trPr>
          <w:trHeight w:val="113"/>
        </w:trPr>
        <w:tc>
          <w:tcPr>
            <w:tcW w:w="0" w:type="auto"/>
            <w:tcBorders>
              <w:left w:val="nil"/>
              <w:right w:val="nil"/>
            </w:tcBorders>
            <w:shd w:val="clear" w:color="000000" w:fill="FFFFFF"/>
            <w:vAlign w:val="bottom"/>
          </w:tcPr>
          <w:p w14:paraId="362D9AFF" w14:textId="77777777"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Financial Liabilities</w:t>
            </w:r>
          </w:p>
        </w:tc>
        <w:tc>
          <w:tcPr>
            <w:tcW w:w="0" w:type="auto"/>
            <w:tcBorders>
              <w:left w:val="nil"/>
              <w:right w:val="nil"/>
            </w:tcBorders>
            <w:shd w:val="clear" w:color="000000" w:fill="FFFFFF"/>
            <w:vAlign w:val="bottom"/>
          </w:tcPr>
          <w:p w14:paraId="0EA006E6"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0" w:type="auto"/>
            <w:tcBorders>
              <w:left w:val="nil"/>
              <w:right w:val="nil"/>
            </w:tcBorders>
            <w:shd w:val="clear" w:color="000000" w:fill="FFFFFF"/>
            <w:vAlign w:val="bottom"/>
          </w:tcPr>
          <w:p w14:paraId="2C356C5D"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0" w:type="auto"/>
            <w:tcBorders>
              <w:top w:val="single" w:sz="4" w:space="0" w:color="auto"/>
              <w:left w:val="nil"/>
              <w:bottom w:val="single" w:sz="4" w:space="0" w:color="auto"/>
              <w:right w:val="nil"/>
            </w:tcBorders>
            <w:shd w:val="clear" w:color="000000" w:fill="FFFFFF"/>
            <w:noWrap/>
            <w:vAlign w:val="bottom"/>
          </w:tcPr>
          <w:p w14:paraId="188AF837"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w:t>
            </w:r>
          </w:p>
        </w:tc>
        <w:tc>
          <w:tcPr>
            <w:tcW w:w="0" w:type="auto"/>
            <w:tcBorders>
              <w:top w:val="single" w:sz="4" w:space="0" w:color="auto"/>
              <w:left w:val="nil"/>
              <w:bottom w:val="single" w:sz="4" w:space="0" w:color="auto"/>
              <w:right w:val="nil"/>
            </w:tcBorders>
            <w:shd w:val="clear" w:color="000000" w:fill="FFFFFF"/>
            <w:vAlign w:val="bottom"/>
          </w:tcPr>
          <w:p w14:paraId="266113F3"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w:t>
            </w:r>
          </w:p>
        </w:tc>
        <w:tc>
          <w:tcPr>
            <w:tcW w:w="0" w:type="auto"/>
            <w:tcBorders>
              <w:top w:val="single" w:sz="4" w:space="0" w:color="auto"/>
              <w:left w:val="nil"/>
              <w:bottom w:val="single" w:sz="4" w:space="0" w:color="auto"/>
              <w:right w:val="nil"/>
            </w:tcBorders>
            <w:shd w:val="clear" w:color="000000" w:fill="FFFFFF"/>
            <w:vAlign w:val="bottom"/>
          </w:tcPr>
          <w:p w14:paraId="75470D11"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w:t>
            </w:r>
          </w:p>
        </w:tc>
        <w:tc>
          <w:tcPr>
            <w:tcW w:w="0" w:type="auto"/>
            <w:tcBorders>
              <w:top w:val="single" w:sz="4" w:space="0" w:color="auto"/>
              <w:left w:val="nil"/>
              <w:bottom w:val="single" w:sz="4" w:space="0" w:color="auto"/>
              <w:right w:val="nil"/>
            </w:tcBorders>
            <w:shd w:val="clear" w:color="000000" w:fill="FFFFFF"/>
            <w:vAlign w:val="bottom"/>
          </w:tcPr>
          <w:p w14:paraId="41CD436E"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w:t>
            </w:r>
          </w:p>
        </w:tc>
        <w:tc>
          <w:tcPr>
            <w:tcW w:w="0" w:type="auto"/>
            <w:tcBorders>
              <w:top w:val="single" w:sz="4" w:space="0" w:color="auto"/>
              <w:left w:val="nil"/>
              <w:bottom w:val="single" w:sz="4" w:space="0" w:color="auto"/>
              <w:right w:val="nil"/>
            </w:tcBorders>
            <w:shd w:val="clear" w:color="000000" w:fill="FFFFFF"/>
            <w:noWrap/>
            <w:vAlign w:val="bottom"/>
          </w:tcPr>
          <w:p w14:paraId="7AA0AF58"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287</w:t>
            </w:r>
          </w:p>
        </w:tc>
        <w:tc>
          <w:tcPr>
            <w:tcW w:w="0" w:type="auto"/>
            <w:tcBorders>
              <w:top w:val="single" w:sz="4" w:space="0" w:color="auto"/>
              <w:left w:val="nil"/>
              <w:bottom w:val="single" w:sz="4" w:space="0" w:color="auto"/>
              <w:right w:val="nil"/>
            </w:tcBorders>
            <w:shd w:val="clear" w:color="000000" w:fill="FFFFFF"/>
            <w:noWrap/>
            <w:vAlign w:val="bottom"/>
          </w:tcPr>
          <w:p w14:paraId="0173C1C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SimSun" w:hAnsi="Arial" w:cs="Arial"/>
                <w:b/>
                <w:bCs/>
                <w:color w:val="auto"/>
                <w:sz w:val="18"/>
                <w:szCs w:val="18"/>
                <w:lang w:val="en-AU" w:eastAsia="en-US"/>
              </w:rPr>
              <w:t>287</w:t>
            </w:r>
          </w:p>
        </w:tc>
        <w:tc>
          <w:tcPr>
            <w:tcW w:w="0" w:type="auto"/>
            <w:tcBorders>
              <w:left w:val="nil"/>
              <w:right w:val="nil"/>
            </w:tcBorders>
            <w:shd w:val="clear" w:color="000000" w:fill="FFFFFF"/>
            <w:vAlign w:val="bottom"/>
          </w:tcPr>
          <w:p w14:paraId="50DCA31D" w14:textId="77777777" w:rsidR="00717BA5" w:rsidRPr="00717BA5" w:rsidRDefault="00717BA5" w:rsidP="00717BA5">
            <w:pPr>
              <w:spacing w:after="0" w:line="240" w:lineRule="auto"/>
              <w:rPr>
                <w:rFonts w:ascii="Arial" w:eastAsia="Times New Roman" w:hAnsi="Arial" w:cs="Arial"/>
                <w:b/>
                <w:color w:val="auto"/>
                <w:sz w:val="8"/>
                <w:szCs w:val="8"/>
                <w:lang w:val="en-AU"/>
              </w:rPr>
            </w:pPr>
          </w:p>
        </w:tc>
        <w:tc>
          <w:tcPr>
            <w:tcW w:w="0" w:type="auto"/>
            <w:tcBorders>
              <w:left w:val="nil"/>
              <w:right w:val="nil"/>
            </w:tcBorders>
            <w:shd w:val="clear" w:color="000000" w:fill="FFFFFF"/>
            <w:vAlign w:val="bottom"/>
          </w:tcPr>
          <w:p w14:paraId="3B6A6A8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0" w:type="auto"/>
            <w:tcBorders>
              <w:top w:val="single" w:sz="4" w:space="0" w:color="auto"/>
              <w:left w:val="nil"/>
              <w:bottom w:val="single" w:sz="4" w:space="0" w:color="auto"/>
              <w:right w:val="nil"/>
            </w:tcBorders>
            <w:shd w:val="clear" w:color="000000" w:fill="FFFFFF"/>
            <w:vAlign w:val="bottom"/>
          </w:tcPr>
          <w:p w14:paraId="7C848311"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w:t>
            </w:r>
          </w:p>
        </w:tc>
        <w:tc>
          <w:tcPr>
            <w:tcW w:w="0" w:type="auto"/>
            <w:tcBorders>
              <w:top w:val="single" w:sz="4" w:space="0" w:color="auto"/>
              <w:left w:val="nil"/>
              <w:bottom w:val="single" w:sz="4" w:space="0" w:color="auto"/>
              <w:right w:val="nil"/>
            </w:tcBorders>
            <w:shd w:val="clear" w:color="000000" w:fill="FFFFFF"/>
            <w:vAlign w:val="bottom"/>
          </w:tcPr>
          <w:p w14:paraId="02A529D3"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w:t>
            </w:r>
          </w:p>
        </w:tc>
        <w:tc>
          <w:tcPr>
            <w:tcW w:w="0" w:type="auto"/>
            <w:tcBorders>
              <w:top w:val="single" w:sz="4" w:space="0" w:color="auto"/>
              <w:left w:val="nil"/>
              <w:bottom w:val="single" w:sz="4" w:space="0" w:color="auto"/>
              <w:right w:val="nil"/>
            </w:tcBorders>
            <w:shd w:val="clear" w:color="000000" w:fill="FFFFFF"/>
            <w:vAlign w:val="bottom"/>
          </w:tcPr>
          <w:p w14:paraId="154246DE"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w:t>
            </w:r>
          </w:p>
        </w:tc>
        <w:tc>
          <w:tcPr>
            <w:tcW w:w="0" w:type="auto"/>
            <w:tcBorders>
              <w:top w:val="single" w:sz="4" w:space="0" w:color="auto"/>
              <w:left w:val="nil"/>
              <w:bottom w:val="single" w:sz="4" w:space="0" w:color="auto"/>
              <w:right w:val="nil"/>
            </w:tcBorders>
            <w:shd w:val="clear" w:color="000000" w:fill="FFFFFF"/>
            <w:vAlign w:val="bottom"/>
          </w:tcPr>
          <w:p w14:paraId="2AA56381"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w:t>
            </w:r>
          </w:p>
        </w:tc>
        <w:tc>
          <w:tcPr>
            <w:tcW w:w="0" w:type="auto"/>
            <w:tcBorders>
              <w:top w:val="single" w:sz="4" w:space="0" w:color="auto"/>
              <w:left w:val="nil"/>
              <w:bottom w:val="single" w:sz="4" w:space="0" w:color="auto"/>
              <w:right w:val="nil"/>
            </w:tcBorders>
            <w:shd w:val="clear" w:color="000000" w:fill="FFFFFF"/>
            <w:vAlign w:val="bottom"/>
          </w:tcPr>
          <w:p w14:paraId="25E726D4"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372</w:t>
            </w:r>
          </w:p>
        </w:tc>
        <w:tc>
          <w:tcPr>
            <w:tcW w:w="0" w:type="auto"/>
            <w:tcBorders>
              <w:top w:val="single" w:sz="4" w:space="0" w:color="auto"/>
              <w:left w:val="nil"/>
              <w:bottom w:val="single" w:sz="4" w:space="0" w:color="auto"/>
              <w:right w:val="nil"/>
            </w:tcBorders>
            <w:shd w:val="clear" w:color="000000" w:fill="FFFFFF"/>
            <w:vAlign w:val="bottom"/>
          </w:tcPr>
          <w:p w14:paraId="2FC95A2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372</w:t>
            </w:r>
          </w:p>
        </w:tc>
      </w:tr>
      <w:bookmarkEnd w:id="139"/>
    </w:tbl>
    <w:p w14:paraId="5DFA4B28" w14:textId="77777777" w:rsidR="00717BA5" w:rsidRPr="00717BA5" w:rsidRDefault="00717BA5" w:rsidP="00717BA5">
      <w:pPr>
        <w:spacing w:after="0" w:line="240" w:lineRule="auto"/>
        <w:jc w:val="both"/>
        <w:rPr>
          <w:rFonts w:ascii="Arial" w:eastAsia="Times New Roman" w:hAnsi="Arial" w:cs="Arial"/>
          <w:color w:val="auto"/>
          <w:sz w:val="18"/>
          <w:szCs w:val="18"/>
          <w:lang w:val="en-AU"/>
        </w:rPr>
        <w:sectPr w:rsidR="00717BA5" w:rsidRPr="00717BA5" w:rsidSect="00717BA5">
          <w:footerReference w:type="default" r:id="rId78"/>
          <w:pgSz w:w="16838" w:h="11906" w:orient="landscape"/>
          <w:pgMar w:top="851" w:right="851" w:bottom="1106" w:left="1134" w:header="709" w:footer="709" w:gutter="0"/>
          <w:cols w:space="708"/>
          <w:docGrid w:linePitch="360"/>
        </w:sectPr>
      </w:pPr>
    </w:p>
    <w:p w14:paraId="6622212F" w14:textId="77777777" w:rsidR="00717BA5" w:rsidRPr="00717BA5" w:rsidRDefault="00717BA5" w:rsidP="00717BA5">
      <w:pPr>
        <w:spacing w:after="0" w:line="240" w:lineRule="auto"/>
        <w:rPr>
          <w:rFonts w:ascii="Arial" w:eastAsia="SimSun" w:hAnsi="Arial" w:cs="Arial"/>
          <w:color w:val="auto"/>
          <w:lang w:val="en-AU"/>
        </w:rPr>
      </w:pPr>
    </w:p>
    <w:p w14:paraId="465FF83E" w14:textId="77777777" w:rsidR="00717BA5" w:rsidRPr="00717BA5" w:rsidRDefault="00717BA5" w:rsidP="00717BA5">
      <w:pPr>
        <w:keepNext/>
        <w:spacing w:after="240" w:line="240" w:lineRule="auto"/>
        <w:jc w:val="both"/>
        <w:outlineLvl w:val="1"/>
        <w:rPr>
          <w:rFonts w:ascii="Arial" w:eastAsia="Times New Roman" w:hAnsi="Arial" w:cs="Arial"/>
          <w:b/>
          <w:bCs/>
          <w:color w:val="auto"/>
          <w:sz w:val="24"/>
          <w:szCs w:val="24"/>
          <w:lang w:val="en-AU"/>
        </w:rPr>
      </w:pPr>
      <w:bookmarkStart w:id="140" w:name="_Toc240533548"/>
      <w:r w:rsidRPr="00717BA5">
        <w:rPr>
          <w:rFonts w:ascii="Arial" w:eastAsia="Times New Roman" w:hAnsi="Arial" w:cs="Arial"/>
          <w:b/>
          <w:bCs/>
          <w:color w:val="auto"/>
          <w:sz w:val="24"/>
          <w:szCs w:val="24"/>
          <w:lang w:val="en-AU"/>
        </w:rPr>
        <w:t>NOTE 18 - FINANCIAL INSTRUMENTS - CONTINUED</w:t>
      </w:r>
      <w:bookmarkEnd w:id="140"/>
    </w:p>
    <w:tbl>
      <w:tblPr>
        <w:tblW w:w="5000" w:type="pct"/>
        <w:tblLook w:val="04A0" w:firstRow="1" w:lastRow="0" w:firstColumn="1" w:lastColumn="0" w:noHBand="0" w:noVBand="1"/>
      </w:tblPr>
      <w:tblGrid>
        <w:gridCol w:w="7756"/>
        <w:gridCol w:w="876"/>
        <w:gridCol w:w="434"/>
        <w:gridCol w:w="1030"/>
      </w:tblGrid>
      <w:tr w:rsidR="00717BA5" w:rsidRPr="00717BA5" w14:paraId="0F77E622" w14:textId="77777777" w:rsidTr="00F0752D">
        <w:trPr>
          <w:trHeight w:val="20"/>
        </w:trPr>
        <w:tc>
          <w:tcPr>
            <w:tcW w:w="3841" w:type="pct"/>
            <w:shd w:val="clear" w:color="000000" w:fill="FFFFFF"/>
            <w:vAlign w:val="bottom"/>
          </w:tcPr>
          <w:p w14:paraId="6AC33923"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p w14:paraId="5E73F304"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434" w:type="pct"/>
            <w:shd w:val="clear" w:color="000000" w:fill="FFFFFF"/>
            <w:vAlign w:val="bottom"/>
          </w:tcPr>
          <w:p w14:paraId="213ED199"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215" w:type="pct"/>
            <w:shd w:val="clear" w:color="000000" w:fill="FFFFFF"/>
            <w:vAlign w:val="bottom"/>
          </w:tcPr>
          <w:p w14:paraId="01FB98B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10" w:type="pct"/>
            <w:shd w:val="clear" w:color="000000" w:fill="FFFFFF"/>
            <w:noWrap/>
            <w:vAlign w:val="bottom"/>
          </w:tcPr>
          <w:p w14:paraId="2C1DD4C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287DA700" w14:textId="77777777" w:rsidTr="00F0752D">
        <w:trPr>
          <w:trHeight w:val="20"/>
        </w:trPr>
        <w:tc>
          <w:tcPr>
            <w:tcW w:w="3841" w:type="pct"/>
            <w:shd w:val="clear" w:color="000000" w:fill="FFFFFF"/>
            <w:vAlign w:val="bottom"/>
          </w:tcPr>
          <w:p w14:paraId="05C44DB1"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434" w:type="pct"/>
            <w:tcBorders>
              <w:bottom w:val="single" w:sz="4" w:space="0" w:color="auto"/>
            </w:tcBorders>
            <w:shd w:val="clear" w:color="000000" w:fill="FFFFFF"/>
            <w:vAlign w:val="bottom"/>
          </w:tcPr>
          <w:p w14:paraId="56E540A3"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c>
          <w:tcPr>
            <w:tcW w:w="215" w:type="pct"/>
            <w:shd w:val="clear" w:color="000000" w:fill="FFFFFF"/>
            <w:vAlign w:val="bottom"/>
          </w:tcPr>
          <w:p w14:paraId="33ED960A"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10" w:type="pct"/>
            <w:tcBorders>
              <w:bottom w:val="single" w:sz="4" w:space="0" w:color="auto"/>
            </w:tcBorders>
            <w:shd w:val="clear" w:color="000000" w:fill="FFFFFF"/>
            <w:noWrap/>
            <w:vAlign w:val="bottom"/>
          </w:tcPr>
          <w:p w14:paraId="3CA1DBE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40A1F5F0" w14:textId="77777777" w:rsidTr="00F0752D">
        <w:trPr>
          <w:trHeight w:val="20"/>
        </w:trPr>
        <w:tc>
          <w:tcPr>
            <w:tcW w:w="3841" w:type="pct"/>
            <w:shd w:val="clear" w:color="000000" w:fill="FFFFFF"/>
            <w:vAlign w:val="bottom"/>
          </w:tcPr>
          <w:p w14:paraId="777C776C"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Carrying Amount of Each Category of Financial Assets and Financial Liability</w:t>
            </w:r>
          </w:p>
        </w:tc>
        <w:tc>
          <w:tcPr>
            <w:tcW w:w="434" w:type="pct"/>
            <w:tcBorders>
              <w:top w:val="single" w:sz="4" w:space="0" w:color="auto"/>
            </w:tcBorders>
            <w:shd w:val="clear" w:color="000000" w:fill="FFFFFF"/>
            <w:vAlign w:val="bottom"/>
          </w:tcPr>
          <w:p w14:paraId="7CFE74EC"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c>
          <w:tcPr>
            <w:tcW w:w="215" w:type="pct"/>
            <w:shd w:val="clear" w:color="000000" w:fill="FFFFFF"/>
            <w:vAlign w:val="bottom"/>
          </w:tcPr>
          <w:p w14:paraId="48D88A54"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c>
          <w:tcPr>
            <w:tcW w:w="510" w:type="pct"/>
            <w:tcBorders>
              <w:top w:val="single" w:sz="4" w:space="0" w:color="auto"/>
            </w:tcBorders>
            <w:shd w:val="clear" w:color="000000" w:fill="FFFFFF"/>
            <w:vAlign w:val="bottom"/>
          </w:tcPr>
          <w:p w14:paraId="363F9773"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r>
      <w:tr w:rsidR="00717BA5" w:rsidRPr="00717BA5" w14:paraId="5DBC4DA2" w14:textId="77777777" w:rsidTr="00F0752D">
        <w:trPr>
          <w:trHeight w:val="20"/>
        </w:trPr>
        <w:tc>
          <w:tcPr>
            <w:tcW w:w="3841" w:type="pct"/>
            <w:shd w:val="clear" w:color="000000" w:fill="FFFFFF"/>
            <w:vAlign w:val="bottom"/>
          </w:tcPr>
          <w:p w14:paraId="2064C5E4"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Financial Assets</w:t>
            </w:r>
          </w:p>
        </w:tc>
        <w:tc>
          <w:tcPr>
            <w:tcW w:w="434" w:type="pct"/>
            <w:shd w:val="clear" w:color="000000" w:fill="FFFFFF"/>
            <w:vAlign w:val="bottom"/>
          </w:tcPr>
          <w:p w14:paraId="55087D2A"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c>
          <w:tcPr>
            <w:tcW w:w="215" w:type="pct"/>
            <w:shd w:val="clear" w:color="000000" w:fill="FFFFFF"/>
            <w:vAlign w:val="bottom"/>
          </w:tcPr>
          <w:p w14:paraId="41B69D15"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c>
          <w:tcPr>
            <w:tcW w:w="510" w:type="pct"/>
            <w:shd w:val="clear" w:color="000000" w:fill="FFFFFF"/>
            <w:vAlign w:val="bottom"/>
          </w:tcPr>
          <w:p w14:paraId="15B50CE4"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 </w:t>
            </w:r>
          </w:p>
        </w:tc>
      </w:tr>
      <w:tr w:rsidR="00717BA5" w:rsidRPr="00717BA5" w14:paraId="4582A514" w14:textId="77777777" w:rsidTr="00F0752D">
        <w:trPr>
          <w:trHeight w:val="20"/>
        </w:trPr>
        <w:tc>
          <w:tcPr>
            <w:tcW w:w="3841" w:type="pct"/>
            <w:shd w:val="clear" w:color="000000" w:fill="FFFFFF"/>
            <w:vAlign w:val="bottom"/>
          </w:tcPr>
          <w:p w14:paraId="1BFB32A5" w14:textId="77777777" w:rsidR="00717BA5" w:rsidRPr="00717BA5" w:rsidRDefault="00717BA5" w:rsidP="00717BA5">
            <w:pPr>
              <w:spacing w:after="0" w:line="240" w:lineRule="auto"/>
              <w:ind w:left="738" w:hanging="18"/>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Financial Assets Measured at Fair Value through the Profit and Loss Designated upon Initial Recognition</w:t>
            </w:r>
          </w:p>
        </w:tc>
        <w:tc>
          <w:tcPr>
            <w:tcW w:w="434" w:type="pct"/>
            <w:shd w:val="clear" w:color="000000" w:fill="FFFFFF"/>
            <w:vAlign w:val="bottom"/>
          </w:tcPr>
          <w:p w14:paraId="0ED2A1E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380,271</w:t>
            </w:r>
          </w:p>
        </w:tc>
        <w:tc>
          <w:tcPr>
            <w:tcW w:w="215" w:type="pct"/>
            <w:shd w:val="clear" w:color="000000" w:fill="FFFFFF"/>
            <w:vAlign w:val="bottom"/>
          </w:tcPr>
          <w:p w14:paraId="419A237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0" w:type="pct"/>
            <w:shd w:val="clear" w:color="000000" w:fill="FFFFFF"/>
            <w:noWrap/>
            <w:vAlign w:val="bottom"/>
          </w:tcPr>
          <w:p w14:paraId="514E579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351,072</w:t>
            </w:r>
          </w:p>
        </w:tc>
      </w:tr>
      <w:tr w:rsidR="00717BA5" w:rsidRPr="00717BA5" w14:paraId="5C41D25C" w14:textId="77777777" w:rsidTr="00F0752D">
        <w:trPr>
          <w:trHeight w:val="20"/>
        </w:trPr>
        <w:tc>
          <w:tcPr>
            <w:tcW w:w="3841" w:type="pct"/>
            <w:shd w:val="clear" w:color="000000" w:fill="FFFFFF"/>
            <w:vAlign w:val="bottom"/>
          </w:tcPr>
          <w:p w14:paraId="4003C1B7" w14:textId="77777777" w:rsidR="00717BA5" w:rsidRPr="00717BA5" w:rsidRDefault="00717BA5" w:rsidP="00717BA5">
            <w:pPr>
              <w:spacing w:after="0" w:line="240" w:lineRule="auto"/>
              <w:ind w:left="720"/>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Financial Assets Measured at Amortised Cost</w:t>
            </w:r>
          </w:p>
        </w:tc>
        <w:tc>
          <w:tcPr>
            <w:tcW w:w="434" w:type="pct"/>
            <w:shd w:val="clear" w:color="000000" w:fill="FFFFFF"/>
            <w:vAlign w:val="bottom"/>
          </w:tcPr>
          <w:p w14:paraId="6B2B4DF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5,934</w:t>
            </w:r>
          </w:p>
        </w:tc>
        <w:tc>
          <w:tcPr>
            <w:tcW w:w="215" w:type="pct"/>
            <w:shd w:val="clear" w:color="000000" w:fill="FFFFFF"/>
            <w:vAlign w:val="bottom"/>
          </w:tcPr>
          <w:p w14:paraId="775AD75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0" w:type="pct"/>
            <w:shd w:val="clear" w:color="000000" w:fill="FFFFFF"/>
            <w:noWrap/>
            <w:vAlign w:val="bottom"/>
          </w:tcPr>
          <w:p w14:paraId="73032F7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3,478</w:t>
            </w:r>
          </w:p>
        </w:tc>
      </w:tr>
      <w:tr w:rsidR="00717BA5" w:rsidRPr="00717BA5" w14:paraId="1053710C" w14:textId="77777777" w:rsidTr="00F0752D">
        <w:trPr>
          <w:trHeight w:val="20"/>
        </w:trPr>
        <w:tc>
          <w:tcPr>
            <w:tcW w:w="3841" w:type="pct"/>
            <w:shd w:val="clear" w:color="000000" w:fill="FFFFFF"/>
            <w:vAlign w:val="bottom"/>
          </w:tcPr>
          <w:p w14:paraId="642FE850" w14:textId="77777777" w:rsidR="00717BA5" w:rsidRPr="00717BA5" w:rsidRDefault="00717BA5" w:rsidP="00717BA5">
            <w:pPr>
              <w:spacing w:after="0" w:line="240" w:lineRule="auto"/>
              <w:ind w:firstLineChars="100" w:firstLine="181"/>
              <w:rPr>
                <w:rFonts w:ascii="Arial" w:eastAsia="Times New Roman" w:hAnsi="Arial" w:cs="Arial"/>
                <w:b/>
                <w:bCs/>
                <w:color w:val="auto"/>
                <w:sz w:val="18"/>
                <w:szCs w:val="18"/>
                <w:lang w:val="en-AU"/>
              </w:rPr>
            </w:pPr>
          </w:p>
        </w:tc>
        <w:tc>
          <w:tcPr>
            <w:tcW w:w="434" w:type="pct"/>
            <w:shd w:val="clear" w:color="000000" w:fill="FFFFFF"/>
            <w:vAlign w:val="bottom"/>
          </w:tcPr>
          <w:p w14:paraId="1CF03D8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15" w:type="pct"/>
            <w:shd w:val="clear" w:color="000000" w:fill="FFFFFF"/>
            <w:vAlign w:val="bottom"/>
          </w:tcPr>
          <w:p w14:paraId="477600B2"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c>
          <w:tcPr>
            <w:tcW w:w="510" w:type="pct"/>
            <w:shd w:val="clear" w:color="000000" w:fill="FFFFFF"/>
            <w:noWrap/>
            <w:vAlign w:val="bottom"/>
          </w:tcPr>
          <w:p w14:paraId="15058887"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r>
      <w:tr w:rsidR="00717BA5" w:rsidRPr="00717BA5" w14:paraId="4D21A8E7" w14:textId="77777777" w:rsidTr="00F0752D">
        <w:trPr>
          <w:trHeight w:val="20"/>
        </w:trPr>
        <w:tc>
          <w:tcPr>
            <w:tcW w:w="3841" w:type="pct"/>
            <w:shd w:val="clear" w:color="000000" w:fill="FFFFFF"/>
            <w:vAlign w:val="bottom"/>
          </w:tcPr>
          <w:p w14:paraId="6C249034"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Financial Liabilities</w:t>
            </w:r>
          </w:p>
        </w:tc>
        <w:tc>
          <w:tcPr>
            <w:tcW w:w="434" w:type="pct"/>
            <w:shd w:val="clear" w:color="000000" w:fill="FFFFFF"/>
            <w:vAlign w:val="bottom"/>
          </w:tcPr>
          <w:p w14:paraId="51BD199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15" w:type="pct"/>
            <w:shd w:val="clear" w:color="000000" w:fill="FFFFFF"/>
            <w:vAlign w:val="bottom"/>
          </w:tcPr>
          <w:p w14:paraId="5E8BBC0D"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c>
          <w:tcPr>
            <w:tcW w:w="510" w:type="pct"/>
            <w:shd w:val="clear" w:color="000000" w:fill="FFFFFF"/>
            <w:noWrap/>
            <w:vAlign w:val="bottom"/>
          </w:tcPr>
          <w:p w14:paraId="31BA24C7"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r>
      <w:tr w:rsidR="00717BA5" w:rsidRPr="00717BA5" w14:paraId="1BFAC77D" w14:textId="77777777" w:rsidTr="00F0752D">
        <w:trPr>
          <w:trHeight w:val="20"/>
        </w:trPr>
        <w:tc>
          <w:tcPr>
            <w:tcW w:w="3841" w:type="pct"/>
            <w:shd w:val="clear" w:color="000000" w:fill="FFFFFF"/>
            <w:vAlign w:val="bottom"/>
          </w:tcPr>
          <w:p w14:paraId="1F59921E" w14:textId="77777777" w:rsidR="00717BA5" w:rsidRPr="00717BA5" w:rsidRDefault="00717BA5" w:rsidP="00717BA5">
            <w:pPr>
              <w:spacing w:after="0" w:line="240" w:lineRule="auto"/>
              <w:ind w:left="600" w:firstLineChars="54" w:firstLine="97"/>
              <w:rPr>
                <w:rFonts w:ascii="Arial" w:eastAsia="Times New Roman" w:hAnsi="Arial" w:cs="Arial"/>
                <w:bCs/>
                <w:color w:val="auto"/>
                <w:sz w:val="18"/>
                <w:szCs w:val="18"/>
                <w:lang w:val="en-AU"/>
              </w:rPr>
            </w:pPr>
            <w:r w:rsidRPr="00717BA5">
              <w:rPr>
                <w:rFonts w:ascii="Arial" w:eastAsia="Times New Roman" w:hAnsi="Arial" w:cs="Arial"/>
                <w:bCs/>
                <w:color w:val="auto"/>
                <w:sz w:val="18"/>
                <w:szCs w:val="18"/>
                <w:lang w:val="en-AU"/>
              </w:rPr>
              <w:t>Financial Liabilities Measured at Amortised Cost</w:t>
            </w:r>
          </w:p>
        </w:tc>
        <w:tc>
          <w:tcPr>
            <w:tcW w:w="434" w:type="pct"/>
            <w:shd w:val="clear" w:color="000000" w:fill="FFFFFF"/>
            <w:vAlign w:val="bottom"/>
          </w:tcPr>
          <w:p w14:paraId="4A47477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287</w:t>
            </w:r>
          </w:p>
        </w:tc>
        <w:tc>
          <w:tcPr>
            <w:tcW w:w="215" w:type="pct"/>
            <w:shd w:val="clear" w:color="000000" w:fill="FFFFFF"/>
            <w:vAlign w:val="bottom"/>
          </w:tcPr>
          <w:p w14:paraId="2B8D6D6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0" w:type="pct"/>
            <w:shd w:val="clear" w:color="000000" w:fill="FFFFFF"/>
            <w:noWrap/>
            <w:vAlign w:val="bottom"/>
          </w:tcPr>
          <w:p w14:paraId="6BAB0C11" w14:textId="77777777" w:rsidR="00717BA5" w:rsidRPr="00717BA5" w:rsidRDefault="00717BA5" w:rsidP="00717BA5">
            <w:pPr>
              <w:spacing w:after="0" w:line="240" w:lineRule="auto"/>
              <w:ind w:firstLineChars="100" w:firstLine="180"/>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372</w:t>
            </w:r>
          </w:p>
        </w:tc>
      </w:tr>
      <w:tr w:rsidR="00717BA5" w:rsidRPr="00717BA5" w14:paraId="4F6A6AA9" w14:textId="77777777" w:rsidTr="00F0752D">
        <w:trPr>
          <w:trHeight w:val="20"/>
        </w:trPr>
        <w:tc>
          <w:tcPr>
            <w:tcW w:w="3841" w:type="pct"/>
            <w:tcBorders>
              <w:top w:val="nil"/>
              <w:left w:val="nil"/>
              <w:bottom w:val="nil"/>
              <w:right w:val="nil"/>
            </w:tcBorders>
            <w:shd w:val="clear" w:color="000000" w:fill="FFFFFF"/>
            <w:vAlign w:val="bottom"/>
          </w:tcPr>
          <w:p w14:paraId="7EC3BBAE"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434" w:type="pct"/>
            <w:tcBorders>
              <w:top w:val="nil"/>
              <w:left w:val="nil"/>
              <w:bottom w:val="nil"/>
              <w:right w:val="nil"/>
            </w:tcBorders>
            <w:shd w:val="clear" w:color="000000" w:fill="FFFFFF"/>
            <w:vAlign w:val="bottom"/>
          </w:tcPr>
          <w:p w14:paraId="3604080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15" w:type="pct"/>
            <w:tcBorders>
              <w:top w:val="nil"/>
              <w:left w:val="nil"/>
              <w:bottom w:val="nil"/>
              <w:right w:val="nil"/>
            </w:tcBorders>
            <w:shd w:val="clear" w:color="000000" w:fill="FFFFFF"/>
            <w:vAlign w:val="bottom"/>
          </w:tcPr>
          <w:p w14:paraId="53B504A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10" w:type="pct"/>
            <w:tcBorders>
              <w:top w:val="nil"/>
              <w:left w:val="nil"/>
              <w:bottom w:val="nil"/>
              <w:right w:val="nil"/>
            </w:tcBorders>
            <w:shd w:val="clear" w:color="000000" w:fill="FFFFFF"/>
            <w:noWrap/>
            <w:vAlign w:val="bottom"/>
          </w:tcPr>
          <w:p w14:paraId="627F79A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r>
      <w:tr w:rsidR="00717BA5" w:rsidRPr="00717BA5" w14:paraId="2ECA65C6" w14:textId="77777777" w:rsidTr="00F0752D">
        <w:trPr>
          <w:trHeight w:val="20"/>
        </w:trPr>
        <w:tc>
          <w:tcPr>
            <w:tcW w:w="3841" w:type="pct"/>
            <w:tcBorders>
              <w:top w:val="nil"/>
              <w:left w:val="nil"/>
              <w:right w:val="nil"/>
            </w:tcBorders>
            <w:shd w:val="clear" w:color="000000" w:fill="FFFFFF"/>
            <w:vAlign w:val="bottom"/>
          </w:tcPr>
          <w:p w14:paraId="408AA651"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Gains/(Losses) on Each Category of Financial Assets and Financial Liabilities</w:t>
            </w:r>
          </w:p>
        </w:tc>
        <w:tc>
          <w:tcPr>
            <w:tcW w:w="434" w:type="pct"/>
            <w:tcBorders>
              <w:top w:val="nil"/>
              <w:left w:val="nil"/>
              <w:right w:val="nil"/>
            </w:tcBorders>
            <w:shd w:val="clear" w:color="000000" w:fill="FFFFFF"/>
            <w:vAlign w:val="bottom"/>
          </w:tcPr>
          <w:p w14:paraId="221B51DC"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15" w:type="pct"/>
            <w:tcBorders>
              <w:top w:val="nil"/>
              <w:left w:val="nil"/>
              <w:right w:val="nil"/>
            </w:tcBorders>
            <w:shd w:val="clear" w:color="000000" w:fill="FFFFFF"/>
            <w:vAlign w:val="bottom"/>
          </w:tcPr>
          <w:p w14:paraId="0D2035FF"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c>
          <w:tcPr>
            <w:tcW w:w="510" w:type="pct"/>
            <w:tcBorders>
              <w:top w:val="nil"/>
              <w:left w:val="nil"/>
              <w:right w:val="nil"/>
            </w:tcBorders>
            <w:shd w:val="clear" w:color="000000" w:fill="FFFFFF"/>
            <w:noWrap/>
            <w:vAlign w:val="bottom"/>
          </w:tcPr>
          <w:p w14:paraId="27C43FA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p>
        </w:tc>
      </w:tr>
      <w:tr w:rsidR="00717BA5" w:rsidRPr="00717BA5" w14:paraId="2F497866" w14:textId="77777777" w:rsidTr="00F0752D">
        <w:trPr>
          <w:trHeight w:val="20"/>
        </w:trPr>
        <w:tc>
          <w:tcPr>
            <w:tcW w:w="3841" w:type="pct"/>
            <w:shd w:val="clear" w:color="000000" w:fill="FFFFFF"/>
            <w:vAlign w:val="bottom"/>
          </w:tcPr>
          <w:p w14:paraId="25AF25B0"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Financial Assets</w:t>
            </w:r>
          </w:p>
        </w:tc>
        <w:tc>
          <w:tcPr>
            <w:tcW w:w="434" w:type="pct"/>
            <w:tcBorders>
              <w:left w:val="nil"/>
            </w:tcBorders>
            <w:shd w:val="clear" w:color="000000" w:fill="FFFFFF"/>
            <w:vAlign w:val="bottom"/>
          </w:tcPr>
          <w:p w14:paraId="4B4592B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215" w:type="pct"/>
            <w:tcBorders>
              <w:top w:val="nil"/>
              <w:left w:val="nil"/>
              <w:bottom w:val="nil"/>
              <w:right w:val="nil"/>
            </w:tcBorders>
            <w:shd w:val="clear" w:color="000000" w:fill="FFFFFF"/>
            <w:vAlign w:val="bottom"/>
          </w:tcPr>
          <w:p w14:paraId="471AAF7A"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c>
          <w:tcPr>
            <w:tcW w:w="510" w:type="pct"/>
            <w:tcBorders>
              <w:top w:val="nil"/>
              <w:left w:val="nil"/>
              <w:bottom w:val="nil"/>
              <w:right w:val="nil"/>
            </w:tcBorders>
            <w:shd w:val="clear" w:color="000000" w:fill="FFFFFF"/>
            <w:vAlign w:val="bottom"/>
          </w:tcPr>
          <w:p w14:paraId="65CAC737" w14:textId="77777777" w:rsidR="00717BA5" w:rsidRPr="00717BA5" w:rsidRDefault="00717BA5" w:rsidP="00717BA5">
            <w:pPr>
              <w:spacing w:after="0" w:line="240" w:lineRule="auto"/>
              <w:ind w:firstLineChars="100" w:firstLine="181"/>
              <w:jc w:val="right"/>
              <w:rPr>
                <w:rFonts w:ascii="Arial" w:eastAsia="Times New Roman" w:hAnsi="Arial" w:cs="Arial"/>
                <w:b/>
                <w:bCs/>
                <w:color w:val="auto"/>
                <w:sz w:val="18"/>
                <w:szCs w:val="18"/>
                <w:lang w:val="en-AU"/>
              </w:rPr>
            </w:pPr>
          </w:p>
        </w:tc>
      </w:tr>
      <w:tr w:rsidR="00717BA5" w:rsidRPr="00717BA5" w14:paraId="78A5EE78" w14:textId="77777777" w:rsidTr="00F0752D">
        <w:trPr>
          <w:trHeight w:val="20"/>
        </w:trPr>
        <w:tc>
          <w:tcPr>
            <w:tcW w:w="3841" w:type="pct"/>
            <w:shd w:val="clear" w:color="000000" w:fill="FFFFFF"/>
            <w:vAlign w:val="bottom"/>
          </w:tcPr>
          <w:p w14:paraId="309CBEB7" w14:textId="77777777" w:rsidR="00717BA5" w:rsidRPr="00717BA5" w:rsidRDefault="00717BA5" w:rsidP="00717BA5">
            <w:pPr>
              <w:spacing w:after="0" w:line="240" w:lineRule="auto"/>
              <w:ind w:left="738" w:hanging="18"/>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Financial Assets at Fair Value through the Profit and Loss Designated upon Initial Recognition</w:t>
            </w:r>
          </w:p>
        </w:tc>
        <w:tc>
          <w:tcPr>
            <w:tcW w:w="434" w:type="pct"/>
            <w:tcBorders>
              <w:left w:val="nil"/>
            </w:tcBorders>
            <w:shd w:val="clear" w:color="000000" w:fill="FFFFFF"/>
            <w:vAlign w:val="bottom"/>
          </w:tcPr>
          <w:p w14:paraId="084D4E4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9,060</w:t>
            </w:r>
          </w:p>
        </w:tc>
        <w:tc>
          <w:tcPr>
            <w:tcW w:w="215" w:type="pct"/>
            <w:tcBorders>
              <w:top w:val="nil"/>
              <w:left w:val="nil"/>
              <w:bottom w:val="nil"/>
              <w:right w:val="nil"/>
            </w:tcBorders>
            <w:shd w:val="clear" w:color="000000" w:fill="FFFFFF"/>
            <w:vAlign w:val="bottom"/>
          </w:tcPr>
          <w:p w14:paraId="18C0741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10" w:type="pct"/>
            <w:tcBorders>
              <w:top w:val="nil"/>
              <w:left w:val="nil"/>
              <w:bottom w:val="nil"/>
              <w:right w:val="nil"/>
            </w:tcBorders>
            <w:shd w:val="clear" w:color="000000" w:fill="FFFFFF"/>
            <w:noWrap/>
            <w:vAlign w:val="bottom"/>
          </w:tcPr>
          <w:p w14:paraId="2A32C46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30,005</w:t>
            </w:r>
          </w:p>
        </w:tc>
      </w:tr>
    </w:tbl>
    <w:p w14:paraId="10BA7B3E" w14:textId="77777777" w:rsidR="00717BA5" w:rsidRPr="00717BA5" w:rsidRDefault="00717BA5" w:rsidP="00717BA5">
      <w:pPr>
        <w:adjustRightInd w:val="0"/>
        <w:snapToGrid w:val="0"/>
        <w:spacing w:before="240"/>
        <w:rPr>
          <w:rFonts w:ascii="Arial" w:eastAsia="Times New Roman" w:hAnsi="Arial" w:cs="Arial"/>
          <w:b/>
          <w:color w:val="auto"/>
          <w:sz w:val="18"/>
          <w:szCs w:val="18"/>
          <w:lang w:val="en-AU"/>
        </w:rPr>
      </w:pPr>
      <w:r w:rsidRPr="00717BA5">
        <w:rPr>
          <w:rFonts w:ascii="Arial" w:eastAsia="Times New Roman" w:hAnsi="Arial" w:cs="Arial"/>
          <w:b/>
          <w:bCs/>
          <w:color w:val="auto"/>
          <w:lang w:val="en-AU"/>
        </w:rPr>
        <w:t>F</w:t>
      </w:r>
      <w:r w:rsidRPr="00717BA5">
        <w:rPr>
          <w:rFonts w:ascii="Arial" w:eastAsia="Times New Roman" w:hAnsi="Arial" w:cs="Arial"/>
          <w:b/>
          <w:color w:val="auto"/>
          <w:sz w:val="18"/>
          <w:szCs w:val="18"/>
          <w:lang w:val="en-AU"/>
        </w:rPr>
        <w:t>air Value Hierarchy</w:t>
      </w:r>
    </w:p>
    <w:p w14:paraId="5D16A08F"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ACT Leave is required to classify financial assets and financial liabilities into a Fair Value Hierarchy that reflects the significance of the inputs used in determining fair value. The Fair Value Hierarchy is made up of the following three levels:</w:t>
      </w:r>
    </w:p>
    <w:p w14:paraId="481A8024"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Level 1 - quoted prices (unadjusted) in active markets for identical assets or liabilities</w:t>
      </w:r>
    </w:p>
    <w:p w14:paraId="3BB2B806"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Level 2 - inputs other than quoted prices included within level 1 that are observable for the asset or liability, either derived from prices directly (i.e. as prices) or indirectly (i.e. derived from prices) and</w:t>
      </w:r>
    </w:p>
    <w:p w14:paraId="524A9AF1"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Level 3 - inputs for the asset or liability that are not based on observable market data (unobservable inputs).</w:t>
      </w:r>
    </w:p>
    <w:p w14:paraId="1326E473"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The carrying amount of financial assets measured at fair value, as well as the methods used to estimate the fair value are summarised in the table on the next page. All other financial assets and liabilities are measured, subsequent to initial recognition, at amortised cost and as such are not included in the above-mentioned table.</w:t>
      </w:r>
      <w:r w:rsidRPr="00717BA5">
        <w:rPr>
          <w:rFonts w:ascii="Arial" w:eastAsia="Times New Roman" w:hAnsi="Arial" w:cs="Arial"/>
          <w:color w:val="auto"/>
          <w:lang w:val="en-AU"/>
        </w:rPr>
        <w:br w:type="page"/>
      </w:r>
    </w:p>
    <w:p w14:paraId="5616BB89" w14:textId="77777777" w:rsidR="00717BA5" w:rsidRPr="00717BA5" w:rsidRDefault="00717BA5" w:rsidP="00717BA5">
      <w:pPr>
        <w:spacing w:after="0" w:line="240" w:lineRule="auto"/>
        <w:rPr>
          <w:rFonts w:ascii="Arial" w:eastAsia="SimSun" w:hAnsi="Arial" w:cs="Arial"/>
          <w:color w:val="auto"/>
          <w:lang w:val="en-AU"/>
        </w:rPr>
      </w:pPr>
    </w:p>
    <w:p w14:paraId="4125539B" w14:textId="77777777" w:rsidR="00717BA5" w:rsidRPr="00717BA5" w:rsidRDefault="00717BA5" w:rsidP="00717BA5">
      <w:pPr>
        <w:keepNext/>
        <w:spacing w:after="240" w:line="240" w:lineRule="auto"/>
        <w:jc w:val="both"/>
        <w:outlineLvl w:val="1"/>
        <w:rPr>
          <w:rFonts w:ascii="Arial" w:eastAsia="Times New Roman" w:hAnsi="Arial" w:cs="Arial"/>
          <w:b/>
          <w:bCs/>
          <w:color w:val="auto"/>
          <w:sz w:val="24"/>
          <w:szCs w:val="24"/>
          <w:lang w:val="en-AU"/>
        </w:rPr>
      </w:pPr>
      <w:bookmarkStart w:id="141" w:name="_Toc240533549"/>
      <w:r w:rsidRPr="00717BA5">
        <w:rPr>
          <w:rFonts w:ascii="Arial" w:eastAsia="Times New Roman" w:hAnsi="Arial" w:cs="Arial"/>
          <w:b/>
          <w:bCs/>
          <w:color w:val="auto"/>
          <w:sz w:val="24"/>
          <w:szCs w:val="24"/>
          <w:lang w:val="en-AU"/>
        </w:rPr>
        <w:t>NOTE 18.   FINANCIAL INSTRUMENTS - CONTINUED</w:t>
      </w:r>
      <w:bookmarkEnd w:id="141"/>
    </w:p>
    <w:p w14:paraId="50053D2C" w14:textId="77777777" w:rsidR="00717BA5" w:rsidRPr="00717BA5" w:rsidRDefault="00717BA5" w:rsidP="00717BA5">
      <w:pPr>
        <w:spacing w:after="120" w:line="240" w:lineRule="auto"/>
        <w:jc w:val="both"/>
        <w:rPr>
          <w:rFonts w:ascii="Arial" w:eastAsia="Times New Roman" w:hAnsi="Arial" w:cs="Arial"/>
          <w:b/>
          <w:color w:val="auto"/>
          <w:highlight w:val="green"/>
          <w:lang w:val="en-AU"/>
        </w:rPr>
      </w:pPr>
      <w:r w:rsidRPr="00717BA5">
        <w:rPr>
          <w:rFonts w:ascii="Arial" w:eastAsia="Times New Roman" w:hAnsi="Arial" w:cs="Arial"/>
          <w:b/>
          <w:bCs/>
          <w:color w:val="auto"/>
          <w:lang w:val="en-AU"/>
        </w:rPr>
        <w:t>Fair Value Hierarchy - Continued</w:t>
      </w:r>
    </w:p>
    <w:p w14:paraId="74088EFB"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p>
    <w:tbl>
      <w:tblPr>
        <w:tblW w:w="5000" w:type="pct"/>
        <w:tblLook w:val="04A0" w:firstRow="1" w:lastRow="0" w:firstColumn="1" w:lastColumn="0" w:noHBand="0" w:noVBand="1"/>
      </w:tblPr>
      <w:tblGrid>
        <w:gridCol w:w="5036"/>
        <w:gridCol w:w="5060"/>
      </w:tblGrid>
      <w:tr w:rsidR="00717BA5" w:rsidRPr="00717BA5" w14:paraId="4A1C99AF" w14:textId="77777777" w:rsidTr="00F0752D">
        <w:trPr>
          <w:trHeight w:val="308"/>
        </w:trPr>
        <w:tc>
          <w:tcPr>
            <w:tcW w:w="2494" w:type="pct"/>
            <w:tcBorders>
              <w:top w:val="nil"/>
              <w:left w:val="nil"/>
              <w:bottom w:val="nil"/>
              <w:right w:val="nil"/>
            </w:tcBorders>
            <w:shd w:val="clear" w:color="000000" w:fill="FFFFFF"/>
            <w:vAlign w:val="bottom"/>
          </w:tcPr>
          <w:p w14:paraId="076236C3" w14:textId="77777777" w:rsidR="00717BA5" w:rsidRPr="00717BA5" w:rsidRDefault="00717BA5" w:rsidP="00717BA5">
            <w:pPr>
              <w:spacing w:after="0" w:line="240" w:lineRule="auto"/>
              <w:rPr>
                <w:rFonts w:ascii="Arial" w:eastAsia="Times New Roman" w:hAnsi="Arial" w:cs="Arial"/>
                <w:b/>
                <w:bCs/>
                <w:color w:val="auto"/>
                <w:sz w:val="18"/>
                <w:szCs w:val="18"/>
                <w:u w:val="single"/>
                <w:lang w:val="en-AU"/>
              </w:rPr>
            </w:pPr>
          </w:p>
        </w:tc>
        <w:tc>
          <w:tcPr>
            <w:tcW w:w="2506" w:type="pct"/>
            <w:tcBorders>
              <w:top w:val="nil"/>
              <w:left w:val="nil"/>
              <w:bottom w:val="nil"/>
              <w:right w:val="nil"/>
            </w:tcBorders>
            <w:shd w:val="clear" w:color="000000" w:fill="FFFFFF"/>
            <w:vAlign w:val="bottom"/>
          </w:tcPr>
          <w:p w14:paraId="5DDB88D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u w:val="single"/>
                <w:lang w:val="en-AU"/>
              </w:rPr>
              <w:t>Classification According to the Fair Value Hierarchy</w:t>
            </w:r>
            <w:r w:rsidRPr="00717BA5">
              <w:rPr>
                <w:rFonts w:ascii="Arial" w:eastAsia="Times New Roman" w:hAnsi="Arial" w:cs="Arial"/>
                <w:color w:val="auto"/>
                <w:sz w:val="18"/>
                <w:szCs w:val="18"/>
                <w:lang w:val="en-AU"/>
              </w:rPr>
              <w:t> </w:t>
            </w:r>
          </w:p>
        </w:tc>
      </w:tr>
      <w:tr w:rsidR="00717BA5" w:rsidRPr="00717BA5" w14:paraId="1B45FE73" w14:textId="77777777" w:rsidTr="00F0752D">
        <w:trPr>
          <w:trHeight w:val="308"/>
        </w:trPr>
        <w:tc>
          <w:tcPr>
            <w:tcW w:w="2494" w:type="pct"/>
            <w:tcBorders>
              <w:top w:val="nil"/>
              <w:left w:val="nil"/>
              <w:right w:val="nil"/>
            </w:tcBorders>
            <w:shd w:val="clear" w:color="000000" w:fill="FFFFFF"/>
            <w:vAlign w:val="bottom"/>
          </w:tcPr>
          <w:p w14:paraId="4640ADA8"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2026</w:t>
            </w:r>
          </w:p>
        </w:tc>
        <w:tc>
          <w:tcPr>
            <w:tcW w:w="2506" w:type="pct"/>
            <w:tcBorders>
              <w:top w:val="nil"/>
              <w:left w:val="nil"/>
              <w:bottom w:val="nil"/>
              <w:right w:val="nil"/>
            </w:tcBorders>
            <w:shd w:val="clear" w:color="000000" w:fill="FFFFFF"/>
            <w:vAlign w:val="bottom"/>
          </w:tcPr>
          <w:p w14:paraId="3A52F321"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Level 2</w:t>
            </w:r>
          </w:p>
        </w:tc>
      </w:tr>
      <w:tr w:rsidR="00717BA5" w:rsidRPr="00717BA5" w14:paraId="10E80297" w14:textId="77777777" w:rsidTr="00F0752D">
        <w:trPr>
          <w:trHeight w:val="308"/>
        </w:trPr>
        <w:tc>
          <w:tcPr>
            <w:tcW w:w="2494" w:type="pct"/>
            <w:tcBorders>
              <w:top w:val="nil"/>
              <w:left w:val="nil"/>
              <w:right w:val="nil"/>
            </w:tcBorders>
            <w:shd w:val="clear" w:color="000000" w:fill="FFFFFF"/>
            <w:vAlign w:val="bottom"/>
          </w:tcPr>
          <w:p w14:paraId="673F43DD"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2506" w:type="pct"/>
            <w:tcBorders>
              <w:top w:val="nil"/>
              <w:left w:val="nil"/>
              <w:bottom w:val="single" w:sz="4" w:space="0" w:color="auto"/>
              <w:right w:val="nil"/>
            </w:tcBorders>
            <w:shd w:val="clear" w:color="000000" w:fill="FFFFFF"/>
            <w:noWrap/>
            <w:vAlign w:val="bottom"/>
          </w:tcPr>
          <w:p w14:paraId="011B5712"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38C83116" w14:textId="77777777" w:rsidTr="00F0752D">
        <w:trPr>
          <w:trHeight w:val="308"/>
        </w:trPr>
        <w:tc>
          <w:tcPr>
            <w:tcW w:w="2494" w:type="pct"/>
            <w:tcBorders>
              <w:top w:val="nil"/>
              <w:left w:val="nil"/>
              <w:bottom w:val="nil"/>
              <w:right w:val="nil"/>
            </w:tcBorders>
            <w:shd w:val="clear" w:color="000000" w:fill="FFFFFF"/>
            <w:vAlign w:val="bottom"/>
          </w:tcPr>
          <w:p w14:paraId="2FB82569"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2506" w:type="pct"/>
            <w:tcBorders>
              <w:top w:val="nil"/>
              <w:left w:val="nil"/>
              <w:bottom w:val="nil"/>
              <w:right w:val="nil"/>
            </w:tcBorders>
            <w:shd w:val="clear" w:color="000000" w:fill="FFFFFF"/>
            <w:vAlign w:val="bottom"/>
          </w:tcPr>
          <w:p w14:paraId="4680083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3AA7D0A" w14:textId="77777777" w:rsidTr="00F0752D">
        <w:trPr>
          <w:trHeight w:val="308"/>
        </w:trPr>
        <w:tc>
          <w:tcPr>
            <w:tcW w:w="2494" w:type="pct"/>
            <w:tcBorders>
              <w:top w:val="nil"/>
              <w:left w:val="nil"/>
              <w:bottom w:val="nil"/>
              <w:right w:val="nil"/>
            </w:tcBorders>
            <w:shd w:val="clear" w:color="000000" w:fill="FFFFFF"/>
            <w:vAlign w:val="bottom"/>
          </w:tcPr>
          <w:p w14:paraId="730FE7F7" w14:textId="77777777" w:rsidR="00717BA5" w:rsidRPr="00717BA5" w:rsidRDefault="00717BA5" w:rsidP="00717BA5">
            <w:pPr>
              <w:spacing w:after="0" w:line="240" w:lineRule="auto"/>
              <w:ind w:left="142" w:hanging="142"/>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Financial Assets at Fair Value through Profit and Loss</w:t>
            </w:r>
          </w:p>
        </w:tc>
        <w:tc>
          <w:tcPr>
            <w:tcW w:w="2506" w:type="pct"/>
            <w:tcBorders>
              <w:top w:val="nil"/>
              <w:left w:val="nil"/>
              <w:bottom w:val="nil"/>
              <w:right w:val="nil"/>
            </w:tcBorders>
            <w:shd w:val="clear" w:color="000000" w:fill="FFFFFF"/>
            <w:noWrap/>
            <w:vAlign w:val="bottom"/>
          </w:tcPr>
          <w:p w14:paraId="4442D9CE"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3C9A9AF7" w14:textId="77777777" w:rsidTr="00F0752D">
        <w:trPr>
          <w:trHeight w:val="61"/>
        </w:trPr>
        <w:tc>
          <w:tcPr>
            <w:tcW w:w="2494" w:type="pct"/>
            <w:tcBorders>
              <w:top w:val="nil"/>
              <w:left w:val="nil"/>
              <w:bottom w:val="nil"/>
              <w:right w:val="nil"/>
            </w:tcBorders>
            <w:shd w:val="clear" w:color="000000" w:fill="FFFFFF"/>
            <w:vAlign w:val="bottom"/>
          </w:tcPr>
          <w:p w14:paraId="4E8BD43B"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2506" w:type="pct"/>
            <w:tcBorders>
              <w:top w:val="nil"/>
              <w:left w:val="nil"/>
              <w:bottom w:val="nil"/>
              <w:right w:val="nil"/>
            </w:tcBorders>
            <w:shd w:val="clear" w:color="000000" w:fill="FFFFFF"/>
            <w:vAlign w:val="bottom"/>
          </w:tcPr>
          <w:p w14:paraId="6559AEF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2579CBDA" w14:textId="77777777" w:rsidTr="00F0752D">
        <w:trPr>
          <w:trHeight w:val="308"/>
        </w:trPr>
        <w:tc>
          <w:tcPr>
            <w:tcW w:w="2494" w:type="pct"/>
            <w:tcBorders>
              <w:top w:val="nil"/>
              <w:left w:val="nil"/>
              <w:bottom w:val="nil"/>
              <w:right w:val="nil"/>
            </w:tcBorders>
            <w:shd w:val="clear" w:color="000000" w:fill="FFFFFF"/>
            <w:vAlign w:val="bottom"/>
          </w:tcPr>
          <w:p w14:paraId="1237D006"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Investments</w:t>
            </w:r>
          </w:p>
        </w:tc>
        <w:tc>
          <w:tcPr>
            <w:tcW w:w="2506" w:type="pct"/>
            <w:tcBorders>
              <w:top w:val="nil"/>
              <w:left w:val="nil"/>
              <w:bottom w:val="nil"/>
              <w:right w:val="nil"/>
            </w:tcBorders>
            <w:shd w:val="clear" w:color="000000" w:fill="FFFFFF"/>
            <w:vAlign w:val="bottom"/>
          </w:tcPr>
          <w:p w14:paraId="023424F0"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380,271</w:t>
            </w:r>
          </w:p>
        </w:tc>
      </w:tr>
      <w:tr w:rsidR="00717BA5" w:rsidRPr="00717BA5" w14:paraId="148A60E8" w14:textId="77777777" w:rsidTr="00F0752D">
        <w:trPr>
          <w:trHeight w:val="190"/>
        </w:trPr>
        <w:tc>
          <w:tcPr>
            <w:tcW w:w="2494" w:type="pct"/>
            <w:tcBorders>
              <w:top w:val="nil"/>
              <w:left w:val="nil"/>
              <w:right w:val="nil"/>
            </w:tcBorders>
            <w:shd w:val="clear" w:color="000000" w:fill="FFFFFF"/>
            <w:vAlign w:val="bottom"/>
          </w:tcPr>
          <w:p w14:paraId="4C8E3AAC"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2506" w:type="pct"/>
            <w:tcBorders>
              <w:top w:val="nil"/>
              <w:left w:val="nil"/>
              <w:bottom w:val="single" w:sz="4" w:space="0" w:color="auto"/>
              <w:right w:val="nil"/>
            </w:tcBorders>
            <w:shd w:val="clear" w:color="000000" w:fill="FFFFFF"/>
            <w:vAlign w:val="bottom"/>
          </w:tcPr>
          <w:p w14:paraId="076DA61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7192850" w14:textId="77777777" w:rsidTr="00F0752D">
        <w:trPr>
          <w:trHeight w:val="283"/>
        </w:trPr>
        <w:tc>
          <w:tcPr>
            <w:tcW w:w="2494" w:type="pct"/>
            <w:tcBorders>
              <w:left w:val="nil"/>
              <w:right w:val="nil"/>
            </w:tcBorders>
            <w:shd w:val="clear" w:color="000000" w:fill="FFFFFF"/>
            <w:vAlign w:val="bottom"/>
          </w:tcPr>
          <w:p w14:paraId="1BB46ADE"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2506" w:type="pct"/>
            <w:tcBorders>
              <w:top w:val="single" w:sz="4" w:space="0" w:color="auto"/>
              <w:left w:val="nil"/>
              <w:bottom w:val="double" w:sz="4" w:space="0" w:color="auto"/>
              <w:right w:val="nil"/>
            </w:tcBorders>
            <w:shd w:val="clear" w:color="000000" w:fill="FFFFFF"/>
            <w:vAlign w:val="bottom"/>
          </w:tcPr>
          <w:p w14:paraId="73747E2B"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380,271</w:t>
            </w:r>
          </w:p>
        </w:tc>
      </w:tr>
    </w:tbl>
    <w:p w14:paraId="7B2C6617" w14:textId="77777777" w:rsidR="00717BA5" w:rsidRPr="00717BA5" w:rsidRDefault="00717BA5" w:rsidP="00717BA5">
      <w:pPr>
        <w:spacing w:after="0" w:line="240" w:lineRule="auto"/>
        <w:rPr>
          <w:rFonts w:ascii="Arial" w:eastAsia="Times New Roman" w:hAnsi="Arial" w:cs="Arial"/>
          <w:b/>
          <w:color w:val="auto"/>
          <w:sz w:val="18"/>
          <w:szCs w:val="18"/>
          <w:highlight w:val="green"/>
          <w:lang w:val="en-AU"/>
        </w:rPr>
      </w:pPr>
    </w:p>
    <w:p w14:paraId="7155892C" w14:textId="77777777" w:rsidR="00717BA5" w:rsidRPr="00717BA5" w:rsidRDefault="00717BA5" w:rsidP="00717BA5">
      <w:pPr>
        <w:spacing w:after="0" w:line="240" w:lineRule="auto"/>
        <w:rPr>
          <w:rFonts w:ascii="Arial" w:eastAsia="Times New Roman" w:hAnsi="Arial" w:cs="Arial"/>
          <w:b/>
          <w:color w:val="auto"/>
          <w:sz w:val="18"/>
          <w:szCs w:val="18"/>
          <w:highlight w:val="green"/>
          <w:lang w:val="en-AU"/>
        </w:rPr>
      </w:pPr>
    </w:p>
    <w:tbl>
      <w:tblPr>
        <w:tblW w:w="5000" w:type="pct"/>
        <w:tblLook w:val="04A0" w:firstRow="1" w:lastRow="0" w:firstColumn="1" w:lastColumn="0" w:noHBand="0" w:noVBand="1"/>
      </w:tblPr>
      <w:tblGrid>
        <w:gridCol w:w="5048"/>
        <w:gridCol w:w="5048"/>
      </w:tblGrid>
      <w:tr w:rsidR="00717BA5" w:rsidRPr="00717BA5" w14:paraId="5AFD3170" w14:textId="77777777" w:rsidTr="00F0752D">
        <w:trPr>
          <w:trHeight w:val="272"/>
        </w:trPr>
        <w:tc>
          <w:tcPr>
            <w:tcW w:w="2500" w:type="pct"/>
            <w:tcBorders>
              <w:top w:val="nil"/>
              <w:left w:val="nil"/>
              <w:bottom w:val="nil"/>
              <w:right w:val="nil"/>
            </w:tcBorders>
            <w:shd w:val="clear" w:color="000000" w:fill="FFFFFF"/>
            <w:vAlign w:val="bottom"/>
          </w:tcPr>
          <w:p w14:paraId="797C50E5"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2500" w:type="pct"/>
            <w:tcBorders>
              <w:top w:val="nil"/>
              <w:left w:val="nil"/>
              <w:bottom w:val="nil"/>
              <w:right w:val="nil"/>
            </w:tcBorders>
            <w:shd w:val="clear" w:color="000000" w:fill="FFFFFF"/>
            <w:vAlign w:val="bottom"/>
          </w:tcPr>
          <w:p w14:paraId="31386165"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u w:val="single"/>
                <w:lang w:val="en-AU"/>
              </w:rPr>
              <w:t>Classification According to the Fair Value Hierarchy</w:t>
            </w:r>
            <w:r w:rsidRPr="00717BA5">
              <w:rPr>
                <w:rFonts w:ascii="Arial" w:eastAsia="Times New Roman" w:hAnsi="Arial" w:cs="Arial"/>
                <w:color w:val="auto"/>
                <w:sz w:val="18"/>
                <w:szCs w:val="18"/>
                <w:lang w:val="en-AU"/>
              </w:rPr>
              <w:t> </w:t>
            </w:r>
          </w:p>
        </w:tc>
      </w:tr>
      <w:tr w:rsidR="00717BA5" w:rsidRPr="00717BA5" w14:paraId="58F7C55B" w14:textId="77777777" w:rsidTr="00F0752D">
        <w:trPr>
          <w:trHeight w:val="272"/>
        </w:trPr>
        <w:tc>
          <w:tcPr>
            <w:tcW w:w="2500" w:type="pct"/>
            <w:tcBorders>
              <w:top w:val="nil"/>
              <w:left w:val="nil"/>
              <w:bottom w:val="nil"/>
              <w:right w:val="nil"/>
            </w:tcBorders>
            <w:shd w:val="clear" w:color="000000" w:fill="FFFFFF"/>
            <w:vAlign w:val="bottom"/>
          </w:tcPr>
          <w:p w14:paraId="3E5E760C" w14:textId="77777777" w:rsidR="00717BA5" w:rsidRPr="00717BA5" w:rsidRDefault="00717BA5" w:rsidP="00717BA5">
            <w:pPr>
              <w:spacing w:after="0" w:line="240" w:lineRule="auto"/>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2025</w:t>
            </w:r>
          </w:p>
        </w:tc>
        <w:tc>
          <w:tcPr>
            <w:tcW w:w="2500" w:type="pct"/>
            <w:tcBorders>
              <w:top w:val="nil"/>
              <w:left w:val="nil"/>
              <w:bottom w:val="nil"/>
              <w:right w:val="nil"/>
            </w:tcBorders>
            <w:shd w:val="clear" w:color="000000" w:fill="FFFFFF"/>
            <w:vAlign w:val="bottom"/>
          </w:tcPr>
          <w:p w14:paraId="48E3747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Level 2</w:t>
            </w:r>
          </w:p>
        </w:tc>
      </w:tr>
      <w:tr w:rsidR="00717BA5" w:rsidRPr="00717BA5" w14:paraId="243315D9" w14:textId="77777777" w:rsidTr="00F0752D">
        <w:trPr>
          <w:trHeight w:val="272"/>
        </w:trPr>
        <w:tc>
          <w:tcPr>
            <w:tcW w:w="2500" w:type="pct"/>
            <w:tcBorders>
              <w:top w:val="nil"/>
              <w:left w:val="nil"/>
              <w:right w:val="nil"/>
            </w:tcBorders>
            <w:shd w:val="clear" w:color="000000" w:fill="FFFFFF"/>
            <w:vAlign w:val="bottom"/>
          </w:tcPr>
          <w:p w14:paraId="345B22E1"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2500" w:type="pct"/>
            <w:tcBorders>
              <w:top w:val="nil"/>
              <w:left w:val="nil"/>
              <w:bottom w:val="single" w:sz="4" w:space="0" w:color="auto"/>
              <w:right w:val="nil"/>
            </w:tcBorders>
            <w:shd w:val="clear" w:color="000000" w:fill="FFFFFF"/>
            <w:noWrap/>
            <w:vAlign w:val="bottom"/>
          </w:tcPr>
          <w:p w14:paraId="2755DE04"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$’000</w:t>
            </w:r>
          </w:p>
        </w:tc>
      </w:tr>
      <w:tr w:rsidR="00717BA5" w:rsidRPr="00717BA5" w14:paraId="3C09E8BD" w14:textId="77777777" w:rsidTr="00F0752D">
        <w:trPr>
          <w:trHeight w:val="272"/>
        </w:trPr>
        <w:tc>
          <w:tcPr>
            <w:tcW w:w="2500" w:type="pct"/>
            <w:tcBorders>
              <w:top w:val="nil"/>
              <w:left w:val="nil"/>
              <w:bottom w:val="nil"/>
              <w:right w:val="nil"/>
            </w:tcBorders>
            <w:shd w:val="clear" w:color="000000" w:fill="FFFFFF"/>
            <w:vAlign w:val="bottom"/>
          </w:tcPr>
          <w:p w14:paraId="56D9E9DE"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2500" w:type="pct"/>
            <w:tcBorders>
              <w:top w:val="nil"/>
              <w:left w:val="nil"/>
              <w:bottom w:val="nil"/>
              <w:right w:val="nil"/>
            </w:tcBorders>
            <w:shd w:val="clear" w:color="000000" w:fill="FFFFFF"/>
            <w:vAlign w:val="bottom"/>
          </w:tcPr>
          <w:p w14:paraId="00EDC0C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0551B5AF" w14:textId="77777777" w:rsidTr="00F0752D">
        <w:trPr>
          <w:trHeight w:val="272"/>
        </w:trPr>
        <w:tc>
          <w:tcPr>
            <w:tcW w:w="2500" w:type="pct"/>
            <w:tcBorders>
              <w:top w:val="nil"/>
              <w:left w:val="nil"/>
              <w:bottom w:val="nil"/>
              <w:right w:val="nil"/>
            </w:tcBorders>
            <w:shd w:val="clear" w:color="000000" w:fill="FFFFFF"/>
            <w:vAlign w:val="bottom"/>
          </w:tcPr>
          <w:p w14:paraId="63326EF4" w14:textId="77777777" w:rsidR="00717BA5" w:rsidRPr="00717BA5" w:rsidRDefault="00717BA5" w:rsidP="00717BA5">
            <w:pPr>
              <w:spacing w:after="0" w:line="240" w:lineRule="auto"/>
              <w:ind w:left="142" w:hanging="142"/>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Financial Assets at Fair Value through Profit and Loss</w:t>
            </w:r>
          </w:p>
        </w:tc>
        <w:tc>
          <w:tcPr>
            <w:tcW w:w="2500" w:type="pct"/>
            <w:tcBorders>
              <w:top w:val="nil"/>
              <w:left w:val="nil"/>
              <w:bottom w:val="nil"/>
              <w:right w:val="nil"/>
            </w:tcBorders>
            <w:shd w:val="clear" w:color="000000" w:fill="FFFFFF"/>
            <w:noWrap/>
            <w:vAlign w:val="bottom"/>
          </w:tcPr>
          <w:p w14:paraId="20D77935"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78312FE2" w14:textId="77777777" w:rsidTr="00F0752D">
        <w:trPr>
          <w:trHeight w:val="272"/>
        </w:trPr>
        <w:tc>
          <w:tcPr>
            <w:tcW w:w="2500" w:type="pct"/>
            <w:tcBorders>
              <w:top w:val="nil"/>
              <w:left w:val="nil"/>
              <w:bottom w:val="nil"/>
              <w:right w:val="nil"/>
            </w:tcBorders>
            <w:shd w:val="clear" w:color="000000" w:fill="FFFFFF"/>
            <w:vAlign w:val="bottom"/>
          </w:tcPr>
          <w:p w14:paraId="2AB39C5E"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2500" w:type="pct"/>
            <w:tcBorders>
              <w:top w:val="nil"/>
              <w:left w:val="nil"/>
              <w:bottom w:val="nil"/>
              <w:right w:val="nil"/>
            </w:tcBorders>
            <w:shd w:val="clear" w:color="000000" w:fill="FFFFFF"/>
            <w:vAlign w:val="bottom"/>
          </w:tcPr>
          <w:p w14:paraId="478298E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3515F51F" w14:textId="77777777" w:rsidTr="00F0752D">
        <w:trPr>
          <w:trHeight w:val="272"/>
        </w:trPr>
        <w:tc>
          <w:tcPr>
            <w:tcW w:w="2500" w:type="pct"/>
            <w:tcBorders>
              <w:top w:val="nil"/>
              <w:left w:val="nil"/>
              <w:bottom w:val="nil"/>
              <w:right w:val="nil"/>
            </w:tcBorders>
            <w:shd w:val="clear" w:color="000000" w:fill="FFFFFF"/>
            <w:vAlign w:val="bottom"/>
          </w:tcPr>
          <w:p w14:paraId="1206DA01"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Investments</w:t>
            </w:r>
          </w:p>
        </w:tc>
        <w:tc>
          <w:tcPr>
            <w:tcW w:w="2500" w:type="pct"/>
            <w:tcBorders>
              <w:top w:val="nil"/>
              <w:left w:val="nil"/>
              <w:bottom w:val="nil"/>
              <w:right w:val="nil"/>
            </w:tcBorders>
            <w:shd w:val="clear" w:color="000000" w:fill="FFFFFF"/>
            <w:vAlign w:val="bottom"/>
          </w:tcPr>
          <w:p w14:paraId="2BE6173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351,072</w:t>
            </w:r>
          </w:p>
        </w:tc>
      </w:tr>
      <w:tr w:rsidR="00717BA5" w:rsidRPr="00717BA5" w14:paraId="03C75A51" w14:textId="77777777" w:rsidTr="00F0752D">
        <w:trPr>
          <w:trHeight w:val="272"/>
        </w:trPr>
        <w:tc>
          <w:tcPr>
            <w:tcW w:w="2500" w:type="pct"/>
            <w:tcBorders>
              <w:top w:val="nil"/>
              <w:left w:val="nil"/>
              <w:right w:val="nil"/>
            </w:tcBorders>
            <w:shd w:val="clear" w:color="000000" w:fill="FFFFFF"/>
            <w:vAlign w:val="bottom"/>
          </w:tcPr>
          <w:p w14:paraId="26697311"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2500" w:type="pct"/>
            <w:tcBorders>
              <w:top w:val="nil"/>
              <w:left w:val="nil"/>
              <w:bottom w:val="single" w:sz="4" w:space="0" w:color="auto"/>
              <w:right w:val="nil"/>
            </w:tcBorders>
            <w:shd w:val="clear" w:color="000000" w:fill="FFFFFF"/>
            <w:vAlign w:val="bottom"/>
          </w:tcPr>
          <w:p w14:paraId="36700D9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r>
      <w:tr w:rsidR="00717BA5" w:rsidRPr="00717BA5" w14:paraId="5D452B5A" w14:textId="77777777" w:rsidTr="00F0752D">
        <w:trPr>
          <w:trHeight w:val="283"/>
        </w:trPr>
        <w:tc>
          <w:tcPr>
            <w:tcW w:w="2500" w:type="pct"/>
            <w:tcBorders>
              <w:left w:val="nil"/>
              <w:right w:val="nil"/>
            </w:tcBorders>
            <w:shd w:val="clear" w:color="000000" w:fill="FFFFFF"/>
            <w:vAlign w:val="bottom"/>
          </w:tcPr>
          <w:p w14:paraId="11E088D4" w14:textId="77777777" w:rsidR="00717BA5" w:rsidRPr="00717BA5" w:rsidRDefault="00717BA5" w:rsidP="00717BA5">
            <w:pPr>
              <w:spacing w:after="0" w:line="240" w:lineRule="auto"/>
              <w:rPr>
                <w:rFonts w:ascii="Arial" w:eastAsia="Times New Roman" w:hAnsi="Arial" w:cs="Arial"/>
                <w:b/>
                <w:bCs/>
                <w:color w:val="auto"/>
                <w:sz w:val="18"/>
                <w:szCs w:val="18"/>
                <w:lang w:val="en-AU"/>
              </w:rPr>
            </w:pPr>
          </w:p>
        </w:tc>
        <w:tc>
          <w:tcPr>
            <w:tcW w:w="2500" w:type="pct"/>
            <w:tcBorders>
              <w:top w:val="single" w:sz="4" w:space="0" w:color="auto"/>
              <w:left w:val="nil"/>
              <w:bottom w:val="double" w:sz="4" w:space="0" w:color="auto"/>
              <w:right w:val="nil"/>
            </w:tcBorders>
            <w:shd w:val="clear" w:color="000000" w:fill="FFFFFF"/>
            <w:vAlign w:val="bottom"/>
          </w:tcPr>
          <w:p w14:paraId="6DEDF7B7"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Times New Roman" w:hAnsi="Arial" w:cs="Arial"/>
                <w:b/>
                <w:bCs/>
                <w:color w:val="auto"/>
                <w:sz w:val="18"/>
                <w:szCs w:val="18"/>
                <w:lang w:val="en-AU"/>
              </w:rPr>
              <w:t>351,072</w:t>
            </w:r>
          </w:p>
        </w:tc>
      </w:tr>
    </w:tbl>
    <w:p w14:paraId="419D0FE9" w14:textId="77777777" w:rsidR="00717BA5" w:rsidRPr="00717BA5" w:rsidRDefault="00717BA5" w:rsidP="00102726">
      <w:pPr>
        <w:spacing w:after="0" w:line="240" w:lineRule="auto"/>
        <w:jc w:val="both"/>
        <w:rPr>
          <w:rFonts w:ascii="Arial" w:eastAsia="Times New Roman" w:hAnsi="Arial" w:cs="Arial"/>
          <w:b/>
          <w:color w:val="auto"/>
          <w:sz w:val="18"/>
          <w:szCs w:val="18"/>
          <w:highlight w:val="green"/>
          <w:lang w:val="en-AU"/>
        </w:rPr>
      </w:pPr>
    </w:p>
    <w:p w14:paraId="41782CEB" w14:textId="77777777" w:rsidR="00717BA5" w:rsidRPr="00717BA5" w:rsidRDefault="00717BA5" w:rsidP="00102726">
      <w:pPr>
        <w:adjustRightInd w:val="0"/>
        <w:snapToGrid w:val="0"/>
        <w:spacing w:after="180"/>
        <w:rPr>
          <w:rFonts w:ascii="Arial" w:eastAsia="Times New Roman" w:hAnsi="Arial" w:cs="Arial"/>
          <w:color w:val="auto"/>
          <w:lang w:val="en-AU"/>
        </w:rPr>
      </w:pPr>
      <w:r w:rsidRPr="00717BA5">
        <w:rPr>
          <w:rFonts w:ascii="Arial" w:eastAsia="Times New Roman" w:hAnsi="Arial" w:cs="Arial"/>
          <w:color w:val="auto"/>
          <w:lang w:val="en-AU"/>
        </w:rPr>
        <w:t>Note: The investments are wholesale managed funds with underlying assets including property securities and shares which seek to track the return of benchmarking indexes. While a large part of these underlying assets can be quoted in active markets, some assets may be subject to restrictions on redemptions. The fair value of these investments is based on the funds’ unit prices determined by the fund manager.</w:t>
      </w:r>
    </w:p>
    <w:p w14:paraId="3A6013F4" w14:textId="77777777" w:rsidR="00717BA5" w:rsidRPr="00717BA5" w:rsidRDefault="00717BA5" w:rsidP="00717BA5">
      <w:pPr>
        <w:keepNext/>
        <w:spacing w:after="240" w:line="240" w:lineRule="auto"/>
        <w:jc w:val="both"/>
        <w:outlineLvl w:val="1"/>
        <w:rPr>
          <w:rFonts w:ascii="Arial" w:eastAsia="Times New Roman" w:hAnsi="Arial" w:cs="Arial"/>
          <w:b/>
          <w:bCs/>
          <w:color w:val="auto"/>
          <w:sz w:val="24"/>
          <w:szCs w:val="24"/>
          <w:lang w:val="en-AU"/>
        </w:rPr>
      </w:pPr>
      <w:bookmarkStart w:id="142" w:name="_Toc240533550"/>
      <w:r w:rsidRPr="00717BA5">
        <w:rPr>
          <w:rFonts w:ascii="Arial" w:eastAsia="Times New Roman" w:hAnsi="Arial" w:cs="Arial"/>
          <w:b/>
          <w:bCs/>
          <w:color w:val="auto"/>
          <w:sz w:val="24"/>
          <w:szCs w:val="24"/>
          <w:lang w:val="en-AU"/>
        </w:rPr>
        <w:t xml:space="preserve">NOTE 19.   </w:t>
      </w:r>
      <w:r w:rsidRPr="00717BA5" w:rsidDel="007764E6">
        <w:rPr>
          <w:rFonts w:ascii="Arial" w:eastAsia="Times New Roman" w:hAnsi="Arial" w:cs="Arial"/>
          <w:bCs/>
          <w:i/>
          <w:iCs/>
          <w:color w:val="auto"/>
          <w:sz w:val="12"/>
          <w:szCs w:val="12"/>
          <w:lang w:val="en-AU"/>
        </w:rPr>
        <w:t xml:space="preserve"> </w:t>
      </w:r>
      <w:r w:rsidRPr="00717BA5">
        <w:rPr>
          <w:rFonts w:ascii="Arial" w:eastAsia="Times New Roman" w:hAnsi="Arial" w:cs="Arial"/>
          <w:b/>
          <w:bCs/>
          <w:color w:val="auto"/>
          <w:sz w:val="24"/>
          <w:szCs w:val="24"/>
          <w:lang w:val="en-AU"/>
        </w:rPr>
        <w:t>COMMITMENTS</w:t>
      </w:r>
      <w:bookmarkEnd w:id="142"/>
    </w:p>
    <w:p w14:paraId="12EA56A7" w14:textId="77777777" w:rsidR="00717BA5" w:rsidRPr="00717BA5" w:rsidRDefault="00717BA5" w:rsidP="00717BA5">
      <w:pPr>
        <w:adjustRightInd w:val="0"/>
        <w:snapToGrid w:val="0"/>
        <w:rPr>
          <w:rFonts w:ascii="Arial" w:eastAsia="Times New Roman" w:hAnsi="Arial" w:cs="Arial"/>
          <w:b/>
          <w:color w:val="auto"/>
          <w:sz w:val="18"/>
          <w:szCs w:val="18"/>
          <w:lang w:val="en-AU"/>
        </w:rPr>
      </w:pPr>
      <w:r w:rsidRPr="00717BA5">
        <w:rPr>
          <w:rFonts w:ascii="Arial" w:eastAsia="Times New Roman" w:hAnsi="Arial" w:cs="Arial"/>
          <w:b/>
          <w:bCs/>
          <w:color w:val="auto"/>
          <w:lang w:val="en-AU"/>
        </w:rPr>
        <w:t>Description and Material Accounting Policies Relating to Commitments</w:t>
      </w:r>
    </w:p>
    <w:p w14:paraId="430B046F"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Commitments are a firm intention, but not a present obligation, at the end of the reporting period to incur future expenditure. As such, commitments do not constitute a liability. Commitments usually arise from contracts but can arise from other arrangements like placing an order. Commitments are measured at their nominal value and are inclusive of GST.</w:t>
      </w:r>
    </w:p>
    <w:p w14:paraId="18B5DFE8"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Other Commitments</w:t>
      </w:r>
    </w:p>
    <w:p w14:paraId="145B88FF"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Other commitments contracted at reporting date but not recognised as liabilities, are payable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2"/>
        <w:gridCol w:w="1284"/>
        <w:gridCol w:w="626"/>
        <w:gridCol w:w="1284"/>
      </w:tblGrid>
      <w:tr w:rsidR="00717BA5" w:rsidRPr="00717BA5" w14:paraId="51F4BAE7" w14:textId="77777777" w:rsidTr="00F0752D">
        <w:trPr>
          <w:trHeight w:val="272"/>
        </w:trPr>
        <w:tc>
          <w:tcPr>
            <w:tcW w:w="3417" w:type="pct"/>
            <w:tcBorders>
              <w:top w:val="nil"/>
              <w:left w:val="nil"/>
              <w:bottom w:val="nil"/>
              <w:right w:val="nil"/>
            </w:tcBorders>
            <w:vAlign w:val="bottom"/>
          </w:tcPr>
          <w:p w14:paraId="16A35D94" w14:textId="77777777" w:rsidR="00717BA5" w:rsidRPr="00717BA5" w:rsidRDefault="00717BA5" w:rsidP="00717BA5">
            <w:pPr>
              <w:spacing w:before="60" w:after="60" w:line="240" w:lineRule="auto"/>
              <w:rPr>
                <w:rFonts w:ascii="Arial" w:eastAsia="Times New Roman" w:hAnsi="Arial" w:cs="Arial"/>
                <w:color w:val="auto"/>
                <w:sz w:val="18"/>
                <w:szCs w:val="18"/>
                <w:lang w:val="en-AU"/>
              </w:rPr>
            </w:pPr>
          </w:p>
        </w:tc>
        <w:tc>
          <w:tcPr>
            <w:tcW w:w="636" w:type="pct"/>
            <w:tcBorders>
              <w:top w:val="nil"/>
              <w:left w:val="nil"/>
              <w:bottom w:val="nil"/>
              <w:right w:val="nil"/>
            </w:tcBorders>
            <w:shd w:val="clear" w:color="000000" w:fill="FFFFFF"/>
            <w:vAlign w:val="bottom"/>
          </w:tcPr>
          <w:p w14:paraId="1449C06C"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2026</w:t>
            </w:r>
          </w:p>
        </w:tc>
        <w:tc>
          <w:tcPr>
            <w:tcW w:w="310" w:type="pct"/>
            <w:tcBorders>
              <w:top w:val="nil"/>
              <w:left w:val="nil"/>
              <w:bottom w:val="nil"/>
              <w:right w:val="nil"/>
            </w:tcBorders>
            <w:shd w:val="clear" w:color="000000" w:fill="FFFFFF"/>
            <w:vAlign w:val="bottom"/>
          </w:tcPr>
          <w:p w14:paraId="6C67B7E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636" w:type="pct"/>
            <w:tcBorders>
              <w:top w:val="nil"/>
              <w:left w:val="nil"/>
              <w:bottom w:val="nil"/>
              <w:right w:val="nil"/>
            </w:tcBorders>
            <w:shd w:val="clear" w:color="000000" w:fill="FFFFFF"/>
            <w:vAlign w:val="bottom"/>
          </w:tcPr>
          <w:p w14:paraId="62076D3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7D611C7A" w14:textId="77777777" w:rsidTr="00F0752D">
        <w:trPr>
          <w:trHeight w:val="272"/>
        </w:trPr>
        <w:tc>
          <w:tcPr>
            <w:tcW w:w="3417" w:type="pct"/>
            <w:tcBorders>
              <w:top w:val="nil"/>
              <w:left w:val="nil"/>
              <w:bottom w:val="nil"/>
              <w:right w:val="nil"/>
            </w:tcBorders>
            <w:vAlign w:val="bottom"/>
          </w:tcPr>
          <w:p w14:paraId="34B32269" w14:textId="77777777" w:rsidR="00717BA5" w:rsidRPr="00717BA5" w:rsidRDefault="00717BA5" w:rsidP="00717BA5">
            <w:pPr>
              <w:spacing w:before="60" w:after="60" w:line="240" w:lineRule="auto"/>
              <w:rPr>
                <w:rFonts w:ascii="Arial" w:eastAsia="Times New Roman" w:hAnsi="Arial" w:cs="Arial"/>
                <w:color w:val="auto"/>
                <w:sz w:val="18"/>
                <w:szCs w:val="18"/>
                <w:lang w:val="en-AU"/>
              </w:rPr>
            </w:pPr>
          </w:p>
        </w:tc>
        <w:tc>
          <w:tcPr>
            <w:tcW w:w="636" w:type="pct"/>
            <w:tcBorders>
              <w:top w:val="nil"/>
              <w:left w:val="nil"/>
              <w:bottom w:val="single" w:sz="4" w:space="0" w:color="auto"/>
              <w:right w:val="nil"/>
            </w:tcBorders>
            <w:vAlign w:val="bottom"/>
          </w:tcPr>
          <w:p w14:paraId="573BDE99"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$’000</w:t>
            </w:r>
          </w:p>
        </w:tc>
        <w:tc>
          <w:tcPr>
            <w:tcW w:w="310" w:type="pct"/>
            <w:tcBorders>
              <w:top w:val="nil"/>
              <w:left w:val="nil"/>
              <w:bottom w:val="nil"/>
              <w:right w:val="nil"/>
            </w:tcBorders>
            <w:vAlign w:val="bottom"/>
          </w:tcPr>
          <w:p w14:paraId="2ED78639"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636" w:type="pct"/>
            <w:tcBorders>
              <w:top w:val="nil"/>
              <w:left w:val="nil"/>
              <w:bottom w:val="single" w:sz="4" w:space="0" w:color="auto"/>
              <w:right w:val="nil"/>
            </w:tcBorders>
            <w:vAlign w:val="bottom"/>
          </w:tcPr>
          <w:p w14:paraId="1D450F1A"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$’000</w:t>
            </w:r>
          </w:p>
        </w:tc>
      </w:tr>
      <w:tr w:rsidR="00717BA5" w:rsidRPr="00717BA5" w14:paraId="3EF16104" w14:textId="77777777" w:rsidTr="00F0752D">
        <w:trPr>
          <w:trHeight w:val="20"/>
        </w:trPr>
        <w:tc>
          <w:tcPr>
            <w:tcW w:w="3417" w:type="pct"/>
            <w:tcBorders>
              <w:top w:val="nil"/>
              <w:left w:val="nil"/>
              <w:bottom w:val="nil"/>
              <w:right w:val="nil"/>
            </w:tcBorders>
            <w:vAlign w:val="bottom"/>
          </w:tcPr>
          <w:p w14:paraId="118E71D4" w14:textId="77777777" w:rsidR="00717BA5" w:rsidRPr="00717BA5" w:rsidRDefault="00717BA5" w:rsidP="00717BA5">
            <w:pPr>
              <w:spacing w:before="60"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Within One Year</w:t>
            </w:r>
          </w:p>
        </w:tc>
        <w:tc>
          <w:tcPr>
            <w:tcW w:w="636" w:type="pct"/>
            <w:tcBorders>
              <w:top w:val="single" w:sz="4" w:space="0" w:color="auto"/>
              <w:left w:val="nil"/>
              <w:bottom w:val="nil"/>
              <w:right w:val="nil"/>
            </w:tcBorders>
            <w:vAlign w:val="bottom"/>
          </w:tcPr>
          <w:p w14:paraId="20B18F16"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996</w:t>
            </w:r>
          </w:p>
        </w:tc>
        <w:tc>
          <w:tcPr>
            <w:tcW w:w="310" w:type="pct"/>
            <w:tcBorders>
              <w:top w:val="nil"/>
              <w:left w:val="nil"/>
              <w:bottom w:val="nil"/>
              <w:right w:val="nil"/>
            </w:tcBorders>
            <w:vAlign w:val="bottom"/>
          </w:tcPr>
          <w:p w14:paraId="56CAF3E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6" w:type="pct"/>
            <w:tcBorders>
              <w:top w:val="single" w:sz="4" w:space="0" w:color="auto"/>
              <w:left w:val="nil"/>
              <w:bottom w:val="nil"/>
              <w:right w:val="nil"/>
            </w:tcBorders>
            <w:vAlign w:val="bottom"/>
          </w:tcPr>
          <w:p w14:paraId="42FB54C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630</w:t>
            </w:r>
          </w:p>
        </w:tc>
      </w:tr>
      <w:tr w:rsidR="00717BA5" w:rsidRPr="00717BA5" w14:paraId="1F95CEA9" w14:textId="77777777" w:rsidTr="00F0752D">
        <w:trPr>
          <w:trHeight w:val="20"/>
        </w:trPr>
        <w:tc>
          <w:tcPr>
            <w:tcW w:w="3417" w:type="pct"/>
            <w:tcBorders>
              <w:top w:val="nil"/>
              <w:left w:val="nil"/>
              <w:bottom w:val="nil"/>
              <w:right w:val="nil"/>
            </w:tcBorders>
            <w:vAlign w:val="bottom"/>
          </w:tcPr>
          <w:p w14:paraId="4D23ABCC"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Later than One Year but no Later than Five Years</w:t>
            </w:r>
          </w:p>
        </w:tc>
        <w:tc>
          <w:tcPr>
            <w:tcW w:w="636" w:type="pct"/>
            <w:tcBorders>
              <w:top w:val="nil"/>
              <w:left w:val="nil"/>
              <w:bottom w:val="single" w:sz="4" w:space="0" w:color="auto"/>
              <w:right w:val="nil"/>
            </w:tcBorders>
            <w:vAlign w:val="bottom"/>
          </w:tcPr>
          <w:p w14:paraId="6C8286A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146</w:t>
            </w:r>
          </w:p>
        </w:tc>
        <w:tc>
          <w:tcPr>
            <w:tcW w:w="310" w:type="pct"/>
            <w:tcBorders>
              <w:top w:val="nil"/>
              <w:left w:val="nil"/>
              <w:bottom w:val="nil"/>
              <w:right w:val="nil"/>
            </w:tcBorders>
            <w:vAlign w:val="bottom"/>
          </w:tcPr>
          <w:p w14:paraId="6675855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6" w:type="pct"/>
            <w:tcBorders>
              <w:top w:val="nil"/>
              <w:left w:val="nil"/>
              <w:bottom w:val="single" w:sz="4" w:space="0" w:color="auto"/>
              <w:right w:val="nil"/>
            </w:tcBorders>
            <w:vAlign w:val="bottom"/>
          </w:tcPr>
          <w:p w14:paraId="458878F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57</w:t>
            </w:r>
          </w:p>
        </w:tc>
      </w:tr>
      <w:tr w:rsidR="00717BA5" w:rsidRPr="00717BA5" w14:paraId="1B41C4EE" w14:textId="77777777" w:rsidTr="00F0752D">
        <w:trPr>
          <w:trHeight w:val="20"/>
        </w:trPr>
        <w:tc>
          <w:tcPr>
            <w:tcW w:w="3417" w:type="pct"/>
            <w:tcBorders>
              <w:top w:val="nil"/>
              <w:left w:val="nil"/>
              <w:bottom w:val="nil"/>
              <w:right w:val="nil"/>
            </w:tcBorders>
            <w:vAlign w:val="bottom"/>
          </w:tcPr>
          <w:p w14:paraId="5125F9F1" w14:textId="2F473569" w:rsidR="00717BA5" w:rsidRPr="00717BA5" w:rsidRDefault="00717BA5" w:rsidP="00717BA5">
            <w:pPr>
              <w:spacing w:after="0" w:line="240" w:lineRule="auto"/>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Total Other Commitments</w:t>
            </w:r>
            <w:r w:rsidR="00FC0A57">
              <w:rPr>
                <w:rFonts w:ascii="ZWAdobeF" w:eastAsia="Times New Roman" w:hAnsi="ZWAdobeF" w:cs="ZWAdobeF"/>
                <w:color w:val="auto"/>
                <w:sz w:val="2"/>
                <w:szCs w:val="2"/>
                <w:lang w:val="en-AU"/>
              </w:rPr>
              <w:t>20F</w:t>
            </w:r>
            <w:r w:rsidRPr="00717BA5">
              <w:rPr>
                <w:rFonts w:ascii="Arial" w:eastAsia="Times New Roman" w:hAnsi="Arial" w:cs="Arial"/>
                <w:b/>
                <w:color w:val="auto"/>
                <w:sz w:val="18"/>
                <w:szCs w:val="18"/>
                <w:vertAlign w:val="superscript"/>
                <w:lang w:val="en-AU"/>
              </w:rPr>
              <w:footnoteReference w:id="22"/>
            </w:r>
          </w:p>
        </w:tc>
        <w:tc>
          <w:tcPr>
            <w:tcW w:w="636" w:type="pct"/>
            <w:tcBorders>
              <w:left w:val="nil"/>
              <w:bottom w:val="double" w:sz="4" w:space="0" w:color="auto"/>
              <w:right w:val="nil"/>
            </w:tcBorders>
            <w:vAlign w:val="bottom"/>
          </w:tcPr>
          <w:p w14:paraId="38F27682"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1,142</w:t>
            </w:r>
          </w:p>
        </w:tc>
        <w:tc>
          <w:tcPr>
            <w:tcW w:w="310" w:type="pct"/>
            <w:tcBorders>
              <w:top w:val="nil"/>
              <w:left w:val="nil"/>
              <w:bottom w:val="nil"/>
              <w:right w:val="nil"/>
            </w:tcBorders>
            <w:vAlign w:val="bottom"/>
          </w:tcPr>
          <w:p w14:paraId="48B9188A"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636" w:type="pct"/>
            <w:tcBorders>
              <w:left w:val="nil"/>
              <w:bottom w:val="double" w:sz="4" w:space="0" w:color="auto"/>
              <w:right w:val="nil"/>
            </w:tcBorders>
            <w:vAlign w:val="bottom"/>
          </w:tcPr>
          <w:p w14:paraId="7FEF52A0"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color w:val="auto"/>
                <w:sz w:val="18"/>
                <w:szCs w:val="18"/>
                <w:lang w:val="en-AU"/>
              </w:rPr>
              <w:t>687</w:t>
            </w:r>
          </w:p>
        </w:tc>
      </w:tr>
    </w:tbl>
    <w:p w14:paraId="452C9B3A" w14:textId="77777777" w:rsidR="00717BA5" w:rsidRPr="00717BA5" w:rsidRDefault="00717BA5" w:rsidP="00717BA5">
      <w:pPr>
        <w:spacing w:after="0" w:line="240" w:lineRule="auto"/>
        <w:rPr>
          <w:rFonts w:ascii="Arial" w:eastAsia="Times New Roman" w:hAnsi="Arial" w:cs="Arial"/>
          <w:color w:val="auto"/>
          <w:sz w:val="18"/>
          <w:szCs w:val="18"/>
          <w:lang w:val="en-AU"/>
        </w:rPr>
      </w:pPr>
    </w:p>
    <w:p w14:paraId="5B4BE5D2" w14:textId="77777777" w:rsidR="00717BA5" w:rsidRPr="00717BA5" w:rsidRDefault="00717BA5" w:rsidP="00717BA5">
      <w:pPr>
        <w:keepNext/>
        <w:spacing w:after="240" w:line="240" w:lineRule="auto"/>
        <w:jc w:val="both"/>
        <w:outlineLvl w:val="1"/>
        <w:rPr>
          <w:rFonts w:ascii="Arial" w:eastAsia="Times New Roman" w:hAnsi="Arial" w:cs="Arial"/>
          <w:b/>
          <w:bCs/>
          <w:color w:val="auto"/>
          <w:sz w:val="24"/>
          <w:szCs w:val="24"/>
          <w:lang w:val="en-AU"/>
        </w:rPr>
      </w:pPr>
      <w:bookmarkStart w:id="143" w:name="_Toc240533551"/>
      <w:r w:rsidRPr="00717BA5">
        <w:rPr>
          <w:rFonts w:ascii="Arial" w:eastAsia="Times New Roman" w:hAnsi="Arial" w:cs="Arial"/>
          <w:b/>
          <w:bCs/>
          <w:color w:val="auto"/>
          <w:sz w:val="24"/>
          <w:szCs w:val="24"/>
          <w:lang w:val="en-AU"/>
        </w:rPr>
        <w:t>NOTE 20.   CONTINGENT LIABILITIES AND CONTINGENT ASSETS</w:t>
      </w:r>
      <w:bookmarkEnd w:id="143"/>
    </w:p>
    <w:p w14:paraId="09BC9CC2"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Description and Material Accounting Policies Relating to Contingent Liabilities and Contingent Assets</w:t>
      </w:r>
    </w:p>
    <w:p w14:paraId="23D66E6F"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Contingent liabilities and contingent assets are not recognised in the Balance Sheet due to the uncertainty regarding any possible amount or timing of any underlying claim or obligation. Instead, they are disclosed and, if quantifiable, the best estimate is disclosed.</w:t>
      </w:r>
    </w:p>
    <w:p w14:paraId="74575563"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At 30 June 2026 ACT Leave had $15,000 of contingent liabilities relating to matters being managed by the ACT Government Solicitor ($15,000 at 30 June 2025), and no contingent assets (Nil at 30 June 2025).</w:t>
      </w:r>
    </w:p>
    <w:p w14:paraId="5573B897" w14:textId="77777777" w:rsidR="00717BA5" w:rsidRPr="00717BA5" w:rsidRDefault="00717BA5" w:rsidP="00717BA5">
      <w:pPr>
        <w:spacing w:before="240" w:after="240" w:line="240" w:lineRule="auto"/>
        <w:jc w:val="both"/>
        <w:outlineLvl w:val="1"/>
        <w:rPr>
          <w:rFonts w:ascii="Arial" w:eastAsia="Times New Roman" w:hAnsi="Arial" w:cs="Arial"/>
          <w:b/>
          <w:bCs/>
          <w:color w:val="auto"/>
          <w:sz w:val="24"/>
          <w:szCs w:val="24"/>
          <w:lang w:val="en-AU"/>
        </w:rPr>
      </w:pPr>
      <w:bookmarkStart w:id="144" w:name="_Toc240533552"/>
      <w:r w:rsidRPr="00717BA5">
        <w:rPr>
          <w:rFonts w:ascii="Arial" w:eastAsia="Times New Roman" w:hAnsi="Arial" w:cs="Arial"/>
          <w:b/>
          <w:bCs/>
          <w:color w:val="auto"/>
          <w:sz w:val="24"/>
          <w:szCs w:val="24"/>
          <w:lang w:val="en-AU"/>
        </w:rPr>
        <w:t>NOTE 21.   RELATED PARTY DISCLOSURES</w:t>
      </w:r>
      <w:bookmarkEnd w:id="144"/>
    </w:p>
    <w:p w14:paraId="537D5BFC"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b/>
          <w:bCs/>
          <w:color w:val="auto"/>
          <w:lang w:val="en-AU"/>
        </w:rPr>
        <w:t>Description and Material Accounting Policies Relating to Related Party Disclosures</w:t>
      </w:r>
    </w:p>
    <w:p w14:paraId="0B3EB84E"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 related party is a person that controls or has significant influence over the reporting entity or is a member of the Key Management Personnel (KMP) of the reporting entity or its parent entity and includes their close family members and entities in which the KMP or/and their close family members individually or jointly have controlling interests.</w:t>
      </w:r>
    </w:p>
    <w:p w14:paraId="00312F14"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KMP are those persons having authority and responsibility for planning, directing and controlling the activities of the entity, directly or indirectly.</w:t>
      </w:r>
    </w:p>
    <w:p w14:paraId="79E7C237"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KMP of ACT Leave are the Responsible Minister, Governing Board members, and certain members of the senior management team.</w:t>
      </w:r>
    </w:p>
    <w:p w14:paraId="4B12C1C6"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This note does not include typical citizen transactions between the KMP and ACT Leave that occur on terms and conditions no different to those applying to the general public.</w:t>
      </w:r>
    </w:p>
    <w:p w14:paraId="29A0B2A8" w14:textId="77777777" w:rsidR="00717BA5" w:rsidRPr="00717BA5" w:rsidRDefault="00717BA5" w:rsidP="006D4B4F">
      <w:pPr>
        <w:numPr>
          <w:ilvl w:val="0"/>
          <w:numId w:val="107"/>
        </w:numPr>
        <w:spacing w:after="120" w:line="240" w:lineRule="auto"/>
        <w:ind w:left="357" w:hanging="357"/>
        <w:jc w:val="both"/>
        <w:rPr>
          <w:rFonts w:ascii="Arial" w:eastAsia="SimSun" w:hAnsi="Arial" w:cs="Arial"/>
          <w:b/>
          <w:color w:val="auto"/>
          <w:lang w:val="en-AU" w:eastAsia="en-US"/>
        </w:rPr>
      </w:pPr>
      <w:r w:rsidRPr="00717BA5">
        <w:rPr>
          <w:rFonts w:ascii="Arial" w:eastAsia="SimSun" w:hAnsi="Arial" w:cs="Arial"/>
          <w:b/>
          <w:color w:val="auto"/>
          <w:lang w:val="en-AU" w:eastAsia="en-US"/>
        </w:rPr>
        <w:t>Controlling Entity</w:t>
      </w:r>
    </w:p>
    <w:p w14:paraId="14F295D3"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ACT Leave is an ACT Government controlled entity.</w:t>
      </w:r>
    </w:p>
    <w:p w14:paraId="396A7B5F" w14:textId="77777777" w:rsidR="00717BA5" w:rsidRPr="00717BA5" w:rsidRDefault="00717BA5" w:rsidP="006D4B4F">
      <w:pPr>
        <w:numPr>
          <w:ilvl w:val="0"/>
          <w:numId w:val="107"/>
        </w:numPr>
        <w:spacing w:after="120" w:line="240" w:lineRule="auto"/>
        <w:ind w:left="357" w:hanging="357"/>
        <w:jc w:val="both"/>
        <w:rPr>
          <w:rFonts w:ascii="Arial" w:eastAsia="SimSun" w:hAnsi="Arial" w:cs="Arial"/>
          <w:b/>
          <w:color w:val="auto"/>
          <w:lang w:val="en-AU" w:eastAsia="en-US"/>
        </w:rPr>
      </w:pPr>
      <w:r w:rsidRPr="00717BA5">
        <w:rPr>
          <w:rFonts w:ascii="Arial" w:eastAsia="SimSun" w:hAnsi="Arial" w:cs="Arial"/>
          <w:b/>
          <w:color w:val="auto"/>
          <w:lang w:val="en-AU" w:eastAsia="en-US"/>
        </w:rPr>
        <w:t>Key Management Personnel</w:t>
      </w:r>
    </w:p>
    <w:p w14:paraId="450BBC6F" w14:textId="77777777" w:rsidR="00717BA5" w:rsidRPr="00717BA5" w:rsidRDefault="00717BA5" w:rsidP="00717BA5">
      <w:pPr>
        <w:adjustRightInd w:val="0"/>
        <w:snapToGrid w:val="0"/>
        <w:rPr>
          <w:rFonts w:ascii="Arial" w:eastAsia="Times New Roman" w:hAnsi="Arial" w:cs="Arial"/>
          <w:b/>
          <w:color w:val="auto"/>
          <w:sz w:val="18"/>
          <w:szCs w:val="18"/>
          <w:lang w:val="en-AU"/>
        </w:rPr>
      </w:pPr>
      <w:r w:rsidRPr="00717BA5">
        <w:rPr>
          <w:rFonts w:ascii="Arial" w:eastAsia="Times New Roman" w:hAnsi="Arial" w:cs="Arial"/>
          <w:i/>
          <w:iCs/>
          <w:color w:val="081DA4"/>
          <w:lang w:val="en-AU"/>
        </w:rPr>
        <w:t>B1.</w:t>
      </w:r>
      <w:r w:rsidRPr="00717BA5">
        <w:rPr>
          <w:rFonts w:ascii="Arial" w:eastAsia="Times New Roman" w:hAnsi="Arial" w:cs="Arial"/>
          <w:i/>
          <w:iCs/>
          <w:color w:val="auto"/>
          <w:lang w:val="en-AU"/>
        </w:rPr>
        <w:t xml:space="preserve"> Compensation of Key Management Personnel</w:t>
      </w:r>
    </w:p>
    <w:p w14:paraId="6E48CEC1"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Compensation of all Cabinet Ministers, including the Responsible Minister of ACT Leave, is disclosed in the note on related party disclosures included in the ACT Executive’s financial statements for the year ended 30 June 2026.</w:t>
      </w:r>
    </w:p>
    <w:p w14:paraId="7A30B98C"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 xml:space="preserve">The Governing Board (the Board) provides the overall governance of ACT Leave under the </w:t>
      </w:r>
      <w:r w:rsidRPr="00717BA5">
        <w:rPr>
          <w:rFonts w:ascii="Arial" w:eastAsia="Times New Roman" w:hAnsi="Arial" w:cs="Arial"/>
          <w:i/>
          <w:iCs/>
          <w:color w:val="auto"/>
          <w:lang w:val="en-AU"/>
        </w:rPr>
        <w:t>Long Service Leave (Portable Schemes) Act 2009</w:t>
      </w:r>
      <w:r w:rsidRPr="00717BA5">
        <w:rPr>
          <w:rFonts w:ascii="Arial" w:eastAsia="Times New Roman" w:hAnsi="Arial" w:cs="Arial"/>
          <w:color w:val="auto"/>
          <w:lang w:val="en-AU"/>
        </w:rPr>
        <w:t xml:space="preserve">. The remuneration for the Chair and Deputy Chair of the Board is set annually by the ACT Remuneration Tribunal. All other Board members are paid on the basis of a ‘per diem’ rate (i.e. per meeting attended) also determined by the ACT Remuneration Tribunal, except for the Chief Executive Officer and Registrar, who is a non-voting member of the Board and is remunerated in accordance with a senior executive contract with the ACT Government. A superannuation contribution of 12% (July to December 2025) and 12.5% (January to June 2026) of remuneration is paid to the Chair’s and Deputy Chair’s superannuation funds, as well as to the independent Board members whose superannuation is not paid by the agency they represent. </w:t>
      </w:r>
    </w:p>
    <w:p w14:paraId="3A4B1E61"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 xml:space="preserve">The Deputy Registrar, the Chief Finance Officer, the Chief Operations Officer, the Chief Information Officer and the Chief Corporate Services Officer are also KMP of ACT Leave with their remuneration paid by ACT Leave in accordance with the </w:t>
      </w:r>
      <w:r w:rsidRPr="00717BA5">
        <w:rPr>
          <w:rFonts w:ascii="Arial" w:eastAsia="Times New Roman" w:hAnsi="Arial" w:cs="Arial"/>
          <w:i/>
          <w:iCs/>
          <w:color w:val="auto"/>
          <w:lang w:val="en-AU"/>
        </w:rPr>
        <w:t>ACT Public Service Administrative and Related Classifications Enterprise Agreement 2023-2026</w:t>
      </w:r>
      <w:r w:rsidRPr="00717BA5">
        <w:rPr>
          <w:rFonts w:ascii="Arial" w:eastAsia="Times New Roman" w:hAnsi="Arial" w:cs="Arial"/>
          <w:color w:val="auto"/>
          <w:lang w:val="en-AU"/>
        </w:rPr>
        <w:t>. There</w:t>
      </w:r>
      <w:r w:rsidRPr="00717BA5" w:rsidDel="00800E4C">
        <w:rPr>
          <w:rFonts w:ascii="Arial" w:eastAsia="Times New Roman" w:hAnsi="Arial" w:cs="Arial"/>
          <w:color w:val="auto"/>
          <w:lang w:val="en-AU"/>
        </w:rPr>
        <w:t xml:space="preserve"> </w:t>
      </w:r>
      <w:r w:rsidRPr="00717BA5">
        <w:rPr>
          <w:rFonts w:ascii="Arial" w:eastAsia="Times New Roman" w:hAnsi="Arial" w:cs="Arial"/>
          <w:color w:val="auto"/>
          <w:lang w:val="en-AU"/>
        </w:rPr>
        <w:t>is no other compensation or transactions paid directly to these KMP by ACT Leave.</w:t>
      </w:r>
    </w:p>
    <w:p w14:paraId="6ED94614" w14:textId="77777777" w:rsidR="00717BA5" w:rsidRPr="00717BA5" w:rsidRDefault="00717BA5" w:rsidP="00717BA5">
      <w:pPr>
        <w:spacing w:after="0" w:line="240" w:lineRule="auto"/>
        <w:jc w:val="both"/>
        <w:outlineLvl w:val="1"/>
        <w:rPr>
          <w:rFonts w:ascii="Arial" w:eastAsia="Times New Roman" w:hAnsi="Arial" w:cs="Arial"/>
          <w:b/>
          <w:bCs/>
          <w:color w:val="auto"/>
          <w:sz w:val="24"/>
          <w:szCs w:val="24"/>
          <w:lang w:val="en-AU"/>
        </w:rPr>
      </w:pPr>
    </w:p>
    <w:p w14:paraId="4C0BDB20" w14:textId="77777777" w:rsidR="000C6320" w:rsidRDefault="000C6320" w:rsidP="000C6320">
      <w:pPr>
        <w:spacing w:before="240" w:after="0" w:line="240" w:lineRule="auto"/>
        <w:jc w:val="both"/>
        <w:outlineLvl w:val="1"/>
        <w:rPr>
          <w:rFonts w:ascii="Arial" w:eastAsia="Times New Roman" w:hAnsi="Arial" w:cs="Arial"/>
          <w:b/>
          <w:bCs/>
          <w:color w:val="auto"/>
          <w:sz w:val="24"/>
          <w:szCs w:val="24"/>
          <w:lang w:val="en-AU"/>
        </w:rPr>
      </w:pPr>
      <w:bookmarkStart w:id="145" w:name="_Toc240533553"/>
    </w:p>
    <w:p w14:paraId="20625B1D" w14:textId="3DA05C90" w:rsidR="00717BA5" w:rsidRPr="00717BA5" w:rsidRDefault="00717BA5" w:rsidP="000C6320">
      <w:pPr>
        <w:spacing w:after="240" w:line="240" w:lineRule="auto"/>
        <w:jc w:val="both"/>
        <w:outlineLvl w:val="1"/>
        <w:rPr>
          <w:rFonts w:ascii="Arial" w:eastAsia="Times New Roman" w:hAnsi="Arial" w:cs="Arial"/>
          <w:b/>
          <w:bCs/>
          <w:color w:val="auto"/>
          <w:sz w:val="24"/>
          <w:szCs w:val="24"/>
          <w:lang w:val="en-AU"/>
        </w:rPr>
      </w:pPr>
      <w:r w:rsidRPr="00717BA5">
        <w:rPr>
          <w:rFonts w:ascii="Arial" w:eastAsia="Times New Roman" w:hAnsi="Arial" w:cs="Arial"/>
          <w:b/>
          <w:bCs/>
          <w:color w:val="auto"/>
          <w:sz w:val="24"/>
          <w:szCs w:val="24"/>
          <w:lang w:val="en-AU"/>
        </w:rPr>
        <w:t>NOTE 21.   RELATED PARTY DISCLOSURES - CONTINUED</w:t>
      </w:r>
      <w:bookmarkEnd w:id="145"/>
    </w:p>
    <w:p w14:paraId="784E2619" w14:textId="77777777" w:rsidR="00717BA5" w:rsidRPr="00717BA5" w:rsidRDefault="00717BA5" w:rsidP="00717BA5">
      <w:pPr>
        <w:spacing w:after="120" w:line="240" w:lineRule="auto"/>
        <w:jc w:val="both"/>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 xml:space="preserve">Compensation by </w:t>
      </w:r>
      <w:r w:rsidRPr="00717BA5">
        <w:rPr>
          <w:rFonts w:ascii="Arial" w:eastAsia="SimSun" w:hAnsi="Arial" w:cs="Arial"/>
          <w:color w:val="auto"/>
          <w:sz w:val="18"/>
          <w:szCs w:val="18"/>
          <w:lang w:val="en-AU" w:eastAsia="en-US"/>
        </w:rPr>
        <w:t xml:space="preserve">ACT Leave </w:t>
      </w:r>
      <w:r w:rsidRPr="00717BA5">
        <w:rPr>
          <w:rFonts w:ascii="Arial" w:eastAsia="Times New Roman" w:hAnsi="Arial" w:cs="Arial"/>
          <w:color w:val="auto"/>
          <w:sz w:val="18"/>
          <w:szCs w:val="18"/>
          <w:lang w:val="en-AU"/>
        </w:rPr>
        <w:t>to KMP is set out below:</w:t>
      </w:r>
    </w:p>
    <w:tbl>
      <w:tblPr>
        <w:tblW w:w="5000" w:type="pct"/>
        <w:tblLook w:val="04A0" w:firstRow="1" w:lastRow="0" w:firstColumn="1" w:lastColumn="0" w:noHBand="0" w:noVBand="1"/>
      </w:tblPr>
      <w:tblGrid>
        <w:gridCol w:w="7200"/>
        <w:gridCol w:w="1113"/>
        <w:gridCol w:w="590"/>
        <w:gridCol w:w="1193"/>
      </w:tblGrid>
      <w:tr w:rsidR="00717BA5" w:rsidRPr="00717BA5" w14:paraId="1A483916" w14:textId="77777777" w:rsidTr="00F0752D">
        <w:trPr>
          <w:trHeight w:val="272"/>
        </w:trPr>
        <w:tc>
          <w:tcPr>
            <w:tcW w:w="3566" w:type="pct"/>
            <w:vAlign w:val="bottom"/>
          </w:tcPr>
          <w:p w14:paraId="6918809F"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551" w:type="pct"/>
            <w:tcBorders>
              <w:top w:val="nil"/>
              <w:left w:val="nil"/>
              <w:bottom w:val="nil"/>
              <w:right w:val="nil"/>
            </w:tcBorders>
            <w:shd w:val="clear" w:color="000000" w:fill="FFFFFF"/>
            <w:vAlign w:val="bottom"/>
          </w:tcPr>
          <w:p w14:paraId="6C0B3132"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2026</w:t>
            </w:r>
          </w:p>
        </w:tc>
        <w:tc>
          <w:tcPr>
            <w:tcW w:w="292" w:type="pct"/>
            <w:tcBorders>
              <w:top w:val="nil"/>
              <w:left w:val="nil"/>
              <w:bottom w:val="nil"/>
              <w:right w:val="nil"/>
            </w:tcBorders>
            <w:shd w:val="clear" w:color="000000" w:fill="FFFFFF"/>
            <w:vAlign w:val="bottom"/>
          </w:tcPr>
          <w:p w14:paraId="046B386A" w14:textId="77777777" w:rsidR="00717BA5" w:rsidRPr="00717BA5" w:rsidRDefault="00717BA5" w:rsidP="00717BA5">
            <w:pPr>
              <w:spacing w:after="0" w:line="240" w:lineRule="auto"/>
              <w:jc w:val="right"/>
              <w:rPr>
                <w:rFonts w:ascii="Arial" w:eastAsia="SimSun" w:hAnsi="Arial" w:cs="Arial"/>
                <w:b/>
                <w:color w:val="auto"/>
                <w:sz w:val="18"/>
                <w:szCs w:val="18"/>
                <w:lang w:val="en-AU" w:eastAsia="en-US"/>
              </w:rPr>
            </w:pPr>
          </w:p>
        </w:tc>
        <w:tc>
          <w:tcPr>
            <w:tcW w:w="591" w:type="pct"/>
            <w:tcBorders>
              <w:top w:val="nil"/>
              <w:left w:val="nil"/>
              <w:bottom w:val="nil"/>
              <w:right w:val="nil"/>
            </w:tcBorders>
            <w:shd w:val="clear" w:color="000000" w:fill="FFFFFF"/>
            <w:vAlign w:val="bottom"/>
          </w:tcPr>
          <w:p w14:paraId="205FE7B1"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b/>
                <w:bCs/>
                <w:color w:val="auto"/>
                <w:sz w:val="18"/>
                <w:szCs w:val="18"/>
                <w:lang w:val="en-AU"/>
              </w:rPr>
              <w:t>2025</w:t>
            </w:r>
          </w:p>
        </w:tc>
      </w:tr>
      <w:tr w:rsidR="00717BA5" w:rsidRPr="00717BA5" w14:paraId="57AAF8E1" w14:textId="77777777" w:rsidTr="00F0752D">
        <w:trPr>
          <w:trHeight w:val="272"/>
        </w:trPr>
        <w:tc>
          <w:tcPr>
            <w:tcW w:w="3566" w:type="pct"/>
            <w:vAlign w:val="bottom"/>
          </w:tcPr>
          <w:p w14:paraId="5FC2B4EA" w14:textId="77777777" w:rsidR="00717BA5" w:rsidRPr="00717BA5" w:rsidRDefault="00717BA5" w:rsidP="00717BA5">
            <w:pPr>
              <w:spacing w:after="0" w:line="240" w:lineRule="auto"/>
              <w:rPr>
                <w:rFonts w:ascii="Arial" w:eastAsia="Times New Roman" w:hAnsi="Arial" w:cs="Arial"/>
                <w:color w:val="auto"/>
                <w:sz w:val="18"/>
                <w:szCs w:val="18"/>
                <w:lang w:val="en-AU"/>
              </w:rPr>
            </w:pPr>
          </w:p>
        </w:tc>
        <w:tc>
          <w:tcPr>
            <w:tcW w:w="551" w:type="pct"/>
            <w:vAlign w:val="bottom"/>
          </w:tcPr>
          <w:p w14:paraId="4BA3707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b/>
                <w:color w:val="auto"/>
                <w:sz w:val="18"/>
                <w:szCs w:val="18"/>
                <w:lang w:val="en-AU" w:eastAsia="en-US"/>
              </w:rPr>
              <w:t>$’000</w:t>
            </w:r>
          </w:p>
        </w:tc>
        <w:tc>
          <w:tcPr>
            <w:tcW w:w="292" w:type="pct"/>
            <w:vAlign w:val="bottom"/>
          </w:tcPr>
          <w:p w14:paraId="581F526F" w14:textId="77777777" w:rsidR="00717BA5" w:rsidRPr="00717BA5" w:rsidRDefault="00717BA5" w:rsidP="00717BA5">
            <w:pPr>
              <w:spacing w:after="0" w:line="240" w:lineRule="auto"/>
              <w:jc w:val="right"/>
              <w:rPr>
                <w:rFonts w:ascii="Arial" w:eastAsia="SimSun" w:hAnsi="Arial" w:cs="Arial"/>
                <w:b/>
                <w:color w:val="auto"/>
                <w:sz w:val="18"/>
                <w:szCs w:val="18"/>
                <w:lang w:val="en-AU" w:eastAsia="en-US"/>
              </w:rPr>
            </w:pPr>
          </w:p>
        </w:tc>
        <w:tc>
          <w:tcPr>
            <w:tcW w:w="591" w:type="pct"/>
            <w:vAlign w:val="bottom"/>
          </w:tcPr>
          <w:p w14:paraId="44AA6329"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b/>
                <w:color w:val="auto"/>
                <w:sz w:val="18"/>
                <w:szCs w:val="18"/>
                <w:lang w:val="en-AU" w:eastAsia="en-US"/>
              </w:rPr>
              <w:t>$’000</w:t>
            </w:r>
          </w:p>
        </w:tc>
      </w:tr>
      <w:tr w:rsidR="00717BA5" w:rsidRPr="00717BA5" w14:paraId="35AC3DDE" w14:textId="77777777" w:rsidTr="00F0752D">
        <w:trPr>
          <w:trHeight w:val="20"/>
        </w:trPr>
        <w:tc>
          <w:tcPr>
            <w:tcW w:w="3566" w:type="pct"/>
            <w:vAlign w:val="bottom"/>
          </w:tcPr>
          <w:p w14:paraId="551AB989"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Short-term employee benefits</w:t>
            </w:r>
          </w:p>
        </w:tc>
        <w:tc>
          <w:tcPr>
            <w:tcW w:w="551" w:type="pct"/>
            <w:vAlign w:val="bottom"/>
          </w:tcPr>
          <w:p w14:paraId="7D4CA8E3"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1,125</w:t>
            </w:r>
          </w:p>
        </w:tc>
        <w:tc>
          <w:tcPr>
            <w:tcW w:w="292" w:type="pct"/>
            <w:vAlign w:val="bottom"/>
          </w:tcPr>
          <w:p w14:paraId="00F810CB"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91" w:type="pct"/>
            <w:vAlign w:val="bottom"/>
          </w:tcPr>
          <w:p w14:paraId="47A8E6D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1,389</w:t>
            </w:r>
          </w:p>
        </w:tc>
      </w:tr>
      <w:tr w:rsidR="00717BA5" w:rsidRPr="00717BA5" w14:paraId="3F5A5B0B" w14:textId="77777777" w:rsidTr="00F0752D">
        <w:trPr>
          <w:trHeight w:val="20"/>
        </w:trPr>
        <w:tc>
          <w:tcPr>
            <w:tcW w:w="3566" w:type="pct"/>
            <w:vAlign w:val="bottom"/>
          </w:tcPr>
          <w:p w14:paraId="2BCE2D57"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Other long-term benefits</w:t>
            </w:r>
          </w:p>
        </w:tc>
        <w:tc>
          <w:tcPr>
            <w:tcW w:w="551" w:type="pct"/>
            <w:vAlign w:val="bottom"/>
          </w:tcPr>
          <w:p w14:paraId="1FAE2538"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29</w:t>
            </w:r>
          </w:p>
        </w:tc>
        <w:tc>
          <w:tcPr>
            <w:tcW w:w="292" w:type="pct"/>
            <w:vAlign w:val="bottom"/>
          </w:tcPr>
          <w:p w14:paraId="76D69B2D"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91" w:type="pct"/>
            <w:vAlign w:val="bottom"/>
          </w:tcPr>
          <w:p w14:paraId="220BF24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(80)</w:t>
            </w:r>
          </w:p>
        </w:tc>
      </w:tr>
      <w:tr w:rsidR="00717BA5" w:rsidRPr="00717BA5" w14:paraId="7728F5B2" w14:textId="77777777" w:rsidTr="00F0752D">
        <w:trPr>
          <w:trHeight w:val="20"/>
        </w:trPr>
        <w:tc>
          <w:tcPr>
            <w:tcW w:w="3566" w:type="pct"/>
            <w:vAlign w:val="bottom"/>
          </w:tcPr>
          <w:p w14:paraId="08639941"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Board member fees</w:t>
            </w:r>
          </w:p>
        </w:tc>
        <w:tc>
          <w:tcPr>
            <w:tcW w:w="551" w:type="pct"/>
            <w:tcBorders>
              <w:bottom w:val="single" w:sz="4" w:space="0" w:color="auto"/>
            </w:tcBorders>
            <w:vAlign w:val="bottom"/>
          </w:tcPr>
          <w:p w14:paraId="6FFB076F"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SimSun" w:hAnsi="Arial" w:cs="Arial"/>
                <w:color w:val="auto"/>
                <w:sz w:val="18"/>
                <w:szCs w:val="18"/>
                <w:lang w:val="en-AU" w:eastAsia="en-US"/>
              </w:rPr>
              <w:t>107</w:t>
            </w:r>
          </w:p>
        </w:tc>
        <w:tc>
          <w:tcPr>
            <w:tcW w:w="292" w:type="pct"/>
            <w:vAlign w:val="bottom"/>
          </w:tcPr>
          <w:p w14:paraId="0C592FB4"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p>
        </w:tc>
        <w:tc>
          <w:tcPr>
            <w:tcW w:w="591" w:type="pct"/>
            <w:tcBorders>
              <w:bottom w:val="single" w:sz="4" w:space="0" w:color="auto"/>
            </w:tcBorders>
            <w:vAlign w:val="bottom"/>
          </w:tcPr>
          <w:p w14:paraId="5487C1F7" w14:textId="77777777" w:rsidR="00717BA5" w:rsidRPr="00717BA5" w:rsidRDefault="00717BA5" w:rsidP="00717BA5">
            <w:pPr>
              <w:spacing w:after="0" w:line="240" w:lineRule="auto"/>
              <w:jc w:val="right"/>
              <w:rPr>
                <w:rFonts w:ascii="Arial" w:eastAsia="Times New Roman" w:hAnsi="Arial" w:cs="Arial"/>
                <w:color w:val="auto"/>
                <w:sz w:val="18"/>
                <w:szCs w:val="18"/>
                <w:lang w:val="en-AU"/>
              </w:rPr>
            </w:pPr>
            <w:r w:rsidRPr="00717BA5">
              <w:rPr>
                <w:rFonts w:ascii="Arial" w:eastAsia="Times New Roman" w:hAnsi="Arial" w:cs="Arial"/>
                <w:color w:val="auto"/>
                <w:sz w:val="18"/>
                <w:szCs w:val="18"/>
                <w:lang w:val="en-AU"/>
              </w:rPr>
              <w:t>78</w:t>
            </w:r>
          </w:p>
        </w:tc>
      </w:tr>
      <w:tr w:rsidR="00717BA5" w:rsidRPr="00717BA5" w14:paraId="3729C337" w14:textId="77777777" w:rsidTr="00F0752D">
        <w:trPr>
          <w:trHeight w:val="20"/>
        </w:trPr>
        <w:tc>
          <w:tcPr>
            <w:tcW w:w="3566" w:type="pct"/>
            <w:vAlign w:val="bottom"/>
          </w:tcPr>
          <w:p w14:paraId="7966AD1D" w14:textId="77777777" w:rsidR="00717BA5" w:rsidRPr="00717BA5" w:rsidRDefault="00717BA5" w:rsidP="00717BA5">
            <w:pPr>
              <w:spacing w:after="0" w:line="240" w:lineRule="auto"/>
              <w:rPr>
                <w:rFonts w:ascii="Arial" w:eastAsia="Times New Roman" w:hAnsi="Arial" w:cs="Arial"/>
                <w:color w:val="auto"/>
                <w:sz w:val="18"/>
                <w:szCs w:val="18"/>
                <w:lang w:val="en-AU"/>
              </w:rPr>
            </w:pPr>
            <w:r w:rsidRPr="00717BA5">
              <w:rPr>
                <w:rFonts w:ascii="Arial" w:eastAsia="SimSun" w:hAnsi="Arial" w:cs="Arial"/>
                <w:b/>
                <w:color w:val="auto"/>
                <w:sz w:val="18"/>
                <w:szCs w:val="18"/>
                <w:lang w:val="en-AU" w:eastAsia="en-US"/>
              </w:rPr>
              <w:t xml:space="preserve">Total Compensation to KMP paid by </w:t>
            </w:r>
            <w:r w:rsidRPr="00717BA5">
              <w:rPr>
                <w:rFonts w:ascii="Arial" w:eastAsia="SimSun" w:hAnsi="Arial" w:cs="Arial"/>
                <w:b/>
                <w:bCs/>
                <w:color w:val="auto"/>
                <w:sz w:val="18"/>
                <w:szCs w:val="18"/>
                <w:lang w:val="en-AU" w:eastAsia="en-US"/>
              </w:rPr>
              <w:t>ACT Leave</w:t>
            </w:r>
          </w:p>
        </w:tc>
        <w:tc>
          <w:tcPr>
            <w:tcW w:w="551" w:type="pct"/>
            <w:tcBorders>
              <w:top w:val="single" w:sz="4" w:space="0" w:color="auto"/>
              <w:bottom w:val="double" w:sz="4" w:space="0" w:color="auto"/>
            </w:tcBorders>
            <w:vAlign w:val="bottom"/>
          </w:tcPr>
          <w:p w14:paraId="730C30B0" w14:textId="77777777" w:rsidR="00717BA5" w:rsidRPr="00717BA5" w:rsidRDefault="00717BA5" w:rsidP="00717BA5">
            <w:pPr>
              <w:spacing w:after="0" w:line="240" w:lineRule="auto"/>
              <w:jc w:val="right"/>
              <w:rPr>
                <w:rFonts w:ascii="Arial" w:eastAsia="Times New Roman" w:hAnsi="Arial" w:cs="Arial"/>
                <w:b/>
                <w:bCs/>
                <w:color w:val="auto"/>
                <w:sz w:val="18"/>
                <w:szCs w:val="18"/>
                <w:lang w:val="en-AU"/>
              </w:rPr>
            </w:pPr>
            <w:r w:rsidRPr="00717BA5">
              <w:rPr>
                <w:rFonts w:ascii="Arial" w:eastAsia="SimSun" w:hAnsi="Arial" w:cs="Arial"/>
                <w:b/>
                <w:bCs/>
                <w:color w:val="auto"/>
                <w:sz w:val="18"/>
                <w:szCs w:val="18"/>
                <w:lang w:val="en-AU" w:eastAsia="en-US"/>
              </w:rPr>
              <w:t>1,260</w:t>
            </w:r>
          </w:p>
        </w:tc>
        <w:tc>
          <w:tcPr>
            <w:tcW w:w="292" w:type="pct"/>
            <w:vAlign w:val="bottom"/>
          </w:tcPr>
          <w:p w14:paraId="35B4B338"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p>
        </w:tc>
        <w:tc>
          <w:tcPr>
            <w:tcW w:w="591" w:type="pct"/>
            <w:tcBorders>
              <w:top w:val="single" w:sz="4" w:space="0" w:color="auto"/>
              <w:bottom w:val="double" w:sz="4" w:space="0" w:color="auto"/>
            </w:tcBorders>
            <w:vAlign w:val="bottom"/>
          </w:tcPr>
          <w:p w14:paraId="704C38BE" w14:textId="77777777" w:rsidR="00717BA5" w:rsidRPr="00717BA5" w:rsidRDefault="00717BA5" w:rsidP="00717BA5">
            <w:pPr>
              <w:spacing w:after="0" w:line="240" w:lineRule="auto"/>
              <w:jc w:val="right"/>
              <w:rPr>
                <w:rFonts w:ascii="Arial" w:eastAsia="Times New Roman" w:hAnsi="Arial" w:cs="Arial"/>
                <w:b/>
                <w:color w:val="auto"/>
                <w:sz w:val="18"/>
                <w:szCs w:val="18"/>
                <w:lang w:val="en-AU"/>
              </w:rPr>
            </w:pPr>
            <w:r w:rsidRPr="00717BA5">
              <w:rPr>
                <w:rFonts w:ascii="Arial" w:eastAsia="Times New Roman" w:hAnsi="Arial" w:cs="Arial"/>
                <w:b/>
                <w:bCs/>
                <w:color w:val="auto"/>
                <w:sz w:val="18"/>
                <w:szCs w:val="18"/>
                <w:lang w:val="en-AU"/>
              </w:rPr>
              <w:t>1,387</w:t>
            </w:r>
          </w:p>
        </w:tc>
      </w:tr>
    </w:tbl>
    <w:p w14:paraId="5832E7ED" w14:textId="77777777" w:rsidR="00717BA5" w:rsidRPr="00717BA5" w:rsidRDefault="00717BA5" w:rsidP="00717BA5">
      <w:pPr>
        <w:adjustRightInd w:val="0"/>
        <w:snapToGrid w:val="0"/>
        <w:spacing w:before="240"/>
        <w:rPr>
          <w:rFonts w:ascii="Arial" w:eastAsia="Times New Roman" w:hAnsi="Arial" w:cs="Arial"/>
          <w:i/>
          <w:color w:val="auto"/>
          <w:sz w:val="18"/>
          <w:szCs w:val="18"/>
          <w:lang w:val="en-AU"/>
        </w:rPr>
      </w:pPr>
      <w:r w:rsidRPr="00717BA5">
        <w:rPr>
          <w:rFonts w:ascii="Arial" w:eastAsia="Times New Roman" w:hAnsi="Arial" w:cs="Arial"/>
          <w:b/>
          <w:bCs/>
          <w:color w:val="auto"/>
          <w:lang w:val="en-AU"/>
        </w:rPr>
        <w:t>Governing Board</w:t>
      </w:r>
    </w:p>
    <w:p w14:paraId="33F84BDC" w14:textId="3106DB0C"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Ms Anne O’Donnell was appointed as an independent member in the position of Chair of the Board from 26 January 2022 for a term of three years to 25 January 2025 and was renewed on 24 January 2025 for one year to 25 January 2026. Ms O’Donnel’s term as Chair ended effective 28 January 2026.</w:t>
      </w:r>
    </w:p>
    <w:p w14:paraId="57830BD1"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Ms Justine Ross was appointed as an independent member in the position of Chair of the Board from 29 January 2026 for a term of five years to 28 January 2031.</w:t>
      </w:r>
    </w:p>
    <w:p w14:paraId="5969230C"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Ms Roslyn Jackson was appointed as an independent member in the position of Deputy Chair of the Board from 14 May 2025 for a term of four years to 13 May 2029.</w:t>
      </w:r>
    </w:p>
    <w:p w14:paraId="31726032"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Ms Pema Choden was appointed as a member representing employee organisations from 14 May 2025, for a term of four years to 13 May 2029.</w:t>
      </w:r>
    </w:p>
    <w:p w14:paraId="0BE13A08"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Mr Joshua Bolitho was appointed as a member representing employee organisations from 6 May 2023 for a term of four years to 5 May 2027.</w:t>
      </w:r>
    </w:p>
    <w:p w14:paraId="5A7BEC8B"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Mr Pierre Huetter was appointed on 13 May 2025 as a member representing employer organisations for a term of four years to 12 May 2029.</w:t>
      </w:r>
    </w:p>
    <w:p w14:paraId="5F2E6DB5"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Mr Michael Capezio was appointed on 19 March 2024 as a member representing employer organisations for a term of four years to 18 March 2028.</w:t>
      </w:r>
    </w:p>
    <w:p w14:paraId="13339119"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color w:val="auto"/>
          <w:lang w:val="en-AU"/>
        </w:rPr>
        <w:t>The Chief Executive Officer and Registrar is a non-voting member of the Governing Board. Ms Cassandra Webeck was appointed as Chief Executive Officer and Registrar from 17 September 2025 for a term of five years to 16 September 2030.</w:t>
      </w:r>
      <w:r w:rsidRPr="00717BA5" w:rsidDel="002243B1">
        <w:rPr>
          <w:rFonts w:ascii="Arial" w:eastAsia="Times New Roman" w:hAnsi="Arial" w:cs="Arial"/>
          <w:color w:val="auto"/>
          <w:lang w:val="en-AU"/>
        </w:rPr>
        <w:t xml:space="preserve"> </w:t>
      </w:r>
      <w:r w:rsidRPr="00717BA5">
        <w:rPr>
          <w:rFonts w:ascii="Arial" w:eastAsia="Times New Roman" w:hAnsi="Arial" w:cs="Arial"/>
          <w:color w:val="auto"/>
          <w:lang w:val="en-AU"/>
        </w:rPr>
        <w:br w:type="page"/>
      </w:r>
    </w:p>
    <w:p w14:paraId="3C52257A" w14:textId="77777777" w:rsidR="00717BA5" w:rsidRPr="00717BA5" w:rsidRDefault="00717BA5" w:rsidP="00717BA5">
      <w:pPr>
        <w:spacing w:after="0" w:line="240" w:lineRule="auto"/>
        <w:jc w:val="both"/>
        <w:rPr>
          <w:rFonts w:ascii="Arial" w:eastAsia="SimSun" w:hAnsi="Arial" w:cs="Arial"/>
          <w:color w:val="auto"/>
          <w:sz w:val="18"/>
          <w:szCs w:val="18"/>
          <w:lang w:val="en-AU" w:eastAsia="en-US"/>
        </w:rPr>
      </w:pPr>
    </w:p>
    <w:p w14:paraId="36749868" w14:textId="77777777" w:rsidR="00717BA5" w:rsidRPr="00717BA5" w:rsidRDefault="00717BA5" w:rsidP="00717BA5">
      <w:pPr>
        <w:spacing w:after="240" w:line="240" w:lineRule="auto"/>
        <w:jc w:val="both"/>
        <w:outlineLvl w:val="1"/>
        <w:rPr>
          <w:rFonts w:ascii="Arial" w:eastAsia="Times New Roman" w:hAnsi="Arial" w:cs="Arial"/>
          <w:b/>
          <w:bCs/>
          <w:color w:val="auto"/>
          <w:sz w:val="24"/>
          <w:szCs w:val="24"/>
          <w:lang w:val="en-AU"/>
        </w:rPr>
      </w:pPr>
      <w:bookmarkStart w:id="146" w:name="_Toc240533554"/>
      <w:r w:rsidRPr="00717BA5">
        <w:rPr>
          <w:rFonts w:ascii="Arial" w:eastAsia="Times New Roman" w:hAnsi="Arial" w:cs="Arial"/>
          <w:b/>
          <w:bCs/>
          <w:color w:val="auto"/>
          <w:sz w:val="24"/>
          <w:szCs w:val="24"/>
          <w:lang w:val="en-AU"/>
        </w:rPr>
        <w:t>NOTE 21.   RELATED PARTY DISCLOSURES - CONTINUED</w:t>
      </w:r>
      <w:bookmarkEnd w:id="146"/>
    </w:p>
    <w:p w14:paraId="32079484" w14:textId="77777777" w:rsidR="00717BA5" w:rsidRPr="00717BA5" w:rsidRDefault="00717BA5" w:rsidP="00717BA5">
      <w:pPr>
        <w:keepNext/>
        <w:spacing w:after="120" w:line="240" w:lineRule="auto"/>
        <w:ind w:left="425" w:hanging="425"/>
        <w:jc w:val="both"/>
        <w:outlineLvl w:val="1"/>
        <w:rPr>
          <w:rFonts w:ascii="Arial" w:eastAsia="Times New Roman" w:hAnsi="Arial" w:cs="Arial"/>
          <w:i/>
          <w:color w:val="auto"/>
          <w:lang w:val="en-AU" w:eastAsia="en-US"/>
        </w:rPr>
      </w:pPr>
      <w:bookmarkStart w:id="147" w:name="_Toc240533555"/>
      <w:r w:rsidRPr="00717BA5">
        <w:rPr>
          <w:rFonts w:ascii="Arial" w:eastAsia="Times New Roman" w:hAnsi="Arial" w:cs="Arial"/>
          <w:i/>
          <w:iCs/>
          <w:color w:val="081DA4"/>
          <w:lang w:val="en-AU"/>
        </w:rPr>
        <w:t>B.2</w:t>
      </w:r>
      <w:r w:rsidRPr="00717BA5">
        <w:rPr>
          <w:rFonts w:ascii="Arial" w:eastAsia="Times New Roman" w:hAnsi="Arial" w:cs="Arial"/>
          <w:i/>
          <w:color w:val="auto"/>
          <w:lang w:val="en-AU" w:eastAsia="en-US"/>
        </w:rPr>
        <w:tab/>
        <w:t>Transactions with Key Management Personnel</w:t>
      </w:r>
      <w:bookmarkEnd w:id="147"/>
    </w:p>
    <w:p w14:paraId="67D95169"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color w:val="auto"/>
          <w:lang w:val="en-AU"/>
        </w:rPr>
        <w:t xml:space="preserve">There were no transactions with KMP that were material to the financial statements of </w:t>
      </w:r>
      <w:r w:rsidRPr="00717BA5">
        <w:rPr>
          <w:rFonts w:ascii="Arial" w:eastAsia="Times New Roman" w:hAnsi="Arial" w:cs="Arial"/>
          <w:color w:val="auto"/>
          <w:sz w:val="18"/>
          <w:szCs w:val="18"/>
          <w:lang w:val="en-AU"/>
        </w:rPr>
        <w:t>ACT Leave.</w:t>
      </w:r>
    </w:p>
    <w:p w14:paraId="17151199" w14:textId="77777777" w:rsidR="00717BA5" w:rsidRPr="00717BA5" w:rsidRDefault="00717BA5" w:rsidP="00717BA5">
      <w:pPr>
        <w:keepNext/>
        <w:spacing w:after="120" w:line="240" w:lineRule="auto"/>
        <w:ind w:left="425" w:hanging="425"/>
        <w:jc w:val="both"/>
        <w:outlineLvl w:val="1"/>
        <w:rPr>
          <w:rFonts w:ascii="Arial" w:eastAsia="Times New Roman" w:hAnsi="Arial" w:cs="Arial"/>
          <w:i/>
          <w:color w:val="auto"/>
          <w:lang w:val="en-AU" w:eastAsia="en-US"/>
        </w:rPr>
      </w:pPr>
      <w:bookmarkStart w:id="148" w:name="_Toc240533556"/>
      <w:r w:rsidRPr="00717BA5">
        <w:rPr>
          <w:rFonts w:ascii="Arial" w:eastAsia="Times New Roman" w:hAnsi="Arial" w:cs="Arial"/>
          <w:i/>
          <w:iCs/>
          <w:color w:val="081DA4"/>
          <w:lang w:val="en-AU"/>
        </w:rPr>
        <w:t>B.3</w:t>
      </w:r>
      <w:r w:rsidRPr="00717BA5">
        <w:rPr>
          <w:rFonts w:ascii="Arial" w:eastAsia="Times New Roman" w:hAnsi="Arial" w:cs="Arial"/>
          <w:i/>
          <w:color w:val="auto"/>
          <w:lang w:val="en-AU" w:eastAsia="en-US"/>
        </w:rPr>
        <w:tab/>
        <w:t>Transactions with Parties Related to Key Management Personnel</w:t>
      </w:r>
      <w:bookmarkEnd w:id="148"/>
    </w:p>
    <w:p w14:paraId="1E50D601" w14:textId="77777777" w:rsidR="00717BA5" w:rsidRPr="00717BA5" w:rsidRDefault="00717BA5" w:rsidP="00717BA5">
      <w:pPr>
        <w:adjustRightInd w:val="0"/>
        <w:snapToGrid w:val="0"/>
        <w:rPr>
          <w:rFonts w:ascii="Arial" w:eastAsia="Times New Roman" w:hAnsi="Arial" w:cs="Arial"/>
          <w:color w:val="auto"/>
          <w:sz w:val="18"/>
          <w:szCs w:val="18"/>
          <w:lang w:val="en-AU"/>
        </w:rPr>
      </w:pPr>
      <w:r w:rsidRPr="00717BA5">
        <w:rPr>
          <w:rFonts w:ascii="Arial" w:eastAsia="Times New Roman" w:hAnsi="Arial" w:cs="Arial"/>
          <w:color w:val="auto"/>
          <w:lang w:val="en-AU"/>
        </w:rPr>
        <w:t xml:space="preserve">There were no transactions with parties related to KMP, including transactions with KMP’s close family members or other related entities that were material to the financial statements of </w:t>
      </w:r>
      <w:r w:rsidRPr="00717BA5">
        <w:rPr>
          <w:rFonts w:ascii="Arial" w:eastAsia="Times New Roman" w:hAnsi="Arial" w:cs="Arial"/>
          <w:color w:val="auto"/>
          <w:sz w:val="18"/>
          <w:szCs w:val="18"/>
          <w:lang w:val="en-AU"/>
        </w:rPr>
        <w:t>ACT Leave.</w:t>
      </w:r>
    </w:p>
    <w:p w14:paraId="1E2E996A" w14:textId="77777777" w:rsidR="00717BA5" w:rsidRPr="00717BA5" w:rsidRDefault="00717BA5" w:rsidP="00AD084F">
      <w:pPr>
        <w:keepNext/>
        <w:numPr>
          <w:ilvl w:val="0"/>
          <w:numId w:val="107"/>
        </w:numPr>
        <w:spacing w:after="120" w:line="240" w:lineRule="auto"/>
        <w:ind w:left="357" w:hanging="357"/>
        <w:jc w:val="both"/>
        <w:rPr>
          <w:rFonts w:ascii="Arial" w:eastAsia="Times New Roman" w:hAnsi="Arial" w:cs="Arial"/>
          <w:color w:val="auto"/>
          <w:lang w:val="en-AU"/>
        </w:rPr>
      </w:pPr>
      <w:r w:rsidRPr="00717BA5">
        <w:rPr>
          <w:rFonts w:ascii="Arial" w:eastAsia="Times New Roman" w:hAnsi="Arial" w:cs="Arial"/>
          <w:b/>
          <w:bCs/>
          <w:color w:val="auto"/>
          <w:lang w:val="en-AU"/>
        </w:rPr>
        <w:t>Transactions with other ACT Government Controlled Entities</w:t>
      </w:r>
    </w:p>
    <w:p w14:paraId="7CC0420F" w14:textId="77777777" w:rsidR="00717BA5" w:rsidRPr="00717BA5" w:rsidRDefault="00717BA5" w:rsidP="00717BA5">
      <w:pPr>
        <w:adjustRightInd w:val="0"/>
        <w:snapToGrid w:val="0"/>
        <w:rPr>
          <w:rFonts w:ascii="Arial" w:eastAsia="SimSun" w:hAnsi="Arial" w:cs="Arial"/>
          <w:color w:val="auto"/>
          <w:lang w:val="en-AU"/>
        </w:rPr>
      </w:pPr>
      <w:r w:rsidRPr="00717BA5">
        <w:rPr>
          <w:rFonts w:ascii="Arial" w:eastAsia="Times New Roman" w:hAnsi="Arial" w:cs="Arial"/>
          <w:color w:val="auto"/>
          <w:lang w:val="en-AU"/>
        </w:rPr>
        <w:t xml:space="preserve">ACT Leave </w:t>
      </w:r>
      <w:r w:rsidRPr="00717BA5">
        <w:rPr>
          <w:rFonts w:ascii="Arial" w:eastAsia="SimSun" w:hAnsi="Arial" w:cs="Arial"/>
          <w:color w:val="auto"/>
          <w:lang w:val="en-AU"/>
        </w:rPr>
        <w:t>has entered into transactions with other ACT Government entities in 2025-26 consistent with day-to-day business operations provided under varying terms and conditions. The notes to the Financial Statements provide the details of transactions with other ACT Government Entities. Below is a summary of the Material transactions with Other ACT Government Entities.</w:t>
      </w:r>
    </w:p>
    <w:p w14:paraId="76B32F62" w14:textId="77777777" w:rsidR="00717BA5" w:rsidRPr="00717BA5" w:rsidRDefault="00717BA5" w:rsidP="00717BA5">
      <w:pPr>
        <w:adjustRightInd w:val="0"/>
        <w:snapToGrid w:val="0"/>
        <w:rPr>
          <w:rFonts w:ascii="Arial" w:eastAsia="SimSun" w:hAnsi="Arial" w:cs="Arial"/>
          <w:i/>
          <w:color w:val="auto"/>
          <w:sz w:val="18"/>
          <w:szCs w:val="18"/>
          <w:lang w:val="en-AU"/>
        </w:rPr>
      </w:pPr>
      <w:r w:rsidRPr="00717BA5">
        <w:rPr>
          <w:rFonts w:ascii="Arial" w:eastAsia="SimSun" w:hAnsi="Arial" w:cs="Arial"/>
          <w:b/>
          <w:bCs/>
          <w:color w:val="auto"/>
          <w:lang w:val="en-AU"/>
        </w:rPr>
        <w:t>Revenue</w:t>
      </w:r>
    </w:p>
    <w:p w14:paraId="532DBF35" w14:textId="77777777" w:rsidR="00717BA5" w:rsidRPr="00717BA5" w:rsidRDefault="00717BA5" w:rsidP="00717BA5">
      <w:pPr>
        <w:adjustRightInd w:val="0"/>
        <w:snapToGrid w:val="0"/>
        <w:rPr>
          <w:rFonts w:ascii="Arial" w:eastAsia="Times New Roman" w:hAnsi="Arial" w:cs="Arial"/>
          <w:color w:val="auto"/>
          <w:lang w:val="en-AU"/>
        </w:rPr>
      </w:pPr>
      <w:r w:rsidRPr="00717BA5">
        <w:rPr>
          <w:rFonts w:ascii="Arial" w:eastAsia="Times New Roman" w:hAnsi="Arial" w:cs="Arial"/>
          <w:i/>
          <w:iCs/>
          <w:color w:val="auto"/>
          <w:lang w:val="en-AU"/>
        </w:rPr>
        <w:t>Grants and Contributions</w:t>
      </w:r>
      <w:r w:rsidRPr="00717BA5">
        <w:rPr>
          <w:rFonts w:ascii="Arial" w:eastAsia="Times New Roman" w:hAnsi="Arial" w:cs="Arial"/>
          <w:color w:val="auto"/>
          <w:lang w:val="en-AU"/>
        </w:rPr>
        <w:t xml:space="preserve"> (Operating Statement) - Resources Received Free of Charge. In 2025-26 ACT Leave received free of charge $0.024m for human resources and payroll services from Chief Minister, Treasury and Economic Development Directorate and $0.003m in legal services from the ACT Government Solicitor’s Office.</w:t>
      </w:r>
    </w:p>
    <w:p w14:paraId="1D0D30CB" w14:textId="77777777" w:rsidR="00717BA5" w:rsidRPr="00717BA5" w:rsidRDefault="00717BA5" w:rsidP="00717BA5">
      <w:pPr>
        <w:adjustRightInd w:val="0"/>
        <w:snapToGrid w:val="0"/>
        <w:rPr>
          <w:rFonts w:ascii="Arial" w:eastAsia="Times New Roman" w:hAnsi="Arial" w:cs="Arial"/>
          <w:b/>
          <w:bCs/>
          <w:color w:val="auto"/>
          <w:lang w:val="en-AU"/>
        </w:rPr>
      </w:pPr>
      <w:r w:rsidRPr="00717BA5">
        <w:rPr>
          <w:rFonts w:ascii="Arial" w:eastAsia="Times New Roman" w:hAnsi="Arial" w:cs="Arial"/>
          <w:b/>
          <w:bCs/>
          <w:color w:val="auto"/>
          <w:lang w:val="en-AU"/>
        </w:rPr>
        <w:t>Expenses</w:t>
      </w:r>
    </w:p>
    <w:p w14:paraId="1E159BBD" w14:textId="77777777" w:rsidR="00717BA5" w:rsidRPr="00717BA5" w:rsidRDefault="00717BA5" w:rsidP="00C43769">
      <w:pPr>
        <w:rPr>
          <w:lang w:val="en-AU"/>
        </w:rPr>
      </w:pPr>
      <w:r w:rsidRPr="00717BA5">
        <w:rPr>
          <w:i/>
          <w:iCs/>
          <w:lang w:val="en-AU"/>
        </w:rPr>
        <w:t>Employee Expenses</w:t>
      </w:r>
      <w:r w:rsidRPr="00717BA5">
        <w:rPr>
          <w:lang w:val="en-AU"/>
        </w:rPr>
        <w:t xml:space="preserve"> (Note 8) ACT Leave paid Chief Minister, Treasury and Economic Development Directorate $5.212m and Justice and Community Safety $0.005m for reimbursement of salaries and superannuation for its staff and $0.048m to the Public Sector Workers’ Compensation Fund for Workers Compensation Insurance Premium in 2025-26.</w:t>
      </w:r>
    </w:p>
    <w:p w14:paraId="3E0459C8" w14:textId="77777777" w:rsidR="00717BA5" w:rsidRPr="00717BA5" w:rsidRDefault="00717BA5" w:rsidP="00C43769">
      <w:pPr>
        <w:rPr>
          <w:b/>
          <w:bCs/>
          <w:sz w:val="24"/>
          <w:szCs w:val="24"/>
          <w:lang w:val="en-AU"/>
        </w:rPr>
      </w:pPr>
      <w:r w:rsidRPr="00717BA5">
        <w:rPr>
          <w:i/>
          <w:iCs/>
          <w:lang w:val="en-AU"/>
        </w:rPr>
        <w:t>Supplies and Services</w:t>
      </w:r>
      <w:r w:rsidRPr="00717BA5">
        <w:rPr>
          <w:lang w:val="en-AU"/>
        </w:rPr>
        <w:t xml:space="preserve"> (Note 9) – ACT Leave paid $0.337m to Digital Canberra for services relating to the migration of ACT Leave to the ACT Government network, $0.118m to the ACT Audit Office for audit services, $0.002m to City and Environment Directorate as a funding contribution for the Enterprise Sustainability platform, $0.006m to Canberra Institute of Technology (CIT) for Cultural Awareness Training, $0.004m in insurance premiums to the ACT Insurance Authority, $0.028m to the ACT Government Solicitor’s Office for legal services, and $0.013m to Shared Services for various services in 2025-26. </w:t>
      </w:r>
      <w:r w:rsidRPr="00717BA5">
        <w:rPr>
          <w:i/>
          <w:iCs/>
          <w:lang w:val="en-AU"/>
        </w:rPr>
        <w:br w:type="page"/>
      </w:r>
    </w:p>
    <w:p w14:paraId="47F5295E" w14:textId="77777777" w:rsidR="00717BA5" w:rsidRPr="00717BA5" w:rsidRDefault="00717BA5" w:rsidP="00717BA5">
      <w:pPr>
        <w:spacing w:after="0" w:line="240" w:lineRule="auto"/>
        <w:jc w:val="both"/>
        <w:outlineLvl w:val="1"/>
        <w:rPr>
          <w:rFonts w:ascii="Arial" w:eastAsia="Times New Roman" w:hAnsi="Arial" w:cs="Arial"/>
          <w:b/>
          <w:bCs/>
          <w:color w:val="auto"/>
          <w:sz w:val="16"/>
          <w:szCs w:val="16"/>
          <w:lang w:val="en-AU"/>
        </w:rPr>
      </w:pPr>
    </w:p>
    <w:p w14:paraId="2340E194" w14:textId="77777777" w:rsidR="00717BA5" w:rsidRPr="00717BA5" w:rsidRDefault="00717BA5" w:rsidP="00717BA5">
      <w:pPr>
        <w:spacing w:after="240" w:line="240" w:lineRule="auto"/>
        <w:jc w:val="both"/>
        <w:outlineLvl w:val="1"/>
        <w:rPr>
          <w:rFonts w:ascii="Arial" w:eastAsia="Times New Roman" w:hAnsi="Arial" w:cs="Arial"/>
          <w:b/>
          <w:bCs/>
          <w:color w:val="auto"/>
          <w:sz w:val="24"/>
          <w:szCs w:val="24"/>
          <w:lang w:val="en-AU"/>
        </w:rPr>
      </w:pPr>
      <w:bookmarkStart w:id="149" w:name="_Toc240533557"/>
      <w:r w:rsidRPr="00717BA5">
        <w:rPr>
          <w:rFonts w:ascii="Arial" w:eastAsia="Times New Roman" w:hAnsi="Arial" w:cs="Arial"/>
          <w:b/>
          <w:bCs/>
          <w:color w:val="auto"/>
          <w:sz w:val="24"/>
          <w:szCs w:val="24"/>
          <w:lang w:val="en-AU"/>
        </w:rPr>
        <w:t>NOTE 22.   BUDGETARY REPORTING</w:t>
      </w:r>
      <w:bookmarkEnd w:id="149"/>
    </w:p>
    <w:p w14:paraId="0B1AA9DC" w14:textId="77777777" w:rsidR="00717BA5" w:rsidRPr="00717BA5" w:rsidRDefault="00717BA5" w:rsidP="00717BA5">
      <w:pPr>
        <w:autoSpaceDE w:val="0"/>
        <w:autoSpaceDN w:val="0"/>
        <w:adjustRightInd w:val="0"/>
        <w:spacing w:after="120" w:line="240" w:lineRule="auto"/>
        <w:jc w:val="both"/>
        <w:rPr>
          <w:rFonts w:ascii="Arial" w:eastAsia="SimSun" w:hAnsi="Arial" w:cs="Arial"/>
          <w:color w:val="auto"/>
          <w:lang w:eastAsia="en-US"/>
        </w:rPr>
      </w:pPr>
      <w:r w:rsidRPr="00717BA5">
        <w:rPr>
          <w:rFonts w:ascii="Arial" w:eastAsia="SimSun" w:hAnsi="Arial" w:cs="Arial"/>
          <w:b/>
          <w:bCs/>
          <w:color w:val="auto"/>
          <w:lang w:val="en-AU" w:eastAsia="en-US"/>
        </w:rPr>
        <w:t>Significant Accounting Judgements and Estimates – Budgetary Reporting</w:t>
      </w:r>
    </w:p>
    <w:p w14:paraId="18F30E27" w14:textId="77777777" w:rsidR="00717BA5" w:rsidRPr="00717BA5" w:rsidRDefault="00717BA5" w:rsidP="00717BA5">
      <w:pPr>
        <w:adjustRightInd w:val="0"/>
        <w:snapToGrid w:val="0"/>
        <w:rPr>
          <w:rFonts w:ascii="Arial" w:eastAsia="Times New Roman" w:hAnsi="Arial" w:cs="Arial"/>
          <w:color w:val="auto"/>
        </w:rPr>
      </w:pPr>
      <w:r w:rsidRPr="00717BA5">
        <w:rPr>
          <w:rFonts w:ascii="Arial" w:eastAsia="Times New Roman" w:hAnsi="Arial" w:cs="Arial"/>
          <w:color w:val="auto"/>
        </w:rPr>
        <w:t>Significant judgements have been applied in determining what variances are considered ‘major variances’.  Variances are considered major if both of the following criteria are met:</w:t>
      </w:r>
    </w:p>
    <w:p w14:paraId="3F72AE9B" w14:textId="77777777" w:rsidR="00717BA5" w:rsidRPr="00717BA5" w:rsidRDefault="00717BA5" w:rsidP="00AD084F">
      <w:pPr>
        <w:pStyle w:val="Listbullet1"/>
      </w:pPr>
      <w:r w:rsidRPr="00717BA5">
        <w:t xml:space="preserve">The line item is a significant line item: where either the line item actual amount accounts for more than 10% of the relevant associated category (Income, Expenses and Equity totals) or more than 10% of the sub-element (e.g. Current Liabilities and Receipts from Operating Activities totals) of the financial statements and </w:t>
      </w:r>
    </w:p>
    <w:p w14:paraId="2DA1523E" w14:textId="77777777" w:rsidR="00717BA5" w:rsidRPr="00717BA5" w:rsidRDefault="00717BA5" w:rsidP="00AD084F">
      <w:pPr>
        <w:pStyle w:val="Listbullet1"/>
      </w:pPr>
      <w:r w:rsidRPr="00717BA5">
        <w:t>The variances (original budget to actual) are greater than plus (+) or minus (-) 10% and $500,000 of the budget for the financial statement line item.</w:t>
      </w:r>
      <w:r w:rsidRPr="00717BA5">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8"/>
        <w:gridCol w:w="1007"/>
        <w:gridCol w:w="1150"/>
        <w:gridCol w:w="1152"/>
        <w:gridCol w:w="1021"/>
        <w:gridCol w:w="4178"/>
      </w:tblGrid>
      <w:tr w:rsidR="00717BA5" w:rsidRPr="00717BA5" w14:paraId="3A597A10" w14:textId="77777777" w:rsidTr="00F0752D">
        <w:tc>
          <w:tcPr>
            <w:tcW w:w="782" w:type="pct"/>
            <w:vAlign w:val="bottom"/>
          </w:tcPr>
          <w:p w14:paraId="20DCD783" w14:textId="77777777" w:rsidR="00717BA5" w:rsidRPr="00717BA5" w:rsidRDefault="00717BA5" w:rsidP="00717BA5">
            <w:pPr>
              <w:spacing w:after="0" w:line="240" w:lineRule="auto"/>
              <w:rPr>
                <w:rFonts w:ascii="Arial" w:eastAsia="SimSun" w:hAnsi="Arial" w:cs="Arial"/>
                <w:b/>
                <w:color w:val="auto"/>
                <w:sz w:val="18"/>
                <w:szCs w:val="18"/>
                <w:lang w:val="en-AU" w:eastAsia="en-US"/>
              </w:rPr>
            </w:pPr>
            <w:bookmarkStart w:id="150" w:name="_Hlk140869012"/>
            <w:r w:rsidRPr="00717BA5">
              <w:rPr>
                <w:rFonts w:ascii="Arial" w:eastAsia="SimSun" w:hAnsi="Arial" w:cs="Arial"/>
                <w:b/>
                <w:color w:val="auto"/>
                <w:sz w:val="18"/>
                <w:szCs w:val="18"/>
                <w:lang w:val="en-AU" w:eastAsia="en-US"/>
              </w:rPr>
              <w:t>Operating Statement Line Items</w:t>
            </w:r>
          </w:p>
        </w:tc>
        <w:tc>
          <w:tcPr>
            <w:tcW w:w="499" w:type="pct"/>
            <w:vAlign w:val="bottom"/>
          </w:tcPr>
          <w:p w14:paraId="53447EE7"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Actual</w:t>
            </w:r>
            <w:r w:rsidRPr="00717BA5">
              <w:rPr>
                <w:rFonts w:ascii="Arial" w:eastAsia="SimSun" w:hAnsi="Arial" w:cs="Arial"/>
                <w:b/>
                <w:color w:val="auto"/>
                <w:sz w:val="18"/>
                <w:szCs w:val="18"/>
                <w:lang w:val="en-AU" w:eastAsia="en-US"/>
              </w:rPr>
              <w:br/>
              <w:t>2025-26</w:t>
            </w:r>
          </w:p>
          <w:p w14:paraId="05C5343F"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$’000</w:t>
            </w:r>
          </w:p>
        </w:tc>
        <w:tc>
          <w:tcPr>
            <w:tcW w:w="570" w:type="pct"/>
            <w:vAlign w:val="bottom"/>
          </w:tcPr>
          <w:p w14:paraId="7971FD92"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Original</w:t>
            </w:r>
          </w:p>
          <w:p w14:paraId="2519BC15" w14:textId="59D8C5E6"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Budget</w:t>
            </w:r>
            <w:r w:rsidR="00FC0A57">
              <w:rPr>
                <w:rFonts w:ascii="ZWAdobeF" w:eastAsia="SimSun" w:hAnsi="ZWAdobeF" w:cs="ZWAdobeF"/>
                <w:color w:val="auto"/>
                <w:sz w:val="2"/>
                <w:szCs w:val="2"/>
                <w:lang w:val="en-AU" w:eastAsia="en-US"/>
              </w:rPr>
              <w:t>21F</w:t>
            </w:r>
            <w:r w:rsidRPr="00717BA5">
              <w:rPr>
                <w:rFonts w:ascii="Arial" w:eastAsia="SimSun" w:hAnsi="Arial" w:cs="Arial"/>
                <w:b/>
                <w:color w:val="auto"/>
                <w:sz w:val="18"/>
                <w:szCs w:val="18"/>
                <w:vertAlign w:val="superscript"/>
                <w:lang w:val="en-AU" w:eastAsia="en-US"/>
              </w:rPr>
              <w:footnoteReference w:id="23"/>
            </w:r>
          </w:p>
          <w:p w14:paraId="675136C9"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2025-26</w:t>
            </w:r>
          </w:p>
          <w:p w14:paraId="31AFAFF6"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$’000</w:t>
            </w:r>
          </w:p>
        </w:tc>
        <w:tc>
          <w:tcPr>
            <w:tcW w:w="571" w:type="pct"/>
            <w:vAlign w:val="bottom"/>
          </w:tcPr>
          <w:p w14:paraId="3BFE3C45"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Variance</w:t>
            </w:r>
          </w:p>
          <w:p w14:paraId="235AFCFC"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p>
          <w:p w14:paraId="74A801D2"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p>
          <w:p w14:paraId="6C5AD0EB"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$’000</w:t>
            </w:r>
          </w:p>
        </w:tc>
        <w:tc>
          <w:tcPr>
            <w:tcW w:w="506" w:type="pct"/>
            <w:vAlign w:val="bottom"/>
          </w:tcPr>
          <w:p w14:paraId="730DBC7B"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Variance</w:t>
            </w:r>
          </w:p>
          <w:p w14:paraId="7104B749"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p>
          <w:p w14:paraId="5CF86E6B"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w:t>
            </w:r>
          </w:p>
        </w:tc>
        <w:tc>
          <w:tcPr>
            <w:tcW w:w="2071" w:type="pct"/>
            <w:vAlign w:val="center"/>
          </w:tcPr>
          <w:p w14:paraId="41B0E54C"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Variance Explanation</w:t>
            </w:r>
          </w:p>
        </w:tc>
      </w:tr>
      <w:tr w:rsidR="00717BA5" w:rsidRPr="00717BA5" w14:paraId="53596CEB" w14:textId="77777777" w:rsidTr="00F0752D">
        <w:tc>
          <w:tcPr>
            <w:tcW w:w="782" w:type="pct"/>
          </w:tcPr>
          <w:p w14:paraId="15AC8F68"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Gains from Remeasurement of Assets</w:t>
            </w:r>
          </w:p>
        </w:tc>
        <w:tc>
          <w:tcPr>
            <w:tcW w:w="499" w:type="pct"/>
          </w:tcPr>
          <w:p w14:paraId="18064939"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9,060</w:t>
            </w:r>
          </w:p>
        </w:tc>
        <w:tc>
          <w:tcPr>
            <w:tcW w:w="570" w:type="pct"/>
          </w:tcPr>
          <w:p w14:paraId="4433CB46" w14:textId="77777777" w:rsidR="00717BA5" w:rsidRPr="00717BA5" w:rsidRDefault="00717BA5" w:rsidP="00717BA5">
            <w:pPr>
              <w:spacing w:after="0" w:line="240" w:lineRule="auto"/>
              <w:jc w:val="center"/>
              <w:rPr>
                <w:rFonts w:ascii="Arial" w:eastAsia="SimSun" w:hAnsi="Arial" w:cs="Arial"/>
                <w:color w:val="000000"/>
                <w:sz w:val="18"/>
                <w:szCs w:val="18"/>
                <w:lang w:val="en-AU" w:eastAsia="en-US"/>
              </w:rPr>
            </w:pPr>
            <w:r w:rsidRPr="00717BA5">
              <w:rPr>
                <w:rFonts w:ascii="Arial" w:eastAsia="SimSun" w:hAnsi="Arial" w:cs="Arial"/>
                <w:color w:val="000000"/>
                <w:sz w:val="18"/>
                <w:szCs w:val="18"/>
                <w:lang w:val="en-AU" w:eastAsia="en-US"/>
              </w:rPr>
              <w:t>14,421</w:t>
            </w:r>
          </w:p>
        </w:tc>
        <w:tc>
          <w:tcPr>
            <w:tcW w:w="571" w:type="pct"/>
          </w:tcPr>
          <w:p w14:paraId="120A25C8"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(5,361)</w:t>
            </w:r>
          </w:p>
        </w:tc>
        <w:tc>
          <w:tcPr>
            <w:tcW w:w="506" w:type="pct"/>
          </w:tcPr>
          <w:p w14:paraId="2A582BF8"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-37%</w:t>
            </w:r>
          </w:p>
        </w:tc>
        <w:tc>
          <w:tcPr>
            <w:tcW w:w="2071" w:type="pct"/>
          </w:tcPr>
          <w:p w14:paraId="139B996B" w14:textId="77777777" w:rsidR="00717BA5" w:rsidRPr="00717BA5" w:rsidRDefault="00717BA5" w:rsidP="00717BA5">
            <w:pPr>
              <w:spacing w:after="0" w:line="240" w:lineRule="auto"/>
              <w:rPr>
                <w:rFonts w:ascii="Arial" w:eastAsia="SimSun" w:hAnsi="Arial" w:cs="Arial"/>
                <w:color w:val="auto"/>
                <w:sz w:val="18"/>
                <w:szCs w:val="18"/>
                <w:highlight w:val="yellow"/>
                <w:lang w:val="en-AU" w:eastAsia="en-US"/>
              </w:rPr>
            </w:pPr>
            <w:r w:rsidRPr="00717BA5">
              <w:rPr>
                <w:rFonts w:ascii="Arial" w:eastAsia="SimSun" w:hAnsi="Arial" w:cs="Arial"/>
                <w:color w:val="000000"/>
                <w:sz w:val="18"/>
                <w:szCs w:val="18"/>
                <w:shd w:val="clear" w:color="auto" w:fill="FFFFFF"/>
                <w:lang w:val="en-AU" w:eastAsia="en-US"/>
              </w:rPr>
              <w:t>Lower Gains from Remeasurement of Assets were caused by the lower-than-expected return on investments due to market volatility between November 2025 and March 2026.</w:t>
            </w:r>
          </w:p>
        </w:tc>
      </w:tr>
      <w:tr w:rsidR="00717BA5" w:rsidRPr="00717BA5" w14:paraId="1466E469" w14:textId="77777777" w:rsidTr="00F0752D">
        <w:tc>
          <w:tcPr>
            <w:tcW w:w="782" w:type="pct"/>
          </w:tcPr>
          <w:p w14:paraId="28B4656A"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Investment Revenue</w:t>
            </w:r>
          </w:p>
        </w:tc>
        <w:tc>
          <w:tcPr>
            <w:tcW w:w="499" w:type="pct"/>
          </w:tcPr>
          <w:p w14:paraId="2BA35885"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15,574</w:t>
            </w:r>
          </w:p>
        </w:tc>
        <w:tc>
          <w:tcPr>
            <w:tcW w:w="570" w:type="pct"/>
          </w:tcPr>
          <w:p w14:paraId="3487A4F5"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8,350</w:t>
            </w:r>
          </w:p>
        </w:tc>
        <w:tc>
          <w:tcPr>
            <w:tcW w:w="571" w:type="pct"/>
          </w:tcPr>
          <w:p w14:paraId="52D01F26"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7,224</w:t>
            </w:r>
          </w:p>
        </w:tc>
        <w:tc>
          <w:tcPr>
            <w:tcW w:w="506" w:type="pct"/>
          </w:tcPr>
          <w:p w14:paraId="1547CDF9"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87%</w:t>
            </w:r>
          </w:p>
        </w:tc>
        <w:tc>
          <w:tcPr>
            <w:tcW w:w="2071" w:type="pct"/>
          </w:tcPr>
          <w:p w14:paraId="7EB582C6"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 xml:space="preserve">Higher investment revenue was predominantly caused by higher-than-expected quarterly investment distributions from ACT Leave’s </w:t>
            </w:r>
            <w:r w:rsidRPr="00717BA5">
              <w:rPr>
                <w:rFonts w:ascii="Arial" w:eastAsia="Times New Roman" w:hAnsi="Arial" w:cs="Arial"/>
                <w:color w:val="auto"/>
                <w:sz w:val="18"/>
                <w:szCs w:val="18"/>
                <w:lang w:val="en-AU"/>
              </w:rPr>
              <w:t>underlying investment holdings of international fixed interest securities</w:t>
            </w:r>
            <w:r w:rsidRPr="00717BA5">
              <w:rPr>
                <w:rFonts w:ascii="Arial" w:eastAsia="SimSun" w:hAnsi="Arial" w:cs="Arial"/>
                <w:color w:val="auto"/>
                <w:sz w:val="18"/>
                <w:szCs w:val="18"/>
                <w:lang w:val="en-AU" w:eastAsia="en-US"/>
              </w:rPr>
              <w:t xml:space="preserve">. </w:t>
            </w:r>
            <w:r w:rsidRPr="00717BA5">
              <w:rPr>
                <w:rFonts w:ascii="Arial" w:eastAsia="Times New Roman" w:hAnsi="Arial" w:cs="Arial"/>
                <w:color w:val="auto"/>
                <w:sz w:val="18"/>
                <w:szCs w:val="18"/>
                <w:lang w:val="en-AU"/>
              </w:rPr>
              <w:t>Strengthening of the Australian dollar against major currencies led to hedging gains, which</w:t>
            </w:r>
            <w:r w:rsidRPr="00717BA5">
              <w:rPr>
                <w:rFonts w:ascii="Arial" w:eastAsia="SimSun" w:hAnsi="Arial" w:cs="Arial"/>
                <w:color w:val="auto"/>
                <w:sz w:val="18"/>
                <w:szCs w:val="18"/>
                <w:vertAlign w:val="superscript"/>
                <w:lang w:val="en-AU" w:eastAsia="en-US"/>
              </w:rPr>
              <w:t xml:space="preserve"> </w:t>
            </w:r>
            <w:r w:rsidRPr="00717BA5">
              <w:rPr>
                <w:rFonts w:ascii="Arial" w:eastAsia="SimSun" w:hAnsi="Arial" w:cs="Arial"/>
                <w:color w:val="auto"/>
                <w:sz w:val="18"/>
                <w:szCs w:val="18"/>
                <w:lang w:val="en-AU" w:eastAsia="en-US"/>
              </w:rPr>
              <w:t>supported higher distributions.</w:t>
            </w:r>
          </w:p>
        </w:tc>
      </w:tr>
      <w:tr w:rsidR="00717BA5" w:rsidRPr="00717BA5" w14:paraId="0BFD02F8" w14:textId="77777777" w:rsidTr="00F0752D">
        <w:tc>
          <w:tcPr>
            <w:tcW w:w="782" w:type="pct"/>
          </w:tcPr>
          <w:p w14:paraId="4A555AFF"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Long Service Leave Benefits Expenses</w:t>
            </w:r>
          </w:p>
        </w:tc>
        <w:tc>
          <w:tcPr>
            <w:tcW w:w="499" w:type="pct"/>
          </w:tcPr>
          <w:p w14:paraId="4790D415"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38,768</w:t>
            </w:r>
          </w:p>
        </w:tc>
        <w:tc>
          <w:tcPr>
            <w:tcW w:w="570" w:type="pct"/>
          </w:tcPr>
          <w:p w14:paraId="1A25159A" w14:textId="77777777" w:rsidR="00717BA5" w:rsidRPr="00717BA5" w:rsidRDefault="00717BA5" w:rsidP="00717BA5">
            <w:pPr>
              <w:spacing w:after="0" w:line="240" w:lineRule="auto"/>
              <w:jc w:val="center"/>
              <w:rPr>
                <w:rFonts w:ascii="Arial" w:eastAsia="SimSun" w:hAnsi="Arial" w:cs="Arial"/>
                <w:color w:val="000000"/>
                <w:sz w:val="18"/>
                <w:szCs w:val="18"/>
                <w:lang w:val="en-AU" w:eastAsia="en-US"/>
              </w:rPr>
            </w:pPr>
            <w:r w:rsidRPr="00717BA5">
              <w:rPr>
                <w:rFonts w:ascii="Arial" w:eastAsia="SimSun" w:hAnsi="Arial" w:cs="Arial"/>
                <w:color w:val="000000"/>
                <w:sz w:val="18"/>
                <w:szCs w:val="18"/>
                <w:lang w:val="en-AU" w:eastAsia="en-US"/>
              </w:rPr>
              <w:t>54,200</w:t>
            </w:r>
          </w:p>
        </w:tc>
        <w:tc>
          <w:tcPr>
            <w:tcW w:w="571" w:type="pct"/>
          </w:tcPr>
          <w:p w14:paraId="1BBA84F9"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(15,432)</w:t>
            </w:r>
          </w:p>
        </w:tc>
        <w:tc>
          <w:tcPr>
            <w:tcW w:w="506" w:type="pct"/>
          </w:tcPr>
          <w:p w14:paraId="5D8BF7A2"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-28%</w:t>
            </w:r>
          </w:p>
        </w:tc>
        <w:tc>
          <w:tcPr>
            <w:tcW w:w="2071" w:type="pct"/>
          </w:tcPr>
          <w:p w14:paraId="5DA7DE03" w14:textId="69ED42C5" w:rsidR="00717BA5" w:rsidRPr="00717BA5" w:rsidRDefault="00717BA5" w:rsidP="00717BA5">
            <w:pPr>
              <w:spacing w:after="0" w:line="240" w:lineRule="auto"/>
              <w:rPr>
                <w:rFonts w:ascii="Arial" w:eastAsia="SimSun" w:hAnsi="Arial" w:cs="Arial"/>
                <w:color w:val="auto"/>
                <w:sz w:val="18"/>
                <w:szCs w:val="18"/>
                <w:highlight w:val="yellow"/>
                <w:lang w:val="en-AU" w:eastAsia="en-US"/>
              </w:rPr>
            </w:pPr>
            <w:r w:rsidRPr="00717BA5">
              <w:rPr>
                <w:rFonts w:ascii="Arial" w:eastAsia="SimSun" w:hAnsi="Arial" w:cs="Arial"/>
                <w:color w:val="000000"/>
                <w:sz w:val="18"/>
                <w:szCs w:val="18"/>
                <w:shd w:val="clear" w:color="auto" w:fill="FFFFFF"/>
                <w:lang w:val="en-AU" w:eastAsia="en-US"/>
              </w:rPr>
              <w:t>Long Service Leave Benefits expenses were lower than budgeted due to higher benefit payments made throughout the year, which reduced the accrued benefits remaining at 30 June 2026. In addition, lower service accrual of active workers resulted in a lower level of new benefit accrual over the year.</w:t>
            </w:r>
          </w:p>
        </w:tc>
      </w:tr>
      <w:tr w:rsidR="00717BA5" w:rsidRPr="00717BA5" w14:paraId="38C21A79" w14:textId="77777777" w:rsidTr="00F0752D">
        <w:tc>
          <w:tcPr>
            <w:tcW w:w="782" w:type="pct"/>
          </w:tcPr>
          <w:p w14:paraId="04678A76"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Finance Costs</w:t>
            </w:r>
          </w:p>
        </w:tc>
        <w:tc>
          <w:tcPr>
            <w:tcW w:w="499" w:type="pct"/>
          </w:tcPr>
          <w:p w14:paraId="13378459"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24,036</w:t>
            </w:r>
          </w:p>
        </w:tc>
        <w:tc>
          <w:tcPr>
            <w:tcW w:w="570" w:type="pct"/>
          </w:tcPr>
          <w:p w14:paraId="53DCF5A4" w14:textId="77777777" w:rsidR="00717BA5" w:rsidRPr="00717BA5" w:rsidRDefault="00717BA5" w:rsidP="00717BA5">
            <w:pPr>
              <w:spacing w:after="0" w:line="240" w:lineRule="auto"/>
              <w:jc w:val="center"/>
              <w:rPr>
                <w:rFonts w:ascii="Arial" w:eastAsia="SimSun" w:hAnsi="Arial" w:cs="Arial"/>
                <w:color w:val="000000"/>
                <w:sz w:val="18"/>
                <w:szCs w:val="18"/>
                <w:lang w:val="en-AU" w:eastAsia="en-US"/>
              </w:rPr>
            </w:pPr>
            <w:r w:rsidRPr="00717BA5">
              <w:rPr>
                <w:rFonts w:ascii="Arial" w:eastAsia="SimSun" w:hAnsi="Arial" w:cs="Arial"/>
                <w:color w:val="000000"/>
                <w:sz w:val="18"/>
                <w:szCs w:val="18"/>
                <w:lang w:val="en-AU" w:eastAsia="en-US"/>
              </w:rPr>
              <w:t>17,018</w:t>
            </w:r>
          </w:p>
        </w:tc>
        <w:tc>
          <w:tcPr>
            <w:tcW w:w="571" w:type="pct"/>
          </w:tcPr>
          <w:p w14:paraId="5EC86DF7"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7,018</w:t>
            </w:r>
          </w:p>
        </w:tc>
        <w:tc>
          <w:tcPr>
            <w:tcW w:w="506" w:type="pct"/>
          </w:tcPr>
          <w:p w14:paraId="4A2F9152"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41%</w:t>
            </w:r>
          </w:p>
        </w:tc>
        <w:tc>
          <w:tcPr>
            <w:tcW w:w="2071" w:type="pct"/>
          </w:tcPr>
          <w:p w14:paraId="1DE6C28B"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 xml:space="preserve">Finance Costs were higher than budgeted due to the unwinding of the discount rate </w:t>
            </w:r>
            <w:r w:rsidRPr="00717BA5">
              <w:rPr>
                <w:rFonts w:ascii="Arial" w:eastAsia="SimSun" w:hAnsi="Arial" w:cs="Arial"/>
                <w:color w:val="auto"/>
                <w:spacing w:val="-1"/>
                <w:sz w:val="18"/>
                <w:szCs w:val="18"/>
                <w:lang w:eastAsia="en-US"/>
              </w:rPr>
              <w:t>applied to future payments of long service leave benefits based on the actuarial valuation. The change in the discount rate to 5.6% from 6.0% used in the budget contributed to higher than budgeted finance costs.</w:t>
            </w:r>
          </w:p>
        </w:tc>
      </w:tr>
      <w:tr w:rsidR="00717BA5" w:rsidRPr="00717BA5" w14:paraId="1EFC0FB0" w14:textId="77777777" w:rsidTr="00F0752D">
        <w:tc>
          <w:tcPr>
            <w:tcW w:w="782" w:type="pct"/>
          </w:tcPr>
          <w:p w14:paraId="097E74D8" w14:textId="77777777" w:rsidR="00717BA5" w:rsidRPr="00717BA5" w:rsidRDefault="00717BA5" w:rsidP="00717BA5">
            <w:pPr>
              <w:spacing w:after="0" w:line="240" w:lineRule="auto"/>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Balance Sheet Line Items</w:t>
            </w:r>
          </w:p>
        </w:tc>
        <w:tc>
          <w:tcPr>
            <w:tcW w:w="499" w:type="pct"/>
          </w:tcPr>
          <w:p w14:paraId="535530A0"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p>
        </w:tc>
        <w:tc>
          <w:tcPr>
            <w:tcW w:w="570" w:type="pct"/>
          </w:tcPr>
          <w:p w14:paraId="06373FC6" w14:textId="77777777" w:rsidR="00717BA5" w:rsidRPr="00717BA5" w:rsidRDefault="00717BA5" w:rsidP="00717BA5">
            <w:pPr>
              <w:spacing w:after="0" w:line="240" w:lineRule="auto"/>
              <w:jc w:val="center"/>
              <w:rPr>
                <w:rFonts w:ascii="Arial" w:eastAsia="SimSun" w:hAnsi="Arial" w:cs="Arial"/>
                <w:color w:val="000000"/>
                <w:sz w:val="18"/>
                <w:szCs w:val="18"/>
                <w:lang w:val="en-AU" w:eastAsia="en-US"/>
              </w:rPr>
            </w:pPr>
          </w:p>
        </w:tc>
        <w:tc>
          <w:tcPr>
            <w:tcW w:w="571" w:type="pct"/>
          </w:tcPr>
          <w:p w14:paraId="109633A6"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p>
        </w:tc>
        <w:tc>
          <w:tcPr>
            <w:tcW w:w="506" w:type="pct"/>
          </w:tcPr>
          <w:p w14:paraId="6D481AEE"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p>
        </w:tc>
        <w:tc>
          <w:tcPr>
            <w:tcW w:w="2071" w:type="pct"/>
          </w:tcPr>
          <w:p w14:paraId="023DFC13" w14:textId="77777777" w:rsidR="00717BA5" w:rsidRPr="00717BA5" w:rsidRDefault="00717BA5" w:rsidP="00717BA5">
            <w:pPr>
              <w:spacing w:after="0" w:line="240" w:lineRule="auto"/>
              <w:rPr>
                <w:rFonts w:ascii="Arial" w:eastAsia="SimSun" w:hAnsi="Arial" w:cs="Arial"/>
                <w:color w:val="auto"/>
                <w:sz w:val="18"/>
                <w:szCs w:val="18"/>
                <w:lang w:val="en-AU" w:eastAsia="en-US"/>
              </w:rPr>
            </w:pPr>
          </w:p>
        </w:tc>
      </w:tr>
      <w:tr w:rsidR="00717BA5" w:rsidRPr="00717BA5" w14:paraId="392EDD6E" w14:textId="77777777" w:rsidTr="00F0752D">
        <w:tc>
          <w:tcPr>
            <w:tcW w:w="782" w:type="pct"/>
          </w:tcPr>
          <w:p w14:paraId="46F2A1EA"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Provision for Long Service Leave Benefits</w:t>
            </w:r>
          </w:p>
        </w:tc>
        <w:tc>
          <w:tcPr>
            <w:tcW w:w="499" w:type="pct"/>
          </w:tcPr>
          <w:p w14:paraId="653A69B8"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305,342</w:t>
            </w:r>
          </w:p>
        </w:tc>
        <w:tc>
          <w:tcPr>
            <w:tcW w:w="570" w:type="pct"/>
          </w:tcPr>
          <w:p w14:paraId="0CF69E46" w14:textId="77777777" w:rsidR="00717BA5" w:rsidRPr="00717BA5" w:rsidRDefault="00717BA5" w:rsidP="00717BA5">
            <w:pPr>
              <w:spacing w:after="0" w:line="240" w:lineRule="auto"/>
              <w:jc w:val="center"/>
              <w:rPr>
                <w:rFonts w:ascii="Arial" w:eastAsia="SimSun" w:hAnsi="Arial" w:cs="Arial"/>
                <w:color w:val="000000"/>
                <w:sz w:val="18"/>
                <w:szCs w:val="18"/>
                <w:lang w:val="en-AU" w:eastAsia="en-US"/>
              </w:rPr>
            </w:pPr>
            <w:r w:rsidRPr="00717BA5">
              <w:rPr>
                <w:rFonts w:ascii="Arial" w:eastAsia="SimSun" w:hAnsi="Arial" w:cs="Arial"/>
                <w:color w:val="000000"/>
                <w:sz w:val="18"/>
                <w:szCs w:val="18"/>
                <w:lang w:val="en-AU" w:eastAsia="en-US"/>
              </w:rPr>
              <w:t>342,372</w:t>
            </w:r>
          </w:p>
        </w:tc>
        <w:tc>
          <w:tcPr>
            <w:tcW w:w="571" w:type="pct"/>
          </w:tcPr>
          <w:p w14:paraId="6C22A284"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(37,030)</w:t>
            </w:r>
          </w:p>
        </w:tc>
        <w:tc>
          <w:tcPr>
            <w:tcW w:w="506" w:type="pct"/>
          </w:tcPr>
          <w:p w14:paraId="07C19FE9"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-11%</w:t>
            </w:r>
          </w:p>
        </w:tc>
        <w:tc>
          <w:tcPr>
            <w:tcW w:w="2071" w:type="pct"/>
          </w:tcPr>
          <w:p w14:paraId="2A206E29" w14:textId="40F5A495" w:rsidR="00717BA5" w:rsidRPr="00717BA5" w:rsidRDefault="00717BA5" w:rsidP="00717BA5">
            <w:pPr>
              <w:spacing w:after="0" w:line="240" w:lineRule="auto"/>
              <w:rPr>
                <w:rFonts w:ascii="Arial" w:eastAsia="SimSun" w:hAnsi="Arial" w:cs="Arial"/>
                <w:color w:val="auto"/>
                <w:sz w:val="18"/>
                <w:szCs w:val="18"/>
                <w:highlight w:val="yellow"/>
                <w:lang w:val="en-AU" w:eastAsia="en-US"/>
              </w:rPr>
            </w:pPr>
            <w:r w:rsidRPr="00717BA5">
              <w:rPr>
                <w:rFonts w:ascii="Arial" w:eastAsia="SimSun" w:hAnsi="Arial" w:cs="Arial"/>
                <w:color w:val="000000"/>
                <w:sz w:val="18"/>
                <w:szCs w:val="18"/>
                <w:shd w:val="clear" w:color="auto" w:fill="FFFFFF"/>
                <w:lang w:val="en-AU" w:eastAsia="en-US"/>
              </w:rPr>
              <w:t>The provision for Long Service Leave Benefits was lower than budgeted due to higher benefit payments made throughout the year, which reduced the accrued benefits remaining at 30 June 2026. In addition, lower service accrual of active workers resulted in a lower level of new benefit accrual over the year.</w:t>
            </w:r>
          </w:p>
        </w:tc>
      </w:tr>
      <w:tr w:rsidR="00717BA5" w:rsidRPr="00717BA5" w14:paraId="43922389" w14:textId="77777777" w:rsidTr="00F0752D">
        <w:trPr>
          <w:cantSplit/>
        </w:trPr>
        <w:tc>
          <w:tcPr>
            <w:tcW w:w="782" w:type="pct"/>
          </w:tcPr>
          <w:p w14:paraId="55F1AA30"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b/>
                <w:color w:val="auto"/>
                <w:sz w:val="18"/>
                <w:szCs w:val="18"/>
                <w:lang w:val="en-AU" w:eastAsia="en-US"/>
              </w:rPr>
              <w:t>Statement of Changes in Equity</w:t>
            </w:r>
          </w:p>
        </w:tc>
        <w:tc>
          <w:tcPr>
            <w:tcW w:w="499" w:type="pct"/>
          </w:tcPr>
          <w:p w14:paraId="331ADC7D"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p>
        </w:tc>
        <w:tc>
          <w:tcPr>
            <w:tcW w:w="570" w:type="pct"/>
          </w:tcPr>
          <w:p w14:paraId="28897437" w14:textId="77777777" w:rsidR="00717BA5" w:rsidRPr="00717BA5" w:rsidRDefault="00717BA5" w:rsidP="00717BA5">
            <w:pPr>
              <w:spacing w:after="0" w:line="240" w:lineRule="auto"/>
              <w:jc w:val="center"/>
              <w:rPr>
                <w:rFonts w:ascii="Arial" w:eastAsia="SimSun" w:hAnsi="Arial" w:cs="Arial"/>
                <w:color w:val="000000"/>
                <w:sz w:val="18"/>
                <w:szCs w:val="18"/>
                <w:lang w:val="en-AU" w:eastAsia="en-US"/>
              </w:rPr>
            </w:pPr>
          </w:p>
        </w:tc>
        <w:tc>
          <w:tcPr>
            <w:tcW w:w="571" w:type="pct"/>
          </w:tcPr>
          <w:p w14:paraId="3C3C1C6D"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p>
        </w:tc>
        <w:tc>
          <w:tcPr>
            <w:tcW w:w="506" w:type="pct"/>
          </w:tcPr>
          <w:p w14:paraId="691B4F25"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p>
        </w:tc>
        <w:tc>
          <w:tcPr>
            <w:tcW w:w="2071" w:type="pct"/>
          </w:tcPr>
          <w:p w14:paraId="57B83E91"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These line items are covered in other financial statements.</w:t>
            </w:r>
          </w:p>
          <w:p w14:paraId="524531BE" w14:textId="77777777" w:rsidR="00717BA5" w:rsidRPr="00717BA5" w:rsidRDefault="00717BA5" w:rsidP="00717BA5">
            <w:pPr>
              <w:spacing w:after="0" w:line="240" w:lineRule="auto"/>
              <w:rPr>
                <w:rFonts w:ascii="Arial" w:eastAsia="SimSun" w:hAnsi="Arial" w:cs="Arial"/>
                <w:color w:val="auto"/>
                <w:sz w:val="18"/>
                <w:szCs w:val="18"/>
                <w:highlight w:val="yellow"/>
                <w:lang w:val="en-AU" w:eastAsia="en-US"/>
              </w:rPr>
            </w:pPr>
          </w:p>
        </w:tc>
      </w:tr>
      <w:bookmarkEnd w:id="150"/>
    </w:tbl>
    <w:p w14:paraId="586A0C9E" w14:textId="77777777" w:rsidR="00717BA5" w:rsidRPr="00717BA5" w:rsidRDefault="00717BA5" w:rsidP="00717BA5">
      <w:pPr>
        <w:autoSpaceDE w:val="0"/>
        <w:autoSpaceDN w:val="0"/>
        <w:adjustRightInd w:val="0"/>
        <w:spacing w:after="120" w:line="240" w:lineRule="auto"/>
        <w:jc w:val="both"/>
        <w:rPr>
          <w:rFonts w:ascii="Arial" w:eastAsia="SimSun" w:hAnsi="Arial" w:cs="Arial"/>
          <w:color w:val="auto"/>
          <w:sz w:val="18"/>
          <w:szCs w:val="18"/>
          <w:lang w:eastAsia="en-US"/>
        </w:rPr>
      </w:pPr>
    </w:p>
    <w:p w14:paraId="7772FF08" w14:textId="77777777" w:rsidR="00717BA5" w:rsidRPr="00717BA5" w:rsidRDefault="00717BA5" w:rsidP="00717BA5">
      <w:pPr>
        <w:autoSpaceDE w:val="0"/>
        <w:autoSpaceDN w:val="0"/>
        <w:adjustRightInd w:val="0"/>
        <w:spacing w:after="120" w:line="240" w:lineRule="auto"/>
        <w:jc w:val="both"/>
        <w:rPr>
          <w:rFonts w:ascii="Arial" w:eastAsia="SimSun" w:hAnsi="Arial" w:cs="Arial"/>
          <w:color w:val="auto"/>
          <w:sz w:val="18"/>
          <w:szCs w:val="18"/>
          <w:lang w:eastAsia="en-US"/>
        </w:rPr>
      </w:pPr>
    </w:p>
    <w:p w14:paraId="7C5B7647" w14:textId="77777777" w:rsidR="00717BA5" w:rsidRPr="00717BA5" w:rsidRDefault="00717BA5" w:rsidP="00AD084F">
      <w:pPr>
        <w:spacing w:before="240" w:after="240" w:line="240" w:lineRule="auto"/>
        <w:jc w:val="both"/>
        <w:outlineLvl w:val="1"/>
        <w:rPr>
          <w:rFonts w:ascii="Arial" w:eastAsia="Times New Roman" w:hAnsi="Arial" w:cs="Arial"/>
          <w:b/>
          <w:bCs/>
          <w:color w:val="auto"/>
          <w:sz w:val="24"/>
          <w:szCs w:val="24"/>
          <w:lang w:val="en-AU"/>
        </w:rPr>
      </w:pPr>
      <w:r w:rsidRPr="00717BA5">
        <w:rPr>
          <w:rFonts w:ascii="Arial" w:eastAsia="Times New Roman" w:hAnsi="Arial" w:cs="Arial"/>
          <w:b/>
          <w:bCs/>
          <w:i/>
          <w:iCs/>
          <w:color w:val="auto"/>
          <w:sz w:val="24"/>
          <w:szCs w:val="24"/>
          <w:lang w:val="en-AU"/>
        </w:rPr>
        <w:br w:type="page"/>
      </w:r>
      <w:bookmarkStart w:id="151" w:name="_Toc240533558"/>
      <w:r w:rsidRPr="00717BA5">
        <w:rPr>
          <w:rFonts w:ascii="Arial" w:eastAsia="Times New Roman" w:hAnsi="Arial" w:cs="Arial"/>
          <w:b/>
          <w:bCs/>
          <w:color w:val="auto"/>
          <w:sz w:val="24"/>
          <w:szCs w:val="24"/>
          <w:lang w:val="en-AU"/>
        </w:rPr>
        <w:lastRenderedPageBreak/>
        <w:t>NOTE 22.   BUDGETARY REPORTING – CONTINUED</w:t>
      </w:r>
      <w:bookmarkEnd w:id="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2"/>
        <w:gridCol w:w="1149"/>
        <w:gridCol w:w="1009"/>
        <w:gridCol w:w="1011"/>
        <w:gridCol w:w="1015"/>
        <w:gridCol w:w="4180"/>
      </w:tblGrid>
      <w:tr w:rsidR="00717BA5" w:rsidRPr="00717BA5" w14:paraId="147C9AB4" w14:textId="77777777" w:rsidTr="00F0752D">
        <w:tc>
          <w:tcPr>
            <w:tcW w:w="854" w:type="pct"/>
          </w:tcPr>
          <w:p w14:paraId="5BD56EE3" w14:textId="77777777" w:rsidR="00717BA5" w:rsidRPr="00717BA5" w:rsidRDefault="00717BA5" w:rsidP="00717BA5">
            <w:pPr>
              <w:spacing w:after="0" w:line="240" w:lineRule="auto"/>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Cashflow Statement Line Items</w:t>
            </w:r>
          </w:p>
        </w:tc>
        <w:tc>
          <w:tcPr>
            <w:tcW w:w="570" w:type="pct"/>
            <w:vAlign w:val="bottom"/>
          </w:tcPr>
          <w:p w14:paraId="260BE64A"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Actual</w:t>
            </w:r>
            <w:r w:rsidRPr="00717BA5">
              <w:rPr>
                <w:rFonts w:ascii="Arial" w:eastAsia="SimSun" w:hAnsi="Arial" w:cs="Arial"/>
                <w:b/>
                <w:color w:val="auto"/>
                <w:sz w:val="18"/>
                <w:szCs w:val="18"/>
                <w:lang w:val="en-AU" w:eastAsia="en-US"/>
              </w:rPr>
              <w:br/>
              <w:t>2025-26</w:t>
            </w:r>
          </w:p>
          <w:p w14:paraId="318E66F9"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b/>
                <w:color w:val="auto"/>
                <w:sz w:val="18"/>
                <w:szCs w:val="18"/>
                <w:lang w:val="en-AU" w:eastAsia="en-US"/>
              </w:rPr>
              <w:t>$’000</w:t>
            </w:r>
          </w:p>
        </w:tc>
        <w:tc>
          <w:tcPr>
            <w:tcW w:w="500" w:type="pct"/>
            <w:vAlign w:val="bottom"/>
          </w:tcPr>
          <w:p w14:paraId="3F1119E0"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Original</w:t>
            </w:r>
          </w:p>
          <w:p w14:paraId="0E1A81CA" w14:textId="6C2CF0B4"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Budget</w:t>
            </w:r>
            <w:r w:rsidR="00FC0A57">
              <w:rPr>
                <w:rFonts w:ascii="ZWAdobeF" w:eastAsia="SimSun" w:hAnsi="ZWAdobeF" w:cs="ZWAdobeF"/>
                <w:color w:val="auto"/>
                <w:sz w:val="2"/>
                <w:szCs w:val="2"/>
                <w:lang w:val="en-AU" w:eastAsia="en-US"/>
              </w:rPr>
              <w:t>22F</w:t>
            </w:r>
            <w:r w:rsidRPr="00717BA5">
              <w:rPr>
                <w:rFonts w:ascii="Arial" w:eastAsia="SimSun" w:hAnsi="Arial" w:cs="Arial"/>
                <w:b/>
                <w:color w:val="auto"/>
                <w:sz w:val="18"/>
                <w:szCs w:val="18"/>
                <w:vertAlign w:val="superscript"/>
                <w:lang w:val="en-AU" w:eastAsia="en-US"/>
              </w:rPr>
              <w:footnoteReference w:id="24"/>
            </w:r>
          </w:p>
          <w:p w14:paraId="29F1ECF0"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2025-26</w:t>
            </w:r>
          </w:p>
          <w:p w14:paraId="411B82C3" w14:textId="77777777" w:rsidR="00717BA5" w:rsidRPr="00717BA5" w:rsidRDefault="00717BA5" w:rsidP="00717BA5">
            <w:pPr>
              <w:spacing w:after="0" w:line="240" w:lineRule="auto"/>
              <w:jc w:val="center"/>
              <w:rPr>
                <w:rFonts w:ascii="Arial" w:eastAsia="SimSun" w:hAnsi="Arial" w:cs="Arial"/>
                <w:color w:val="000000"/>
                <w:sz w:val="18"/>
                <w:szCs w:val="18"/>
                <w:lang w:val="en-AU" w:eastAsia="en-US"/>
              </w:rPr>
            </w:pPr>
            <w:r w:rsidRPr="00717BA5">
              <w:rPr>
                <w:rFonts w:ascii="Arial" w:eastAsia="SimSun" w:hAnsi="Arial" w:cs="Arial"/>
                <w:b/>
                <w:color w:val="auto"/>
                <w:sz w:val="18"/>
                <w:szCs w:val="18"/>
                <w:lang w:val="en-AU" w:eastAsia="en-US"/>
              </w:rPr>
              <w:t>$’000</w:t>
            </w:r>
          </w:p>
        </w:tc>
        <w:tc>
          <w:tcPr>
            <w:tcW w:w="501" w:type="pct"/>
            <w:vAlign w:val="bottom"/>
          </w:tcPr>
          <w:p w14:paraId="577448EE"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Variance</w:t>
            </w:r>
          </w:p>
          <w:p w14:paraId="231EC75A"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p>
          <w:p w14:paraId="6ED288F5"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p>
          <w:p w14:paraId="1DDD00DD"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b/>
                <w:color w:val="auto"/>
                <w:sz w:val="18"/>
                <w:szCs w:val="18"/>
                <w:lang w:val="en-AU" w:eastAsia="en-US"/>
              </w:rPr>
              <w:t>$’000</w:t>
            </w:r>
          </w:p>
        </w:tc>
        <w:tc>
          <w:tcPr>
            <w:tcW w:w="503" w:type="pct"/>
            <w:vAlign w:val="bottom"/>
          </w:tcPr>
          <w:p w14:paraId="4276DA74"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r w:rsidRPr="00717BA5">
              <w:rPr>
                <w:rFonts w:ascii="Arial" w:eastAsia="SimSun" w:hAnsi="Arial" w:cs="Arial"/>
                <w:b/>
                <w:color w:val="auto"/>
                <w:sz w:val="18"/>
                <w:szCs w:val="18"/>
                <w:lang w:val="en-AU" w:eastAsia="en-US"/>
              </w:rPr>
              <w:t>Variance</w:t>
            </w:r>
          </w:p>
          <w:p w14:paraId="64A76882" w14:textId="77777777" w:rsidR="00717BA5" w:rsidRPr="00717BA5" w:rsidRDefault="00717BA5" w:rsidP="00717BA5">
            <w:pPr>
              <w:spacing w:after="0" w:line="240" w:lineRule="auto"/>
              <w:jc w:val="center"/>
              <w:rPr>
                <w:rFonts w:ascii="Arial" w:eastAsia="SimSun" w:hAnsi="Arial" w:cs="Arial"/>
                <w:b/>
                <w:color w:val="auto"/>
                <w:sz w:val="18"/>
                <w:szCs w:val="18"/>
                <w:lang w:val="en-AU" w:eastAsia="en-US"/>
              </w:rPr>
            </w:pPr>
          </w:p>
          <w:p w14:paraId="0561314D"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b/>
                <w:color w:val="auto"/>
                <w:sz w:val="18"/>
                <w:szCs w:val="18"/>
                <w:lang w:val="en-AU" w:eastAsia="en-US"/>
              </w:rPr>
              <w:t>%</w:t>
            </w:r>
          </w:p>
        </w:tc>
        <w:tc>
          <w:tcPr>
            <w:tcW w:w="2072" w:type="pct"/>
            <w:vAlign w:val="center"/>
          </w:tcPr>
          <w:p w14:paraId="7CAD03ED"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b/>
                <w:color w:val="auto"/>
                <w:sz w:val="18"/>
                <w:szCs w:val="18"/>
                <w:lang w:val="en-AU" w:eastAsia="en-US"/>
              </w:rPr>
              <w:t>Variance Explanation</w:t>
            </w:r>
          </w:p>
        </w:tc>
      </w:tr>
      <w:tr w:rsidR="00717BA5" w:rsidRPr="00717BA5" w14:paraId="1A2D067F" w14:textId="77777777" w:rsidTr="00F0752D">
        <w:tc>
          <w:tcPr>
            <w:tcW w:w="854" w:type="pct"/>
          </w:tcPr>
          <w:p w14:paraId="0B47ABC2"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Payments of Long Service Leave Benefits</w:t>
            </w:r>
          </w:p>
        </w:tc>
        <w:tc>
          <w:tcPr>
            <w:tcW w:w="570" w:type="pct"/>
          </w:tcPr>
          <w:p w14:paraId="5794E613"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33,266</w:t>
            </w:r>
          </w:p>
        </w:tc>
        <w:tc>
          <w:tcPr>
            <w:tcW w:w="500" w:type="pct"/>
          </w:tcPr>
          <w:p w14:paraId="064B5460" w14:textId="77777777" w:rsidR="00717BA5" w:rsidRPr="00717BA5" w:rsidRDefault="00717BA5" w:rsidP="00717BA5">
            <w:pPr>
              <w:spacing w:after="0" w:line="240" w:lineRule="auto"/>
              <w:jc w:val="center"/>
              <w:rPr>
                <w:rFonts w:ascii="Arial" w:eastAsia="SimSun" w:hAnsi="Arial" w:cs="Arial"/>
                <w:color w:val="000000"/>
                <w:sz w:val="18"/>
                <w:szCs w:val="18"/>
                <w:lang w:val="en-AU" w:eastAsia="en-US"/>
              </w:rPr>
            </w:pPr>
            <w:r w:rsidRPr="00717BA5">
              <w:rPr>
                <w:rFonts w:ascii="Arial" w:eastAsia="SimSun" w:hAnsi="Arial" w:cs="Arial"/>
                <w:color w:val="000000"/>
                <w:sz w:val="18"/>
                <w:szCs w:val="18"/>
                <w:lang w:val="en-AU" w:eastAsia="en-US"/>
              </w:rPr>
              <w:t>24,992</w:t>
            </w:r>
          </w:p>
        </w:tc>
        <w:tc>
          <w:tcPr>
            <w:tcW w:w="501" w:type="pct"/>
          </w:tcPr>
          <w:p w14:paraId="12F0A8D1"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8,274</w:t>
            </w:r>
          </w:p>
        </w:tc>
        <w:tc>
          <w:tcPr>
            <w:tcW w:w="503" w:type="pct"/>
          </w:tcPr>
          <w:p w14:paraId="35890769"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33%</w:t>
            </w:r>
          </w:p>
        </w:tc>
        <w:tc>
          <w:tcPr>
            <w:tcW w:w="2072" w:type="pct"/>
          </w:tcPr>
          <w:p w14:paraId="64EE046F" w14:textId="77777777" w:rsidR="00717BA5" w:rsidRPr="00717BA5" w:rsidRDefault="00717BA5" w:rsidP="00717BA5">
            <w:pPr>
              <w:spacing w:after="0" w:line="240" w:lineRule="auto"/>
              <w:rPr>
                <w:rFonts w:ascii="Arial" w:eastAsia="SimSun" w:hAnsi="Arial" w:cs="Arial"/>
                <w:color w:val="auto"/>
                <w:sz w:val="18"/>
                <w:szCs w:val="18"/>
                <w:highlight w:val="yellow"/>
                <w:lang w:val="en-AU" w:eastAsia="en-US"/>
              </w:rPr>
            </w:pPr>
            <w:r w:rsidRPr="00717BA5">
              <w:rPr>
                <w:rFonts w:ascii="Arial" w:eastAsia="SimSun" w:hAnsi="Arial" w:cs="Arial"/>
                <w:color w:val="auto"/>
                <w:sz w:val="18"/>
                <w:szCs w:val="18"/>
                <w:lang w:val="en-AU" w:eastAsia="en-US"/>
              </w:rPr>
              <w:t>ACT Leave experienced a higher-than-expected value of Long Service Leave Benefits claims in 2025-26. This was partially caused by higher than usual employer reimbursement claims, particularly in the Security, Services and Community Schemes due to factors affecting registered employers in these industries.</w:t>
            </w:r>
          </w:p>
        </w:tc>
      </w:tr>
      <w:tr w:rsidR="00717BA5" w:rsidRPr="00717BA5" w14:paraId="1394C258" w14:textId="77777777" w:rsidTr="00F0752D">
        <w:tc>
          <w:tcPr>
            <w:tcW w:w="854" w:type="pct"/>
          </w:tcPr>
          <w:p w14:paraId="4C5EE664"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Proceeds from Sale of Investments</w:t>
            </w:r>
          </w:p>
        </w:tc>
        <w:tc>
          <w:tcPr>
            <w:tcW w:w="570" w:type="pct"/>
          </w:tcPr>
          <w:p w14:paraId="6FB96344"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2,200</w:t>
            </w:r>
          </w:p>
        </w:tc>
        <w:tc>
          <w:tcPr>
            <w:tcW w:w="500" w:type="pct"/>
          </w:tcPr>
          <w:p w14:paraId="362218D9" w14:textId="77777777" w:rsidR="00717BA5" w:rsidRPr="00717BA5" w:rsidRDefault="00717BA5" w:rsidP="00717BA5">
            <w:pPr>
              <w:spacing w:after="0" w:line="240" w:lineRule="auto"/>
              <w:jc w:val="center"/>
              <w:rPr>
                <w:rFonts w:ascii="Arial" w:eastAsia="SimSun" w:hAnsi="Arial" w:cs="Arial"/>
                <w:color w:val="000000"/>
                <w:sz w:val="18"/>
                <w:szCs w:val="18"/>
                <w:lang w:val="en-AU" w:eastAsia="en-US"/>
              </w:rPr>
            </w:pPr>
            <w:r w:rsidRPr="00717BA5">
              <w:rPr>
                <w:rFonts w:ascii="Arial" w:eastAsia="SimSun" w:hAnsi="Arial" w:cs="Arial"/>
                <w:color w:val="000000"/>
                <w:sz w:val="18"/>
                <w:szCs w:val="18"/>
                <w:lang w:val="en-AU" w:eastAsia="en-US"/>
              </w:rPr>
              <w:t>500</w:t>
            </w:r>
          </w:p>
        </w:tc>
        <w:tc>
          <w:tcPr>
            <w:tcW w:w="501" w:type="pct"/>
          </w:tcPr>
          <w:p w14:paraId="551FFB19"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1,700</w:t>
            </w:r>
          </w:p>
        </w:tc>
        <w:tc>
          <w:tcPr>
            <w:tcW w:w="503" w:type="pct"/>
          </w:tcPr>
          <w:p w14:paraId="46F0C5BF"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340%</w:t>
            </w:r>
          </w:p>
        </w:tc>
        <w:tc>
          <w:tcPr>
            <w:tcW w:w="2072" w:type="pct"/>
          </w:tcPr>
          <w:p w14:paraId="1DDF1E29" w14:textId="77777777" w:rsidR="00717BA5" w:rsidRPr="00717BA5" w:rsidRDefault="00717BA5" w:rsidP="00717BA5">
            <w:pPr>
              <w:spacing w:after="0" w:line="240" w:lineRule="auto"/>
              <w:rPr>
                <w:rFonts w:ascii="Arial" w:eastAsia="SimSun" w:hAnsi="Arial" w:cs="Arial"/>
                <w:color w:val="auto"/>
                <w:sz w:val="18"/>
                <w:szCs w:val="18"/>
                <w:highlight w:val="yellow"/>
                <w:lang w:val="en-AU" w:eastAsia="en-US"/>
              </w:rPr>
            </w:pPr>
            <w:r w:rsidRPr="00717BA5">
              <w:rPr>
                <w:rFonts w:ascii="Arial" w:eastAsia="SimSun" w:hAnsi="Arial" w:cs="Arial"/>
                <w:color w:val="auto"/>
                <w:sz w:val="18"/>
                <w:szCs w:val="18"/>
                <w:lang w:val="en-AU" w:eastAsia="en-US"/>
              </w:rPr>
              <w:t>Proceeds from Sales of Investment were higher than budgeted as cash was required for the Services and Security Schemes to pay higher than expected long service leave benefits.</w:t>
            </w:r>
          </w:p>
        </w:tc>
      </w:tr>
      <w:tr w:rsidR="00717BA5" w:rsidRPr="00717BA5" w14:paraId="4CA1E91F" w14:textId="77777777" w:rsidTr="00F0752D">
        <w:tc>
          <w:tcPr>
            <w:tcW w:w="854" w:type="pct"/>
          </w:tcPr>
          <w:p w14:paraId="4CF06D54" w14:textId="77777777" w:rsidR="00717BA5" w:rsidRPr="00717BA5" w:rsidRDefault="00717BA5" w:rsidP="00717BA5">
            <w:pPr>
              <w:spacing w:after="0" w:line="240" w:lineRule="auto"/>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Purchase of Investments</w:t>
            </w:r>
          </w:p>
        </w:tc>
        <w:tc>
          <w:tcPr>
            <w:tcW w:w="570" w:type="pct"/>
          </w:tcPr>
          <w:p w14:paraId="3E9F14AB"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9,230</w:t>
            </w:r>
          </w:p>
        </w:tc>
        <w:tc>
          <w:tcPr>
            <w:tcW w:w="500" w:type="pct"/>
          </w:tcPr>
          <w:p w14:paraId="77E8C633" w14:textId="77777777" w:rsidR="00717BA5" w:rsidRPr="00717BA5" w:rsidRDefault="00717BA5" w:rsidP="00717BA5">
            <w:pPr>
              <w:spacing w:after="0" w:line="240" w:lineRule="auto"/>
              <w:jc w:val="center"/>
              <w:rPr>
                <w:rFonts w:ascii="Arial" w:eastAsia="SimSun" w:hAnsi="Arial" w:cs="Arial"/>
                <w:color w:val="000000"/>
                <w:sz w:val="18"/>
                <w:szCs w:val="18"/>
                <w:lang w:val="en-AU" w:eastAsia="en-US"/>
              </w:rPr>
            </w:pPr>
            <w:r w:rsidRPr="00717BA5">
              <w:rPr>
                <w:rFonts w:ascii="Arial" w:eastAsia="SimSun" w:hAnsi="Arial" w:cs="Arial"/>
                <w:color w:val="000000"/>
                <w:sz w:val="18"/>
                <w:szCs w:val="18"/>
                <w:lang w:val="en-AU" w:eastAsia="en-US"/>
              </w:rPr>
              <w:t>13,900</w:t>
            </w:r>
          </w:p>
        </w:tc>
        <w:tc>
          <w:tcPr>
            <w:tcW w:w="501" w:type="pct"/>
          </w:tcPr>
          <w:p w14:paraId="380889D0"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(4,670)</w:t>
            </w:r>
          </w:p>
        </w:tc>
        <w:tc>
          <w:tcPr>
            <w:tcW w:w="503" w:type="pct"/>
          </w:tcPr>
          <w:p w14:paraId="3A9BD0FF" w14:textId="77777777" w:rsidR="00717BA5" w:rsidRPr="00717BA5" w:rsidRDefault="00717BA5" w:rsidP="00717BA5">
            <w:pPr>
              <w:spacing w:after="0" w:line="240" w:lineRule="auto"/>
              <w:jc w:val="center"/>
              <w:rPr>
                <w:rFonts w:ascii="Arial" w:eastAsia="SimSun" w:hAnsi="Arial" w:cs="Arial"/>
                <w:color w:val="auto"/>
                <w:sz w:val="18"/>
                <w:szCs w:val="18"/>
                <w:lang w:val="en-AU" w:eastAsia="en-US"/>
              </w:rPr>
            </w:pPr>
            <w:r w:rsidRPr="00717BA5">
              <w:rPr>
                <w:rFonts w:ascii="Arial" w:eastAsia="SimSun" w:hAnsi="Arial" w:cs="Arial"/>
                <w:color w:val="auto"/>
                <w:sz w:val="18"/>
                <w:szCs w:val="18"/>
                <w:lang w:val="en-AU" w:eastAsia="en-US"/>
              </w:rPr>
              <w:t>-34%</w:t>
            </w:r>
          </w:p>
        </w:tc>
        <w:tc>
          <w:tcPr>
            <w:tcW w:w="2072" w:type="pct"/>
          </w:tcPr>
          <w:p w14:paraId="06AD97B7" w14:textId="77777777" w:rsidR="00717BA5" w:rsidRPr="00717BA5" w:rsidRDefault="00717BA5" w:rsidP="00717BA5">
            <w:pPr>
              <w:spacing w:after="0" w:line="240" w:lineRule="auto"/>
              <w:rPr>
                <w:rFonts w:ascii="Arial" w:eastAsia="SimSun" w:hAnsi="Arial" w:cs="Arial"/>
                <w:color w:val="auto"/>
                <w:sz w:val="18"/>
                <w:szCs w:val="18"/>
                <w:highlight w:val="yellow"/>
                <w:lang w:val="en-AU" w:eastAsia="en-US"/>
              </w:rPr>
            </w:pPr>
            <w:r w:rsidRPr="00717BA5">
              <w:rPr>
                <w:rFonts w:ascii="Arial" w:eastAsia="SimSun" w:hAnsi="Arial" w:cs="Arial"/>
                <w:color w:val="auto"/>
                <w:sz w:val="18"/>
                <w:szCs w:val="18"/>
                <w:lang w:val="en-AU" w:eastAsia="en-US"/>
              </w:rPr>
              <w:t>Less cash was available for investment as higher cash reserves were required to support higher long service leave benefit payments across the four administered schemes.</w:t>
            </w:r>
          </w:p>
        </w:tc>
      </w:tr>
    </w:tbl>
    <w:p w14:paraId="7A793974" w14:textId="77777777" w:rsidR="00717BA5" w:rsidRPr="00717BA5" w:rsidRDefault="00717BA5" w:rsidP="00717BA5">
      <w:pPr>
        <w:spacing w:after="0" w:line="240" w:lineRule="auto"/>
        <w:rPr>
          <w:rFonts w:ascii="Arial" w:eastAsia="SimSun" w:hAnsi="Arial" w:cs="Arial"/>
          <w:color w:val="auto"/>
          <w:lang w:val="en-AU"/>
        </w:rPr>
      </w:pPr>
    </w:p>
    <w:p w14:paraId="33309785" w14:textId="77777777" w:rsidR="00057430" w:rsidRPr="00057430" w:rsidRDefault="00057430" w:rsidP="006E0242">
      <w:pPr>
        <w:rPr>
          <w:lang w:val="en-AU" w:eastAsia="en-US"/>
        </w:rPr>
        <w:sectPr w:rsidR="00057430" w:rsidRPr="00057430" w:rsidSect="005F0303">
          <w:headerReference w:type="default" r:id="rId79"/>
          <w:footerReference w:type="default" r:id="rId80"/>
          <w:pgSz w:w="11910" w:h="16840"/>
          <w:pgMar w:top="1202" w:right="907" w:bottom="851" w:left="907" w:header="709" w:footer="709" w:gutter="0"/>
          <w:cols w:space="720"/>
          <w:docGrid w:linePitch="299"/>
        </w:sectPr>
      </w:pPr>
    </w:p>
    <w:p w14:paraId="2E1EC684" w14:textId="49A374FD" w:rsidR="00583F3E" w:rsidRPr="00BB2758" w:rsidRDefault="0028211D" w:rsidP="006E0242">
      <w:pPr>
        <w:pStyle w:val="Heading2NoNumber"/>
      </w:pPr>
      <w:bookmarkStart w:id="152" w:name="_Toc428798642"/>
      <w:bookmarkStart w:id="153" w:name="_Toc19627258"/>
      <w:bookmarkStart w:id="154" w:name="_Toc171087159"/>
      <w:bookmarkStart w:id="155" w:name="_Toc240533559"/>
      <w:bookmarkEnd w:id="74"/>
      <w:bookmarkEnd w:id="75"/>
      <w:bookmarkEnd w:id="76"/>
      <w:bookmarkEnd w:id="79"/>
      <w:bookmarkEnd w:id="80"/>
      <w:r w:rsidRPr="0096125F">
        <w:lastRenderedPageBreak/>
        <w:t>C</w:t>
      </w:r>
      <w:r w:rsidR="00583F3E" w:rsidRPr="0096125F">
        <w:t>3</w:t>
      </w:r>
      <w:r w:rsidR="008C045B" w:rsidRPr="0096125F">
        <w:t>.</w:t>
      </w:r>
      <w:r w:rsidR="00583F3E" w:rsidRPr="0096125F">
        <w:t xml:space="preserve"> Capital </w:t>
      </w:r>
      <w:bookmarkEnd w:id="152"/>
      <w:bookmarkEnd w:id="153"/>
      <w:bookmarkEnd w:id="154"/>
      <w:r w:rsidR="001C6BAC" w:rsidRPr="0096125F">
        <w:t>w</w:t>
      </w:r>
      <w:r w:rsidR="00583F3E" w:rsidRPr="0096125F">
        <w:t>orks</w:t>
      </w:r>
      <w:bookmarkEnd w:id="155"/>
    </w:p>
    <w:p w14:paraId="6DB2738B" w14:textId="3D71F5F3" w:rsidR="00583F3E" w:rsidRPr="00BB2758" w:rsidRDefault="00D01D0C" w:rsidP="006E0242">
      <w:r w:rsidRPr="00BB2758">
        <w:t xml:space="preserve">There were no </w:t>
      </w:r>
      <w:r w:rsidR="00583F3E" w:rsidRPr="00BB2758">
        <w:t xml:space="preserve">capital projects or works undertaken during </w:t>
      </w:r>
      <w:r w:rsidRPr="00BB2758">
        <w:t>the year</w:t>
      </w:r>
      <w:r w:rsidR="00583F3E" w:rsidRPr="00BB2758">
        <w:t xml:space="preserve">. </w:t>
      </w:r>
    </w:p>
    <w:p w14:paraId="24F3618F" w14:textId="58BCAE1F" w:rsidR="00583F3E" w:rsidRPr="00E47C50" w:rsidRDefault="0028211D" w:rsidP="006E0242">
      <w:pPr>
        <w:pStyle w:val="Heading2NoNumber"/>
      </w:pPr>
      <w:bookmarkStart w:id="156" w:name="_Toc428798643"/>
      <w:bookmarkStart w:id="157" w:name="_Toc19627259"/>
      <w:bookmarkStart w:id="158" w:name="_Toc171087160"/>
      <w:bookmarkStart w:id="159" w:name="_Toc240533560"/>
      <w:r w:rsidRPr="00E47C50">
        <w:t>C</w:t>
      </w:r>
      <w:r w:rsidR="00583F3E" w:rsidRPr="00E47C50">
        <w:t>4</w:t>
      </w:r>
      <w:r w:rsidR="008C045B" w:rsidRPr="00E47C50">
        <w:t>.</w:t>
      </w:r>
      <w:r w:rsidR="00583F3E" w:rsidRPr="00E47C50">
        <w:t xml:space="preserve"> </w:t>
      </w:r>
      <w:bookmarkEnd w:id="156"/>
      <w:bookmarkEnd w:id="157"/>
      <w:bookmarkEnd w:id="158"/>
      <w:r w:rsidR="00583F3E" w:rsidRPr="00E47C50">
        <w:t xml:space="preserve">Asset </w:t>
      </w:r>
      <w:r w:rsidR="001C6BAC" w:rsidRPr="00E47C50">
        <w:t>m</w:t>
      </w:r>
      <w:r w:rsidR="00583F3E" w:rsidRPr="00E47C50">
        <w:t>anagement</w:t>
      </w:r>
      <w:bookmarkEnd w:id="159"/>
    </w:p>
    <w:p w14:paraId="27F26612" w14:textId="27F5287A" w:rsidR="00583F3E" w:rsidRPr="00E47C50" w:rsidRDefault="000E5BB8" w:rsidP="006E0242">
      <w:r w:rsidRPr="00E47C50">
        <w:t>ACT Leave</w:t>
      </w:r>
      <w:r w:rsidR="00583F3E" w:rsidRPr="00E47C50">
        <w:t xml:space="preserve"> managed a total of </w:t>
      </w:r>
      <w:r w:rsidR="00583F3E" w:rsidRPr="00203AAB">
        <w:rPr>
          <w:color w:val="auto"/>
        </w:rPr>
        <w:t>$</w:t>
      </w:r>
      <w:r w:rsidR="00203AAB" w:rsidRPr="00203AAB">
        <w:rPr>
          <w:color w:val="auto"/>
        </w:rPr>
        <w:t>409</w:t>
      </w:r>
      <w:r w:rsidR="00BA52F7">
        <w:rPr>
          <w:color w:val="auto"/>
        </w:rPr>
        <w:t>.</w:t>
      </w:r>
      <w:r w:rsidR="00203AAB" w:rsidRPr="00203AAB">
        <w:rPr>
          <w:color w:val="auto"/>
        </w:rPr>
        <w:t>38</w:t>
      </w:r>
      <w:r w:rsidR="00583F3E" w:rsidRPr="00203AAB">
        <w:rPr>
          <w:color w:val="auto"/>
        </w:rPr>
        <w:t xml:space="preserve"> </w:t>
      </w:r>
      <w:r w:rsidR="00583F3E" w:rsidRPr="00E47C50">
        <w:t>million assets as at 30 June 202</w:t>
      </w:r>
      <w:r w:rsidR="00F10AD2">
        <w:t>6</w:t>
      </w:r>
      <w:r w:rsidR="00583F3E" w:rsidRPr="00E47C50">
        <w:t xml:space="preserve">. Within the total assets, </w:t>
      </w:r>
      <w:r w:rsidR="00583F3E" w:rsidRPr="00367BE1">
        <w:rPr>
          <w:color w:val="auto"/>
        </w:rPr>
        <w:t>$</w:t>
      </w:r>
      <w:r w:rsidR="00322FDB" w:rsidRPr="00367BE1">
        <w:rPr>
          <w:color w:val="auto"/>
        </w:rPr>
        <w:t>380</w:t>
      </w:r>
      <w:r w:rsidR="00BA52F7">
        <w:rPr>
          <w:color w:val="auto"/>
        </w:rPr>
        <w:t>.</w:t>
      </w:r>
      <w:r w:rsidR="00322FDB" w:rsidRPr="00367BE1">
        <w:rPr>
          <w:color w:val="auto"/>
        </w:rPr>
        <w:t>27</w:t>
      </w:r>
      <w:r w:rsidR="00583F3E" w:rsidRPr="00367BE1">
        <w:rPr>
          <w:color w:val="auto"/>
        </w:rPr>
        <w:t xml:space="preserve"> </w:t>
      </w:r>
      <w:r w:rsidR="00583F3E" w:rsidRPr="00E47C50">
        <w:t xml:space="preserve">million is invested in wholesale managed funds with Vanguard Australia, achieving an average of </w:t>
      </w:r>
      <w:r w:rsidR="00E8380E" w:rsidRPr="00E8380E">
        <w:rPr>
          <w:color w:val="auto"/>
        </w:rPr>
        <w:t>6.</w:t>
      </w:r>
      <w:r w:rsidR="00F72454">
        <w:rPr>
          <w:color w:val="auto"/>
        </w:rPr>
        <w:t>79</w:t>
      </w:r>
      <w:r w:rsidR="00583F3E" w:rsidRPr="00E8380E">
        <w:rPr>
          <w:color w:val="auto"/>
        </w:rPr>
        <w:t xml:space="preserve">% </w:t>
      </w:r>
      <w:r w:rsidR="00583F3E" w:rsidRPr="00E47C50">
        <w:t xml:space="preserve">return per annum in </w:t>
      </w:r>
      <w:r w:rsidR="000F3C03" w:rsidRPr="00E47C50">
        <w:t>2025-26</w:t>
      </w:r>
      <w:r w:rsidR="00583F3E" w:rsidRPr="00E47C50">
        <w:t>. Other assets were cash ($</w:t>
      </w:r>
      <w:r w:rsidR="00367BE1" w:rsidRPr="00367BE1">
        <w:rPr>
          <w:color w:val="auto"/>
        </w:rPr>
        <w:t>8</w:t>
      </w:r>
      <w:r w:rsidR="00BA52F7">
        <w:rPr>
          <w:color w:val="auto"/>
        </w:rPr>
        <w:t>.</w:t>
      </w:r>
      <w:r w:rsidR="00367BE1" w:rsidRPr="00367BE1">
        <w:rPr>
          <w:color w:val="auto"/>
        </w:rPr>
        <w:t>50</w:t>
      </w:r>
      <w:r w:rsidR="00583F3E" w:rsidRPr="00367BE1">
        <w:rPr>
          <w:color w:val="auto"/>
        </w:rPr>
        <w:t xml:space="preserve"> </w:t>
      </w:r>
      <w:r w:rsidR="00583F3E" w:rsidRPr="00E47C50">
        <w:t>million), receivables ($</w:t>
      </w:r>
      <w:r w:rsidR="00DA5FC9" w:rsidRPr="00DA5FC9">
        <w:rPr>
          <w:color w:val="auto"/>
        </w:rPr>
        <w:t>19.0</w:t>
      </w:r>
      <w:r w:rsidR="00306646">
        <w:rPr>
          <w:color w:val="auto"/>
        </w:rPr>
        <w:t>7</w:t>
      </w:r>
      <w:r w:rsidR="00583F3E" w:rsidRPr="00DA5FC9">
        <w:rPr>
          <w:color w:val="auto"/>
        </w:rPr>
        <w:t xml:space="preserve"> </w:t>
      </w:r>
      <w:r w:rsidR="00583F3E" w:rsidRPr="00E47C50">
        <w:t>million), intangible assets ($</w:t>
      </w:r>
      <w:r w:rsidR="00583F3E" w:rsidRPr="0030660D">
        <w:rPr>
          <w:color w:val="auto"/>
        </w:rPr>
        <w:t>0.</w:t>
      </w:r>
      <w:r w:rsidR="00BF64BC" w:rsidRPr="0030660D">
        <w:rPr>
          <w:color w:val="auto"/>
        </w:rPr>
        <w:t>0</w:t>
      </w:r>
      <w:r w:rsidR="0030660D" w:rsidRPr="0030660D">
        <w:rPr>
          <w:color w:val="auto"/>
        </w:rPr>
        <w:t>3</w:t>
      </w:r>
      <w:r w:rsidR="00583F3E" w:rsidRPr="0030660D">
        <w:rPr>
          <w:color w:val="auto"/>
        </w:rPr>
        <w:t xml:space="preserve"> </w:t>
      </w:r>
      <w:r w:rsidR="00583F3E" w:rsidRPr="00E47C50">
        <w:t>million), property, plant and equipment ($</w:t>
      </w:r>
      <w:r w:rsidR="00583F3E" w:rsidRPr="00244859">
        <w:rPr>
          <w:color w:val="auto"/>
        </w:rPr>
        <w:t>1.</w:t>
      </w:r>
      <w:r w:rsidR="00244859" w:rsidRPr="00244859">
        <w:rPr>
          <w:color w:val="auto"/>
        </w:rPr>
        <w:t>5</w:t>
      </w:r>
      <w:r w:rsidR="003440D7" w:rsidRPr="00244859">
        <w:rPr>
          <w:color w:val="auto"/>
        </w:rPr>
        <w:t>0</w:t>
      </w:r>
      <w:r w:rsidR="00583F3E" w:rsidRPr="00244859">
        <w:rPr>
          <w:color w:val="auto"/>
        </w:rPr>
        <w:t xml:space="preserve"> </w:t>
      </w:r>
      <w:r w:rsidR="00583F3E" w:rsidRPr="00E47C50">
        <w:t>million) and prepayments ($</w:t>
      </w:r>
      <w:r w:rsidR="00583F3E" w:rsidRPr="0030660D">
        <w:rPr>
          <w:color w:val="auto"/>
        </w:rPr>
        <w:t>0.0</w:t>
      </w:r>
      <w:r w:rsidR="0030660D" w:rsidRPr="0030660D">
        <w:rPr>
          <w:color w:val="auto"/>
        </w:rPr>
        <w:t>1</w:t>
      </w:r>
      <w:r w:rsidR="00583F3E" w:rsidRPr="0030660D">
        <w:rPr>
          <w:color w:val="auto"/>
        </w:rPr>
        <w:t xml:space="preserve"> </w:t>
      </w:r>
      <w:r w:rsidR="00583F3E" w:rsidRPr="00E47C50">
        <w:t xml:space="preserve">million). </w:t>
      </w:r>
    </w:p>
    <w:p w14:paraId="19428015" w14:textId="18668360" w:rsidR="00583F3E" w:rsidRPr="00E47C50" w:rsidRDefault="00C66D17" w:rsidP="00B41368">
      <w:pPr>
        <w:pStyle w:val="Heading3NoNumber"/>
        <w:rPr>
          <w:rFonts w:cs="Arial"/>
        </w:rPr>
      </w:pPr>
      <w:bookmarkStart w:id="160" w:name="_Toc171087161"/>
      <w:bookmarkStart w:id="161" w:name="_Toc176166223"/>
      <w:bookmarkStart w:id="162" w:name="_Toc176166521"/>
      <w:r w:rsidRPr="00E47C50">
        <w:rPr>
          <w:rFonts w:cs="Arial"/>
        </w:rPr>
        <w:t>C</w:t>
      </w:r>
      <w:r w:rsidR="00583F3E" w:rsidRPr="00E47C50">
        <w:rPr>
          <w:rFonts w:cs="Arial"/>
        </w:rPr>
        <w:t>ash and cash equivalents</w:t>
      </w:r>
      <w:bookmarkEnd w:id="160"/>
      <w:bookmarkEnd w:id="161"/>
      <w:bookmarkEnd w:id="162"/>
    </w:p>
    <w:p w14:paraId="27385A4E" w14:textId="26F43E12" w:rsidR="00583F3E" w:rsidRPr="00E47C50" w:rsidRDefault="000E5BB8" w:rsidP="006E0242">
      <w:r w:rsidRPr="00E47C50">
        <w:t>ACT Leave</w:t>
      </w:r>
      <w:r w:rsidR="00583F3E" w:rsidRPr="00E47C50">
        <w:t xml:space="preserve"> has </w:t>
      </w:r>
      <w:r w:rsidR="00AD315B">
        <w:t>4</w:t>
      </w:r>
      <w:r w:rsidR="00583F3E" w:rsidRPr="00E47C50">
        <w:t xml:space="preserve"> separate accounts for the </w:t>
      </w:r>
      <w:r w:rsidR="00AD315B">
        <w:t>4</w:t>
      </w:r>
      <w:r w:rsidR="00583F3E" w:rsidRPr="00E47C50">
        <w:t xml:space="preserve"> administered schemes with Westpac as part of the Whole of Government banking contract arrangement. </w:t>
      </w:r>
      <w:r w:rsidR="0007676B">
        <w:t>In accordance with section 79M of the Act, f</w:t>
      </w:r>
      <w:r w:rsidR="00583F3E" w:rsidRPr="00E47C50">
        <w:t>unds for each scheme are held separately in these accounts for the receipting and payment of day-to-day operational income and expenses, including long service leave claims payments.</w:t>
      </w:r>
    </w:p>
    <w:p w14:paraId="37ED3069" w14:textId="543845F1" w:rsidR="00583F3E" w:rsidRPr="00E47C50" w:rsidRDefault="00583F3E" w:rsidP="00B41368">
      <w:pPr>
        <w:pStyle w:val="Heading3NoNumber"/>
        <w:rPr>
          <w:rFonts w:cs="Arial"/>
        </w:rPr>
      </w:pPr>
      <w:bookmarkStart w:id="163" w:name="_Toc171087162"/>
      <w:bookmarkStart w:id="164" w:name="_Toc176166224"/>
      <w:bookmarkStart w:id="165" w:name="_Toc176166522"/>
      <w:r w:rsidRPr="00E47C50">
        <w:rPr>
          <w:rFonts w:cs="Arial"/>
        </w:rPr>
        <w:t>Funds under management</w:t>
      </w:r>
      <w:bookmarkEnd w:id="163"/>
      <w:bookmarkEnd w:id="164"/>
      <w:bookmarkEnd w:id="165"/>
    </w:p>
    <w:p w14:paraId="21671053" w14:textId="2D929075" w:rsidR="00583F3E" w:rsidRPr="00E47C50" w:rsidRDefault="000E5BB8" w:rsidP="006E0242">
      <w:r w:rsidRPr="00E47C50">
        <w:t>ACT Leave</w:t>
      </w:r>
      <w:r w:rsidR="00583F3E" w:rsidRPr="00E47C50">
        <w:t xml:space="preserve"> invests scheme assets in pooled funds managed by Vanguard Australia. Underlying asset allocation is structured in accordance with </w:t>
      </w:r>
      <w:r w:rsidR="00B56ABA" w:rsidRPr="00E47C50">
        <w:t>ACT Leave’s</w:t>
      </w:r>
      <w:r w:rsidR="00583F3E" w:rsidRPr="00E47C50">
        <w:t xml:space="preserve"> </w:t>
      </w:r>
      <w:r w:rsidR="00E970CC" w:rsidRPr="00E47C50">
        <w:t>I</w:t>
      </w:r>
      <w:r w:rsidR="00583F3E" w:rsidRPr="00E47C50">
        <w:t xml:space="preserve">nvestment </w:t>
      </w:r>
      <w:r w:rsidR="00E970CC" w:rsidRPr="00E47C50">
        <w:t>Plan</w:t>
      </w:r>
      <w:r w:rsidR="00583F3E" w:rsidRPr="00E47C50">
        <w:t>, approved by the Treasurer</w:t>
      </w:r>
      <w:r w:rsidR="001A2257" w:rsidRPr="00E47C50">
        <w:t xml:space="preserve">, and available on the </w:t>
      </w:r>
      <w:r w:rsidR="000726A4" w:rsidRPr="00E47C50">
        <w:t xml:space="preserve">Resources page on the </w:t>
      </w:r>
      <w:r w:rsidR="001A2257" w:rsidRPr="00E47C50">
        <w:t xml:space="preserve">ACT Leave </w:t>
      </w:r>
      <w:hyperlink r:id="rId81" w:history="1">
        <w:r w:rsidR="001A2257" w:rsidRPr="0040339F">
          <w:rPr>
            <w:rStyle w:val="Hyperlink"/>
            <w:rFonts w:ascii="Arial" w:hAnsi="Arial" w:cs="Arial"/>
            <w:color w:val="081DA4" w:themeColor="accent1"/>
          </w:rPr>
          <w:t>website</w:t>
        </w:r>
      </w:hyperlink>
      <w:r w:rsidR="00583F3E" w:rsidRPr="0040339F">
        <w:rPr>
          <w:color w:val="081DA4" w:themeColor="accent1"/>
        </w:rPr>
        <w:t>.</w:t>
      </w:r>
    </w:p>
    <w:p w14:paraId="09EA1460" w14:textId="0A5E051A" w:rsidR="00583F3E" w:rsidRPr="00E47C50" w:rsidRDefault="00583F3E" w:rsidP="00B41368">
      <w:pPr>
        <w:pStyle w:val="Heading3NoNumber"/>
        <w:rPr>
          <w:rFonts w:cs="Arial"/>
        </w:rPr>
      </w:pPr>
      <w:bookmarkStart w:id="166" w:name="_Toc171087163"/>
      <w:bookmarkStart w:id="167" w:name="_Toc176166225"/>
      <w:bookmarkStart w:id="168" w:name="_Toc176166523"/>
      <w:r w:rsidRPr="00E47C50">
        <w:rPr>
          <w:rFonts w:cs="Arial"/>
        </w:rPr>
        <w:t xml:space="preserve">Intangible assets </w:t>
      </w:r>
      <w:r w:rsidR="00F40685">
        <w:rPr>
          <w:rFonts w:cs="Arial"/>
        </w:rPr>
        <w:t>–</w:t>
      </w:r>
      <w:r w:rsidRPr="00E47C50">
        <w:rPr>
          <w:rFonts w:cs="Arial"/>
        </w:rPr>
        <w:t xml:space="preserve"> </w:t>
      </w:r>
      <w:r w:rsidR="00A65B91" w:rsidRPr="00E47C50">
        <w:rPr>
          <w:rFonts w:cs="Arial"/>
        </w:rPr>
        <w:t>i</w:t>
      </w:r>
      <w:r w:rsidRPr="00E47C50">
        <w:rPr>
          <w:rFonts w:cs="Arial"/>
        </w:rPr>
        <w:t xml:space="preserve">nformation </w:t>
      </w:r>
      <w:r w:rsidR="00A65B91" w:rsidRPr="00E47C50">
        <w:rPr>
          <w:rFonts w:cs="Arial"/>
        </w:rPr>
        <w:t>t</w:t>
      </w:r>
      <w:r w:rsidRPr="00E47C50">
        <w:rPr>
          <w:rFonts w:cs="Arial"/>
        </w:rPr>
        <w:t xml:space="preserve">echnology and </w:t>
      </w:r>
      <w:bookmarkEnd w:id="166"/>
      <w:bookmarkEnd w:id="167"/>
      <w:bookmarkEnd w:id="168"/>
      <w:r w:rsidR="00A65B91" w:rsidRPr="00E47C50">
        <w:rPr>
          <w:rFonts w:cs="Arial"/>
        </w:rPr>
        <w:t>s</w:t>
      </w:r>
      <w:r w:rsidRPr="00E47C50">
        <w:rPr>
          <w:rFonts w:cs="Arial"/>
        </w:rPr>
        <w:t>oftware</w:t>
      </w:r>
    </w:p>
    <w:p w14:paraId="05215F4E" w14:textId="77777777" w:rsidR="00D81981" w:rsidRPr="00D81981" w:rsidRDefault="00D81981" w:rsidP="00D81981">
      <w:pPr>
        <w:rPr>
          <w:lang w:val="en-AU"/>
        </w:rPr>
      </w:pPr>
      <w:r w:rsidRPr="00D81981">
        <w:rPr>
          <w:lang w:val="en-AU"/>
        </w:rPr>
        <w:t>The new ACT Leave website was developed in 2023 at a cost of $0.054 million and went live on 21 November 2023. The website is ACT Leave's primary digital information and service delivery channel, providing employers, workers and other stakeholders with access to information, online services, forms and resources.</w:t>
      </w:r>
    </w:p>
    <w:p w14:paraId="6C51DA25" w14:textId="77777777" w:rsidR="00D81981" w:rsidRPr="00D81981" w:rsidRDefault="00D81981" w:rsidP="00D81981">
      <w:pPr>
        <w:rPr>
          <w:lang w:val="en-AU"/>
        </w:rPr>
      </w:pPr>
      <w:r w:rsidRPr="00D81981">
        <w:rPr>
          <w:lang w:val="en-AU"/>
        </w:rPr>
        <w:t>The new website introduced a range of enhancements compared to the previous website, including improved functionality, accessibility and user experience. These enhancements included the introduction of language translation functionality, expanded opportunities for digital engagement, and other usability improvements designed to better meet stakeholder needs.</w:t>
      </w:r>
    </w:p>
    <w:p w14:paraId="1B2AC118" w14:textId="77777777" w:rsidR="00D81981" w:rsidRPr="00D81981" w:rsidRDefault="00D81981" w:rsidP="00D81981">
      <w:pPr>
        <w:rPr>
          <w:lang w:val="en-AU"/>
        </w:rPr>
      </w:pPr>
      <w:r w:rsidRPr="00D81981">
        <w:rPr>
          <w:lang w:val="en-AU"/>
        </w:rPr>
        <w:t>Website traffic has continued to grow since the launch of the new website, with annual page views increasing from approximately 150,000 in 2023 to almost 290,000 in 2025, demonstrating increased stakeholder engagement and use of ACT Leave's online services. The website remains ACT Leave's only intangible asset.</w:t>
      </w:r>
    </w:p>
    <w:p w14:paraId="7FB47580" w14:textId="13CAECC6" w:rsidR="00583F3E" w:rsidRPr="00E47C50" w:rsidRDefault="00C66D17" w:rsidP="00B41368">
      <w:pPr>
        <w:pStyle w:val="Heading3NoNumber"/>
        <w:rPr>
          <w:rFonts w:cs="Arial"/>
        </w:rPr>
      </w:pPr>
      <w:bookmarkStart w:id="169" w:name="_Toc171087164"/>
      <w:bookmarkStart w:id="170" w:name="_Toc176166226"/>
      <w:bookmarkStart w:id="171" w:name="_Toc176166524"/>
      <w:r w:rsidRPr="00E47C50">
        <w:rPr>
          <w:rFonts w:cs="Arial"/>
        </w:rPr>
        <w:t>Property, plant, and equipment</w:t>
      </w:r>
      <w:bookmarkEnd w:id="169"/>
      <w:bookmarkEnd w:id="170"/>
      <w:bookmarkEnd w:id="171"/>
    </w:p>
    <w:p w14:paraId="490CAE81" w14:textId="7728C43E" w:rsidR="00583F3E" w:rsidRPr="00E47C50" w:rsidRDefault="000E5BB8" w:rsidP="006E0242">
      <w:r w:rsidRPr="00E47C50">
        <w:t>ACT Leave’s</w:t>
      </w:r>
      <w:r w:rsidR="00583F3E" w:rsidRPr="00E47C50">
        <w:t xml:space="preserve"> property, plant, and equipment </w:t>
      </w:r>
      <w:r w:rsidR="00583F3E" w:rsidRPr="00E47C50" w:rsidDel="002D704C">
        <w:t xml:space="preserve">comprises </w:t>
      </w:r>
      <w:r w:rsidR="00583F3E" w:rsidRPr="00E47C50">
        <w:t>furniture and fittings, office fit</w:t>
      </w:r>
      <w:r w:rsidR="00E1564C" w:rsidRPr="00E47C50">
        <w:t xml:space="preserve"> </w:t>
      </w:r>
      <w:r w:rsidR="00583F3E" w:rsidRPr="00E47C50">
        <w:t xml:space="preserve">out </w:t>
      </w:r>
      <w:r w:rsidR="002D704C" w:rsidRPr="00E47C50">
        <w:t>in the</w:t>
      </w:r>
      <w:r w:rsidR="00583F3E" w:rsidRPr="00E47C50">
        <w:t xml:space="preserve"> leased office premises in Bruce</w:t>
      </w:r>
      <w:r w:rsidR="002D704C" w:rsidRPr="00E47C50">
        <w:t>,</w:t>
      </w:r>
      <w:r w:rsidR="00583F3E" w:rsidRPr="00E47C50">
        <w:t xml:space="preserve"> ACT, and plant and equipment. </w:t>
      </w:r>
      <w:r w:rsidR="00126D4A" w:rsidRPr="00E47C50">
        <w:t>ACT Leave</w:t>
      </w:r>
      <w:r w:rsidR="00583F3E" w:rsidRPr="00E47C50">
        <w:t xml:space="preserve"> also accounted for its leased assets (right-of-use assets) including the office building, </w:t>
      </w:r>
      <w:r w:rsidR="00105DB1">
        <w:t xml:space="preserve">and </w:t>
      </w:r>
      <w:r w:rsidR="00583F3E" w:rsidRPr="00E47C50">
        <w:t>one corporate vehicle in the total property, plant, and equipment in the balance sheet under the requirements of the Australian Accounting</w:t>
      </w:r>
      <w:r w:rsidR="00583F3E" w:rsidRPr="00E47C50" w:rsidDel="00B150D3">
        <w:t xml:space="preserve"> </w:t>
      </w:r>
      <w:r w:rsidR="00583F3E" w:rsidRPr="00E47C50">
        <w:t>Standard AASB 16 Leases.</w:t>
      </w:r>
    </w:p>
    <w:p w14:paraId="068F6036" w14:textId="403EC163" w:rsidR="00583F3E" w:rsidRPr="00BB2758" w:rsidRDefault="00F374A5" w:rsidP="006E0242">
      <w:pPr>
        <w:pStyle w:val="Heading2NoNumber"/>
        <w:rPr>
          <w:i/>
        </w:rPr>
      </w:pPr>
      <w:bookmarkStart w:id="172" w:name="_Toc428798644"/>
      <w:bookmarkStart w:id="173" w:name="_Toc19627260"/>
      <w:bookmarkStart w:id="174" w:name="_Toc171087165"/>
      <w:bookmarkStart w:id="175" w:name="_Toc240533561"/>
      <w:r w:rsidRPr="00E47C50">
        <w:t>C</w:t>
      </w:r>
      <w:r w:rsidR="00583F3E" w:rsidRPr="00E47C50">
        <w:t>5</w:t>
      </w:r>
      <w:r w:rsidR="008C045B" w:rsidRPr="00E47C50">
        <w:t>.</w:t>
      </w:r>
      <w:r w:rsidR="00583F3E" w:rsidRPr="00E47C50">
        <w:t xml:space="preserve"> Government </w:t>
      </w:r>
      <w:bookmarkEnd w:id="172"/>
      <w:bookmarkEnd w:id="173"/>
      <w:bookmarkEnd w:id="174"/>
      <w:r w:rsidR="00A65B91" w:rsidRPr="00E47C50">
        <w:t>c</w:t>
      </w:r>
      <w:r w:rsidR="00583F3E" w:rsidRPr="00E47C50">
        <w:t>ontracting</w:t>
      </w:r>
      <w:bookmarkEnd w:id="175"/>
    </w:p>
    <w:p w14:paraId="456AA6D2" w14:textId="40866839" w:rsidR="00583F3E" w:rsidRPr="00BB2758" w:rsidRDefault="00583F3E" w:rsidP="006E0242">
      <w:r w:rsidRPr="00BB2758">
        <w:rPr>
          <w:color w:val="auto"/>
        </w:rPr>
        <w:t xml:space="preserve">In </w:t>
      </w:r>
      <w:r w:rsidR="000F3C03">
        <w:rPr>
          <w:color w:val="auto"/>
        </w:rPr>
        <w:t>2025-26</w:t>
      </w:r>
      <w:r w:rsidRPr="00BB2758">
        <w:rPr>
          <w:color w:val="auto"/>
        </w:rPr>
        <w:t xml:space="preserve">, </w:t>
      </w:r>
      <w:r w:rsidR="006F32C6" w:rsidRPr="00BB2758">
        <w:rPr>
          <w:color w:val="auto"/>
        </w:rPr>
        <w:t xml:space="preserve">ACT </w:t>
      </w:r>
      <w:r w:rsidR="006F32C6" w:rsidRPr="00BB2758">
        <w:t>Leave</w:t>
      </w:r>
      <w:r w:rsidRPr="00BB2758">
        <w:t xml:space="preserve"> engaged </w:t>
      </w:r>
      <w:r w:rsidRPr="001F386E">
        <w:t xml:space="preserve">external contractors/consultants to provide fund management, actuarial services, </w:t>
      </w:r>
      <w:r w:rsidR="00044E9F" w:rsidRPr="001F386E">
        <w:t>audit services</w:t>
      </w:r>
      <w:r w:rsidR="00761712" w:rsidRPr="001F386E">
        <w:t xml:space="preserve"> and </w:t>
      </w:r>
      <w:r w:rsidR="006C3992" w:rsidRPr="001F386E">
        <w:t>professional</w:t>
      </w:r>
      <w:r w:rsidR="00C9542F" w:rsidRPr="001F386E">
        <w:t xml:space="preserve"> services</w:t>
      </w:r>
      <w:r w:rsidRPr="001F386E">
        <w:t>.</w:t>
      </w:r>
      <w:r w:rsidRPr="00BB2758">
        <w:t xml:space="preserve"> </w:t>
      </w:r>
      <w:r w:rsidR="00E46ECE" w:rsidRPr="00BB2758">
        <w:t>ACT Leave</w:t>
      </w:r>
      <w:r w:rsidRPr="00BB2758">
        <w:t xml:space="preserve">’s procurement and contracting activities are conducted in accordance with the provisions under the </w:t>
      </w:r>
      <w:r w:rsidRPr="00BB2758">
        <w:rPr>
          <w:i/>
        </w:rPr>
        <w:t xml:space="preserve">Government Procurement Act 2001 </w:t>
      </w:r>
      <w:r w:rsidRPr="00BB2758">
        <w:t xml:space="preserve">and the </w:t>
      </w:r>
      <w:r w:rsidRPr="00BB2758">
        <w:rPr>
          <w:i/>
        </w:rPr>
        <w:t>Government Procurement Regulation 2007.</w:t>
      </w:r>
      <w:r w:rsidRPr="00A67C1D">
        <w:rPr>
          <w:i/>
        </w:rPr>
        <w:t xml:space="preserve"> </w:t>
      </w:r>
    </w:p>
    <w:p w14:paraId="278EB0C4" w14:textId="66950709" w:rsidR="00583F3E" w:rsidRPr="00BB2758" w:rsidRDefault="00583F3E" w:rsidP="006E0242">
      <w:r w:rsidRPr="00BB2758">
        <w:lastRenderedPageBreak/>
        <w:t xml:space="preserve">The ACT Government Contracts Register records ACT Government Contracts with suppliers of goods, services and works, with a value of $25,000 or more. A full search of </w:t>
      </w:r>
      <w:r w:rsidR="00E46ECE" w:rsidRPr="00BB2758">
        <w:t>ACT Leave</w:t>
      </w:r>
      <w:r w:rsidRPr="00BB2758">
        <w:t xml:space="preserve">’s contracts notified with an execution date from </w:t>
      </w:r>
      <w:r w:rsidRPr="00BB2758">
        <w:rPr>
          <w:color w:val="auto"/>
        </w:rPr>
        <w:t xml:space="preserve">1 July </w:t>
      </w:r>
      <w:r w:rsidR="00E46ECE" w:rsidRPr="00BB2758">
        <w:rPr>
          <w:color w:val="auto"/>
        </w:rPr>
        <w:t>202</w:t>
      </w:r>
      <w:r w:rsidR="00CA60BF">
        <w:rPr>
          <w:color w:val="auto"/>
        </w:rPr>
        <w:t>5</w:t>
      </w:r>
      <w:r w:rsidR="00E46ECE" w:rsidRPr="00BB2758">
        <w:rPr>
          <w:color w:val="auto"/>
        </w:rPr>
        <w:t xml:space="preserve"> </w:t>
      </w:r>
      <w:r w:rsidRPr="00BB2758">
        <w:rPr>
          <w:color w:val="auto"/>
        </w:rPr>
        <w:t xml:space="preserve">to 30 June </w:t>
      </w:r>
      <w:r w:rsidR="00E46ECE" w:rsidRPr="00BB2758">
        <w:rPr>
          <w:color w:val="auto"/>
        </w:rPr>
        <w:t>202</w:t>
      </w:r>
      <w:r w:rsidR="00CA60BF">
        <w:rPr>
          <w:color w:val="auto"/>
        </w:rPr>
        <w:t>6</w:t>
      </w:r>
      <w:r w:rsidR="00E46ECE" w:rsidRPr="00BB2758">
        <w:rPr>
          <w:color w:val="auto"/>
        </w:rPr>
        <w:t xml:space="preserve"> </w:t>
      </w:r>
      <w:r w:rsidRPr="00BB2758">
        <w:t xml:space="preserve">can be made at </w:t>
      </w:r>
      <w:hyperlink r:id="rId82">
        <w:r w:rsidRPr="00BB2758">
          <w:rPr>
            <w:rStyle w:val="Hyperlink"/>
            <w:rFonts w:ascii="Arial" w:hAnsi="Arial" w:cs="Arial"/>
            <w:color w:val="081DA4" w:themeColor="accent1"/>
          </w:rPr>
          <w:t>https://www.tenders.act.gov.au/contract/search</w:t>
        </w:r>
      </w:hyperlink>
      <w:r w:rsidRPr="00BB2758">
        <w:rPr>
          <w:color w:val="081DA4" w:themeColor="accent1"/>
        </w:rPr>
        <w:t>.</w:t>
      </w:r>
    </w:p>
    <w:p w14:paraId="282006F4" w14:textId="5B24F11F" w:rsidR="00583F3E" w:rsidRPr="00BB2758" w:rsidRDefault="00F374A5" w:rsidP="00B41368">
      <w:pPr>
        <w:pStyle w:val="Heading3NoNumber"/>
        <w:rPr>
          <w:rFonts w:cs="Arial"/>
        </w:rPr>
      </w:pPr>
      <w:r w:rsidRPr="00BB2758">
        <w:rPr>
          <w:rFonts w:cs="Arial"/>
        </w:rPr>
        <w:t>S</w:t>
      </w:r>
      <w:r w:rsidR="00583F3E" w:rsidRPr="00BB2758">
        <w:rPr>
          <w:rFonts w:cs="Arial"/>
        </w:rPr>
        <w:t>ecure local jobs code</w:t>
      </w:r>
    </w:p>
    <w:p w14:paraId="6FB77782" w14:textId="4B8CA000" w:rsidR="00583F3E" w:rsidRPr="00BB2758" w:rsidRDefault="00583F3E" w:rsidP="006E0242">
      <w:pPr>
        <w:rPr>
          <w:caps/>
        </w:rPr>
      </w:pPr>
      <w:r w:rsidRPr="00BB2758">
        <w:t xml:space="preserve">There were no exemptions from the secure local jobs code requirements provided to </w:t>
      </w:r>
      <w:r w:rsidR="00416544" w:rsidRPr="00BB2758">
        <w:t>ACT Leave</w:t>
      </w:r>
      <w:r w:rsidRPr="00BB2758">
        <w:t xml:space="preserve"> during the reporting period under section 22G of the </w:t>
      </w:r>
      <w:r w:rsidRPr="00BB2758">
        <w:rPr>
          <w:i/>
          <w:iCs/>
        </w:rPr>
        <w:t>Government Procurement Act 2001</w:t>
      </w:r>
      <w:r w:rsidRPr="00BB2758">
        <w:t>.</w:t>
      </w:r>
    </w:p>
    <w:p w14:paraId="6C70B142" w14:textId="1E51F522" w:rsidR="00583F3E" w:rsidRPr="00BB2758" w:rsidRDefault="00583F3E" w:rsidP="00B41368">
      <w:pPr>
        <w:pStyle w:val="Heading3NoNumber"/>
        <w:rPr>
          <w:rFonts w:cs="Arial"/>
        </w:rPr>
      </w:pPr>
      <w:r w:rsidRPr="00BB2758">
        <w:rPr>
          <w:rFonts w:cs="Arial"/>
        </w:rPr>
        <w:t xml:space="preserve">Aboriginal and Torres Strait Islander </w:t>
      </w:r>
      <w:r w:rsidR="00A65B91" w:rsidRPr="00BB2758">
        <w:rPr>
          <w:rFonts w:cs="Arial"/>
        </w:rPr>
        <w:t>p</w:t>
      </w:r>
      <w:r w:rsidRPr="00BB2758">
        <w:rPr>
          <w:rFonts w:cs="Arial"/>
        </w:rPr>
        <w:t xml:space="preserve">rocurement </w:t>
      </w:r>
      <w:r w:rsidR="00A65B91" w:rsidRPr="00BB2758">
        <w:rPr>
          <w:rFonts w:cs="Arial"/>
        </w:rPr>
        <w:t>p</w:t>
      </w:r>
      <w:r w:rsidRPr="00BB2758">
        <w:rPr>
          <w:rFonts w:cs="Arial"/>
        </w:rPr>
        <w:t xml:space="preserve">olicy </w:t>
      </w:r>
      <w:r w:rsidR="00A65B91" w:rsidRPr="00BB2758">
        <w:rPr>
          <w:rFonts w:cs="Arial"/>
        </w:rPr>
        <w:t>r</w:t>
      </w:r>
      <w:r w:rsidRPr="00BB2758">
        <w:rPr>
          <w:rFonts w:cs="Arial"/>
        </w:rPr>
        <w:t>eporting</w:t>
      </w:r>
    </w:p>
    <w:p w14:paraId="3A4D14B5" w14:textId="522D6B71" w:rsidR="00583F3E" w:rsidRPr="00BB2758" w:rsidRDefault="00227BDF" w:rsidP="006E0242">
      <w:pPr>
        <w:rPr>
          <w:lang w:eastAsia="zh-TW"/>
        </w:rPr>
      </w:pPr>
      <w:r w:rsidRPr="00BB2758">
        <w:rPr>
          <w:lang w:eastAsia="zh-TW"/>
        </w:rPr>
        <w:t>ACT Leave</w:t>
      </w:r>
      <w:r w:rsidR="00583F3E" w:rsidRPr="00BB2758">
        <w:rPr>
          <w:lang w:eastAsia="zh-TW"/>
        </w:rPr>
        <w:t xml:space="preserve"> understands and fulfills its responsibilities under the ACT Government’s Aboriginal and Torres Strait Islander Procurement Policy (</w:t>
      </w:r>
      <w:r w:rsidR="007E712C" w:rsidRPr="00BB2758">
        <w:rPr>
          <w:lang w:eastAsia="zh-TW"/>
        </w:rPr>
        <w:t>ATSIPP</w:t>
      </w:r>
      <w:r w:rsidR="00583F3E" w:rsidRPr="00BB2758">
        <w:rPr>
          <w:lang w:eastAsia="zh-TW"/>
        </w:rPr>
        <w:t xml:space="preserve">) to monitor and report annually on </w:t>
      </w:r>
      <w:r w:rsidRPr="00BB2758">
        <w:rPr>
          <w:lang w:eastAsia="zh-TW"/>
        </w:rPr>
        <w:t>ACT Leave</w:t>
      </w:r>
      <w:r w:rsidR="00583F3E" w:rsidRPr="00BB2758">
        <w:rPr>
          <w:lang w:eastAsia="zh-TW"/>
        </w:rPr>
        <w:t xml:space="preserve">’s performance against the </w:t>
      </w:r>
      <w:r w:rsidR="00C3628C">
        <w:rPr>
          <w:lang w:eastAsia="zh-TW"/>
        </w:rPr>
        <w:t>3</w:t>
      </w:r>
      <w:r w:rsidR="00583F3E" w:rsidRPr="00BB2758">
        <w:rPr>
          <w:lang w:eastAsia="zh-TW"/>
        </w:rPr>
        <w:t xml:space="preserve"> performance measures and maintain an exemption register where applicable. The </w:t>
      </w:r>
      <w:r w:rsidR="00C3628C">
        <w:rPr>
          <w:lang w:eastAsia="zh-TW"/>
        </w:rPr>
        <w:t>3</w:t>
      </w:r>
      <w:r w:rsidR="00583F3E" w:rsidRPr="00BB2758">
        <w:rPr>
          <w:lang w:eastAsia="zh-TW"/>
        </w:rPr>
        <w:t xml:space="preserve"> performance measures and </w:t>
      </w:r>
      <w:r w:rsidR="00796262" w:rsidRPr="00BB2758">
        <w:rPr>
          <w:lang w:eastAsia="zh-TW"/>
        </w:rPr>
        <w:t>ACT Leave</w:t>
      </w:r>
      <w:r w:rsidR="00583F3E" w:rsidRPr="00BB2758">
        <w:rPr>
          <w:lang w:eastAsia="zh-TW"/>
        </w:rPr>
        <w:t xml:space="preserve">’s performance against these measures in </w:t>
      </w:r>
      <w:r w:rsidR="000F3C03">
        <w:rPr>
          <w:color w:val="auto"/>
          <w:lang w:eastAsia="zh-TW"/>
        </w:rPr>
        <w:t>2025-26</w:t>
      </w:r>
      <w:r w:rsidR="00796262" w:rsidRPr="00BB2758">
        <w:rPr>
          <w:color w:val="auto"/>
          <w:lang w:eastAsia="zh-TW"/>
        </w:rPr>
        <w:t xml:space="preserve"> </w:t>
      </w:r>
      <w:r w:rsidR="00583F3E" w:rsidRPr="00BB2758">
        <w:rPr>
          <w:lang w:eastAsia="zh-TW"/>
        </w:rPr>
        <w:t>are outlined in the table below:</w:t>
      </w:r>
    </w:p>
    <w:tbl>
      <w:tblPr>
        <w:tblStyle w:val="ACTLeavetable"/>
        <w:tblW w:w="5000" w:type="pct"/>
        <w:tblLook w:val="04A0" w:firstRow="1" w:lastRow="0" w:firstColumn="1" w:lastColumn="0" w:noHBand="0" w:noVBand="1"/>
      </w:tblPr>
      <w:tblGrid>
        <w:gridCol w:w="4206"/>
        <w:gridCol w:w="5886"/>
      </w:tblGrid>
      <w:tr w:rsidR="00583F3E" w:rsidRPr="00F374A5" w14:paraId="02047E58" w14:textId="77777777" w:rsidTr="6B085A0A">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2084" w:type="pct"/>
            <w:vAlign w:val="center"/>
          </w:tcPr>
          <w:p w14:paraId="3A20349A" w14:textId="0366CCEC" w:rsidR="00583F3E" w:rsidRPr="00BB2758" w:rsidRDefault="00CE5046" w:rsidP="00A67C1D">
            <w:pPr>
              <w:spacing w:after="0"/>
              <w:rPr>
                <w:lang w:eastAsia="zh-TW"/>
              </w:rPr>
            </w:pPr>
            <w:r w:rsidRPr="00BB2758">
              <w:rPr>
                <w:lang w:eastAsia="zh-TW"/>
              </w:rPr>
              <w:t xml:space="preserve">ATSIPP </w:t>
            </w:r>
            <w:r w:rsidR="00F374A5" w:rsidRPr="00BB2758">
              <w:rPr>
                <w:lang w:eastAsia="zh-TW"/>
              </w:rPr>
              <w:t>m</w:t>
            </w:r>
            <w:r w:rsidR="00583F3E" w:rsidRPr="00BB2758">
              <w:rPr>
                <w:lang w:eastAsia="zh-TW"/>
              </w:rPr>
              <w:t>easures</w:t>
            </w:r>
          </w:p>
        </w:tc>
        <w:tc>
          <w:tcPr>
            <w:tcW w:w="2916" w:type="pct"/>
            <w:vAlign w:val="center"/>
          </w:tcPr>
          <w:p w14:paraId="008ED16A" w14:textId="19D03DD9" w:rsidR="00583F3E" w:rsidRPr="00BB2758" w:rsidRDefault="00CE5046" w:rsidP="00A67C1D">
            <w:pPr>
              <w:spacing w:after="0"/>
              <w:cnfStyle w:val="100000000000" w:firstRow="1" w:lastRow="0" w:firstColumn="0" w:lastColumn="0" w:oddVBand="0" w:evenVBand="0" w:oddHBand="0" w:evenHBand="0" w:firstRowFirstColumn="0" w:firstRowLastColumn="0" w:lastRowFirstColumn="0" w:lastRowLastColumn="0"/>
              <w:rPr>
                <w:highlight w:val="yellow"/>
                <w:lang w:eastAsia="zh-TW"/>
              </w:rPr>
            </w:pPr>
            <w:r w:rsidRPr="00BB2758">
              <w:rPr>
                <w:lang w:eastAsia="zh-TW"/>
              </w:rPr>
              <w:t xml:space="preserve">ACT Leave’s </w:t>
            </w:r>
            <w:r w:rsidR="00F374A5" w:rsidRPr="00BB2758">
              <w:rPr>
                <w:lang w:eastAsia="zh-TW"/>
              </w:rPr>
              <w:t>p</w:t>
            </w:r>
            <w:r w:rsidR="00583F3E" w:rsidRPr="00BB2758">
              <w:rPr>
                <w:lang w:eastAsia="zh-TW"/>
              </w:rPr>
              <w:t>erformance</w:t>
            </w:r>
          </w:p>
        </w:tc>
      </w:tr>
      <w:tr w:rsidR="00583F3E" w:rsidRPr="00F374A5" w14:paraId="618A631A" w14:textId="77777777" w:rsidTr="00B01A2F">
        <w:trPr>
          <w:cantSplit w:val="0"/>
          <w:trHeight w:val="96"/>
        </w:trPr>
        <w:tc>
          <w:tcPr>
            <w:cnfStyle w:val="001000000000" w:firstRow="0" w:lastRow="0" w:firstColumn="1" w:lastColumn="0" w:oddVBand="0" w:evenVBand="0" w:oddHBand="0" w:evenHBand="0" w:firstRowFirstColumn="0" w:firstRowLastColumn="0" w:lastRowFirstColumn="0" w:lastRowLastColumn="0"/>
            <w:tcW w:w="2084" w:type="pct"/>
          </w:tcPr>
          <w:p w14:paraId="016F973E" w14:textId="399FC43D" w:rsidR="00583F3E" w:rsidRPr="00BB2758" w:rsidRDefault="00583F3E" w:rsidP="00A67C1D">
            <w:pPr>
              <w:spacing w:after="0"/>
              <w:rPr>
                <w:lang w:eastAsia="zh-TW"/>
              </w:rPr>
            </w:pPr>
            <w:r w:rsidRPr="00BB2758">
              <w:t xml:space="preserve">The number of unique </w:t>
            </w:r>
            <w:bookmarkStart w:id="176" w:name="_Hlk79411964"/>
            <w:r w:rsidRPr="00BB2758">
              <w:t>Aboriginal and Torres Strait Islander enterprises</w:t>
            </w:r>
            <w:bookmarkEnd w:id="176"/>
            <w:r w:rsidRPr="00BB2758">
              <w:t xml:space="preserve"> that respond to Territory tender and quotation opportunities</w:t>
            </w:r>
            <w:r w:rsidR="005E14D4">
              <w:t>.</w:t>
            </w:r>
            <w:r w:rsidRPr="00BB2758">
              <w:t xml:space="preserve"> </w:t>
            </w:r>
          </w:p>
        </w:tc>
        <w:tc>
          <w:tcPr>
            <w:tcW w:w="2916" w:type="pct"/>
          </w:tcPr>
          <w:p w14:paraId="3109D703" w14:textId="2E689863" w:rsidR="00583F3E" w:rsidRPr="00BB2758" w:rsidRDefault="00583F3E" w:rsidP="00A67C1D">
            <w:pPr>
              <w:spacing w:after="0"/>
              <w:cnfStyle w:val="000000000000" w:firstRow="0" w:lastRow="0" w:firstColumn="0" w:lastColumn="0" w:oddVBand="0" w:evenVBand="0" w:oddHBand="0" w:evenHBand="0" w:firstRowFirstColumn="0" w:firstRowLastColumn="0" w:lastRowFirstColumn="0" w:lastRowLastColumn="0"/>
              <w:rPr>
                <w:lang w:eastAsia="zh-TW"/>
              </w:rPr>
            </w:pPr>
            <w:r w:rsidRPr="00BB2758">
              <w:rPr>
                <w:lang w:eastAsia="zh-TW"/>
              </w:rPr>
              <w:t xml:space="preserve">In </w:t>
            </w:r>
            <w:r w:rsidR="000F3C03">
              <w:rPr>
                <w:lang w:eastAsia="zh-TW"/>
              </w:rPr>
              <w:t>2025-26</w:t>
            </w:r>
            <w:r w:rsidRPr="00BB2758">
              <w:rPr>
                <w:lang w:eastAsia="zh-TW"/>
              </w:rPr>
              <w:t xml:space="preserve">, </w:t>
            </w:r>
            <w:r w:rsidR="00FC014A">
              <w:rPr>
                <w:lang w:eastAsia="zh-TW"/>
              </w:rPr>
              <w:t>one</w:t>
            </w:r>
            <w:r w:rsidRPr="0099592E">
              <w:rPr>
                <w:lang w:eastAsia="zh-TW"/>
              </w:rPr>
              <w:t xml:space="preserve"> </w:t>
            </w:r>
            <w:r w:rsidRPr="00AD4890">
              <w:t xml:space="preserve">unique Aboriginal and Torres Strait Islander enterprise responded to </w:t>
            </w:r>
            <w:r w:rsidR="003621F9" w:rsidRPr="00AD4890">
              <w:t>ACT Leave</w:t>
            </w:r>
            <w:r w:rsidRPr="00AD4890">
              <w:t xml:space="preserve">’s </w:t>
            </w:r>
            <w:r w:rsidR="00AD4890" w:rsidRPr="00AD4890">
              <w:t>tender and quotation opportunities</w:t>
            </w:r>
            <w:r w:rsidRPr="00AD4890">
              <w:t>.</w:t>
            </w:r>
          </w:p>
        </w:tc>
      </w:tr>
      <w:tr w:rsidR="00583F3E" w:rsidRPr="00F374A5" w14:paraId="3EE9CCCF" w14:textId="77777777" w:rsidTr="00B01A2F">
        <w:trPr>
          <w:cnfStyle w:val="000000010000" w:firstRow="0" w:lastRow="0" w:firstColumn="0" w:lastColumn="0" w:oddVBand="0" w:evenVBand="0" w:oddHBand="0" w:evenHBand="1" w:firstRowFirstColumn="0" w:firstRowLastColumn="0" w:lastRowFirstColumn="0" w:lastRowLastColumn="0"/>
          <w:cantSplit w:val="0"/>
          <w:trHeight w:val="96"/>
        </w:trPr>
        <w:tc>
          <w:tcPr>
            <w:cnfStyle w:val="001000000000" w:firstRow="0" w:lastRow="0" w:firstColumn="1" w:lastColumn="0" w:oddVBand="0" w:evenVBand="0" w:oddHBand="0" w:evenHBand="0" w:firstRowFirstColumn="0" w:firstRowLastColumn="0" w:lastRowFirstColumn="0" w:lastRowLastColumn="0"/>
            <w:tcW w:w="2084" w:type="pct"/>
          </w:tcPr>
          <w:p w14:paraId="1508CFF3" w14:textId="7C118CD9" w:rsidR="00583F3E" w:rsidRPr="00BB2758" w:rsidRDefault="00583F3E" w:rsidP="00A67C1D">
            <w:pPr>
              <w:spacing w:after="0"/>
              <w:rPr>
                <w:lang w:eastAsia="zh-TW"/>
              </w:rPr>
            </w:pPr>
            <w:r w:rsidRPr="00BB2758">
              <w:t>The number of unique Aboriginal and Torres Strait Islander enterprises attributed</w:t>
            </w:r>
            <w:r w:rsidR="005B0F79" w:rsidRPr="00BB2758">
              <w:t xml:space="preserve"> to</w:t>
            </w:r>
            <w:r w:rsidRPr="00BB2758">
              <w:t xml:space="preserve"> a value of Addressable Spend in the financial year</w:t>
            </w:r>
            <w:r w:rsidR="007178D6">
              <w:t>.</w:t>
            </w:r>
          </w:p>
        </w:tc>
        <w:tc>
          <w:tcPr>
            <w:tcW w:w="2916" w:type="pct"/>
          </w:tcPr>
          <w:p w14:paraId="59FE8B47" w14:textId="44753AB2" w:rsidR="00674020" w:rsidRPr="00BB2758" w:rsidRDefault="00C3628C" w:rsidP="00A67C1D">
            <w:pPr>
              <w:spacing w:after="0"/>
              <w:cnfStyle w:val="000000010000" w:firstRow="0" w:lastRow="0" w:firstColumn="0" w:lastColumn="0" w:oddVBand="0" w:evenVBand="0" w:oddHBand="0" w:evenHBand="1" w:firstRowFirstColumn="0" w:firstRowLastColumn="0" w:lastRowFirstColumn="0" w:lastRowLastColumn="0"/>
            </w:pPr>
            <w:r>
              <w:t>3</w:t>
            </w:r>
            <w:r w:rsidR="005B0F79" w:rsidRPr="00BB2758">
              <w:t xml:space="preserve"> </w:t>
            </w:r>
            <w:r w:rsidR="00D77947" w:rsidRPr="00BB2758">
              <w:t xml:space="preserve">unique Aboriginal and Torres Strait Islander enterprises attributed to a value of </w:t>
            </w:r>
            <w:r w:rsidR="00674020" w:rsidRPr="00BB2758">
              <w:t xml:space="preserve">ACT Leave’s </w:t>
            </w:r>
            <w:r w:rsidR="00D77947" w:rsidRPr="00BB2758">
              <w:t>Addressable Spend in the financial year</w:t>
            </w:r>
            <w:r w:rsidR="00674020" w:rsidRPr="00BB2758">
              <w:t>:</w:t>
            </w:r>
          </w:p>
          <w:p w14:paraId="2539ED33" w14:textId="60CF5FB8" w:rsidR="00674020" w:rsidRPr="00084AB9" w:rsidRDefault="00054024" w:rsidP="000A630C">
            <w:pPr>
              <w:pStyle w:val="ListBullet"/>
              <w:cnfStyle w:val="000000010000" w:firstRow="0" w:lastRow="0" w:firstColumn="0" w:lastColumn="0" w:oddVBand="0" w:evenVBand="0" w:oddHBand="0" w:evenHBand="1" w:firstRowFirstColumn="0" w:firstRowLastColumn="0" w:lastRowFirstColumn="0" w:lastRowLastColumn="0"/>
            </w:pPr>
            <w:r w:rsidRPr="00084AB9">
              <w:t>Onpoint365</w:t>
            </w:r>
            <w:r w:rsidR="00313C7C" w:rsidRPr="00084AB9">
              <w:t xml:space="preserve"> Pty Ltd</w:t>
            </w:r>
            <w:r w:rsidR="00B22190" w:rsidRPr="00084AB9">
              <w:t xml:space="preserve"> was contracted</w:t>
            </w:r>
            <w:r w:rsidR="004939EE" w:rsidRPr="00084AB9">
              <w:t xml:space="preserve"> by ACT Leave</w:t>
            </w:r>
            <w:r w:rsidR="00B22190" w:rsidRPr="00084AB9">
              <w:t xml:space="preserve"> </w:t>
            </w:r>
            <w:r w:rsidR="004939EE" w:rsidRPr="00084AB9">
              <w:t xml:space="preserve">to </w:t>
            </w:r>
            <w:r w:rsidR="00902E56" w:rsidRPr="00084AB9">
              <w:t xml:space="preserve">undertake </w:t>
            </w:r>
            <w:r w:rsidR="006D787A" w:rsidRPr="00084AB9">
              <w:t>scribing services</w:t>
            </w:r>
            <w:r w:rsidR="00FD3918" w:rsidRPr="00084AB9">
              <w:t>.</w:t>
            </w:r>
          </w:p>
          <w:p w14:paraId="3D9C4722" w14:textId="49CFE4BB" w:rsidR="004939EE" w:rsidRPr="00BB2758" w:rsidRDefault="00F94C6B" w:rsidP="000A630C">
            <w:pPr>
              <w:pStyle w:val="ListBullet"/>
              <w:cnfStyle w:val="000000010000" w:firstRow="0" w:lastRow="0" w:firstColumn="0" w:lastColumn="0" w:oddVBand="0" w:evenVBand="0" w:oddHBand="0" w:evenHBand="1" w:firstRowFirstColumn="0" w:firstRowLastColumn="0" w:lastRowFirstColumn="0" w:lastRowLastColumn="0"/>
            </w:pPr>
            <w:r w:rsidRPr="00BB2758">
              <w:t>ACT Leave</w:t>
            </w:r>
            <w:r w:rsidR="00583F3E" w:rsidRPr="00BB2758">
              <w:t xml:space="preserve">’s office cleaning services have been provided by a unique Aboriginal and Torres Strait Islander enterprise, </w:t>
            </w:r>
            <w:proofErr w:type="spellStart"/>
            <w:r w:rsidR="00583F3E" w:rsidRPr="00BB2758">
              <w:t>Kamberra</w:t>
            </w:r>
            <w:proofErr w:type="spellEnd"/>
            <w:r w:rsidR="00583F3E" w:rsidRPr="00BB2758">
              <w:t xml:space="preserve"> Indigenous Cleaning, since October 2017</w:t>
            </w:r>
          </w:p>
          <w:p w14:paraId="0E1E63DD" w14:textId="319BDB9E" w:rsidR="00583F3E" w:rsidRPr="00BB2758" w:rsidRDefault="00CF2FF6" w:rsidP="000A630C">
            <w:pPr>
              <w:pStyle w:val="ListBullet"/>
              <w:cnfStyle w:val="000000010000" w:firstRow="0" w:lastRow="0" w:firstColumn="0" w:lastColumn="0" w:oddVBand="0" w:evenVBand="0" w:oddHBand="0" w:evenHBand="1" w:firstRowFirstColumn="0" w:firstRowLastColumn="0" w:lastRowFirstColumn="0" w:lastRowLastColumn="0"/>
            </w:pPr>
            <w:r w:rsidRPr="00BB2758">
              <w:t xml:space="preserve">ACT Leave engaged Complete Office Services for </w:t>
            </w:r>
            <w:r w:rsidR="00D549C2" w:rsidRPr="00BB2758">
              <w:t>stationery</w:t>
            </w:r>
            <w:r w:rsidRPr="00BB2758">
              <w:t xml:space="preserve"> supplies under the Whole-of-Government procurement contract. These services included items listed under the Aboriginal and Torres Strait Islander Procurement Policy</w:t>
            </w:r>
            <w:r w:rsidR="00BE58C2" w:rsidRPr="00BB2758">
              <w:t>.</w:t>
            </w:r>
            <w:r w:rsidR="00593057" w:rsidRPr="00BB2758">
              <w:t xml:space="preserve"> </w:t>
            </w:r>
          </w:p>
        </w:tc>
      </w:tr>
      <w:tr w:rsidR="00583F3E" w:rsidRPr="00F374A5" w14:paraId="04686A5D" w14:textId="77777777" w:rsidTr="00B01A2F">
        <w:trPr>
          <w:cantSplit w:val="0"/>
          <w:trHeight w:val="96"/>
        </w:trPr>
        <w:tc>
          <w:tcPr>
            <w:cnfStyle w:val="001000000000" w:firstRow="0" w:lastRow="0" w:firstColumn="1" w:lastColumn="0" w:oddVBand="0" w:evenVBand="0" w:oddHBand="0" w:evenHBand="0" w:firstRowFirstColumn="0" w:firstRowLastColumn="0" w:lastRowFirstColumn="0" w:lastRowLastColumn="0"/>
            <w:tcW w:w="2084" w:type="pct"/>
          </w:tcPr>
          <w:p w14:paraId="2A62EB88" w14:textId="41381F6B" w:rsidR="00583F3E" w:rsidRPr="00BB2758" w:rsidRDefault="00583F3E" w:rsidP="00A67C1D">
            <w:pPr>
              <w:spacing w:after="0"/>
              <w:rPr>
                <w:lang w:eastAsia="zh-TW"/>
              </w:rPr>
            </w:pPr>
            <w:r w:rsidRPr="00BB2758">
              <w:t>Percentage of the financial year’s Addressable Spend that is spent with Aboriginal and Torres Strait Islander enterprises</w:t>
            </w:r>
            <w:r w:rsidR="005E14D4">
              <w:t>.</w:t>
            </w:r>
          </w:p>
        </w:tc>
        <w:tc>
          <w:tcPr>
            <w:tcW w:w="2916" w:type="pct"/>
          </w:tcPr>
          <w:p w14:paraId="2FF27B14" w14:textId="7721448A" w:rsidR="0028382C" w:rsidRPr="00BB2758" w:rsidRDefault="00583F3E" w:rsidP="00A67C1D">
            <w:pPr>
              <w:spacing w:after="0"/>
              <w:cnfStyle w:val="000000000000" w:firstRow="0" w:lastRow="0" w:firstColumn="0" w:lastColumn="0" w:oddVBand="0" w:evenVBand="0" w:oddHBand="0" w:evenHBand="0" w:firstRowFirstColumn="0" w:firstRowLastColumn="0" w:lastRowFirstColumn="0" w:lastRowLastColumn="0"/>
              <w:rPr>
                <w:lang w:eastAsia="zh-TW"/>
              </w:rPr>
            </w:pPr>
            <w:r w:rsidRPr="00BB2758">
              <w:rPr>
                <w:lang w:eastAsia="zh-TW"/>
              </w:rPr>
              <w:t xml:space="preserve">The percentage of the </w:t>
            </w:r>
            <w:r w:rsidR="00EE6F90" w:rsidRPr="00BB2758">
              <w:rPr>
                <w:lang w:eastAsia="zh-TW"/>
              </w:rPr>
              <w:t>ACT Leave</w:t>
            </w:r>
            <w:r w:rsidRPr="00BB2758">
              <w:rPr>
                <w:lang w:eastAsia="zh-TW"/>
              </w:rPr>
              <w:t xml:space="preserve">’s addressable spend </w:t>
            </w:r>
            <w:r w:rsidRPr="00BB2758">
              <w:t>that was spent with Aboriginal and Torres Strait Islander enterprises</w:t>
            </w:r>
            <w:r w:rsidRPr="00BB2758">
              <w:rPr>
                <w:lang w:eastAsia="zh-TW"/>
              </w:rPr>
              <w:t xml:space="preserve"> </w:t>
            </w:r>
            <w:r w:rsidRPr="00BB2758">
              <w:rPr>
                <w:color w:val="auto"/>
                <w:lang w:eastAsia="zh-TW"/>
              </w:rPr>
              <w:t xml:space="preserve">in </w:t>
            </w:r>
            <w:r w:rsidR="000F3C03">
              <w:rPr>
                <w:color w:val="auto"/>
                <w:lang w:eastAsia="zh-TW"/>
              </w:rPr>
              <w:t>2025-26</w:t>
            </w:r>
            <w:r w:rsidRPr="00BB2758">
              <w:rPr>
                <w:color w:val="auto"/>
                <w:lang w:eastAsia="zh-TW"/>
              </w:rPr>
              <w:t xml:space="preserve"> </w:t>
            </w:r>
            <w:r w:rsidRPr="00E8692C">
              <w:rPr>
                <w:color w:val="auto"/>
                <w:lang w:eastAsia="zh-TW"/>
              </w:rPr>
              <w:t xml:space="preserve">was </w:t>
            </w:r>
            <w:r w:rsidR="6F3DD5B4" w:rsidRPr="0099592E">
              <w:rPr>
                <w:lang w:eastAsia="zh-TW"/>
              </w:rPr>
              <w:t>2</w:t>
            </w:r>
            <w:r w:rsidRPr="0099592E">
              <w:rPr>
                <w:lang w:eastAsia="zh-TW"/>
              </w:rPr>
              <w:t>.</w:t>
            </w:r>
            <w:r w:rsidR="00C11231" w:rsidRPr="0099592E">
              <w:rPr>
                <w:lang w:eastAsia="zh-TW"/>
              </w:rPr>
              <w:t>12</w:t>
            </w:r>
            <w:r w:rsidRPr="0099592E">
              <w:rPr>
                <w:lang w:eastAsia="zh-TW"/>
              </w:rPr>
              <w:t>%</w:t>
            </w:r>
            <w:r w:rsidRPr="00BB2758">
              <w:rPr>
                <w:color w:val="auto"/>
                <w:lang w:eastAsia="zh-TW"/>
              </w:rPr>
              <w:t xml:space="preserve"> (target for </w:t>
            </w:r>
            <w:r w:rsidR="000F3C03">
              <w:rPr>
                <w:color w:val="auto"/>
                <w:lang w:eastAsia="zh-TW"/>
              </w:rPr>
              <w:t>2025-26</w:t>
            </w:r>
            <w:r w:rsidRPr="00BB2758">
              <w:rPr>
                <w:color w:val="auto"/>
                <w:lang w:eastAsia="zh-TW"/>
              </w:rPr>
              <w:t xml:space="preserve">: </w:t>
            </w:r>
            <w:r w:rsidRPr="00BB2758">
              <w:rPr>
                <w:lang w:eastAsia="zh-TW"/>
              </w:rPr>
              <w:t>2</w:t>
            </w:r>
            <w:r w:rsidR="00454F6F">
              <w:rPr>
                <w:lang w:eastAsia="zh-TW"/>
              </w:rPr>
              <w:t>.25</w:t>
            </w:r>
            <w:r w:rsidRPr="00BB2758">
              <w:rPr>
                <w:lang w:eastAsia="zh-TW"/>
              </w:rPr>
              <w:t>%).</w:t>
            </w:r>
          </w:p>
        </w:tc>
      </w:tr>
    </w:tbl>
    <w:p w14:paraId="173E6489" w14:textId="77777777" w:rsidR="006D71F6" w:rsidRPr="00BB2758" w:rsidRDefault="00583F3E" w:rsidP="006E0242">
      <w:pPr>
        <w:pStyle w:val="Heading2NoNumber"/>
        <w:sectPr w:rsidR="006D71F6" w:rsidRPr="00BB2758" w:rsidSect="005F0303">
          <w:headerReference w:type="default" r:id="rId83"/>
          <w:headerReference w:type="first" r:id="rId84"/>
          <w:pgSz w:w="11906" w:h="16838" w:code="9"/>
          <w:pgMar w:top="992" w:right="907" w:bottom="851" w:left="907" w:header="510" w:footer="902" w:gutter="0"/>
          <w:cols w:space="708"/>
          <w:titlePg/>
          <w:docGrid w:linePitch="360"/>
        </w:sectPr>
      </w:pPr>
      <w:r w:rsidRPr="00BB2758">
        <w:br w:type="page"/>
      </w:r>
      <w:bookmarkStart w:id="177" w:name="_Toc428798645"/>
      <w:bookmarkStart w:id="178" w:name="_Toc19627261"/>
      <w:bookmarkStart w:id="179" w:name="_Toc171087166"/>
    </w:p>
    <w:p w14:paraId="0856227C" w14:textId="3B18CEBB" w:rsidR="00583F3E" w:rsidRPr="00BB2758" w:rsidRDefault="0069701F" w:rsidP="006E0242">
      <w:pPr>
        <w:pStyle w:val="Heading2NoNumber"/>
      </w:pPr>
      <w:bookmarkStart w:id="180" w:name="_Toc240533562"/>
      <w:r>
        <w:rPr>
          <w:noProof/>
          <w:lang w:val="en-AU" w:eastAsia="en-US"/>
        </w:rPr>
        <w:lastRenderedPageBreak/>
        <w:drawing>
          <wp:anchor distT="0" distB="0" distL="114300" distR="114300" simplePos="0" relativeHeight="251658261" behindDoc="1" locked="0" layoutInCell="1" allowOverlap="1" wp14:anchorId="4BCF7751" wp14:editId="78E9A818">
            <wp:simplePos x="0" y="0"/>
            <wp:positionH relativeFrom="column">
              <wp:posOffset>-339725</wp:posOffset>
            </wp:positionH>
            <wp:positionV relativeFrom="paragraph">
              <wp:posOffset>-56988</wp:posOffset>
            </wp:positionV>
            <wp:extent cx="7087870" cy="10033000"/>
            <wp:effectExtent l="0" t="0" r="0" b="6350"/>
            <wp:wrapNone/>
            <wp:docPr id="1436284931" name="Picture 9" descr="Statement of Performance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284931" name="Picture 9" descr="Statement of Performance letter"/>
                    <pic:cNvPicPr/>
                  </pic:nvPicPr>
                  <pic:blipFill>
                    <a:blip r:embed="rId85"/>
                    <a:stretch>
                      <a:fillRect/>
                    </a:stretch>
                  </pic:blipFill>
                  <pic:spPr>
                    <a:xfrm>
                      <a:off x="0" y="0"/>
                      <a:ext cx="7087870" cy="10033000"/>
                    </a:xfrm>
                    <a:prstGeom prst="rect">
                      <a:avLst/>
                    </a:prstGeom>
                  </pic:spPr>
                </pic:pic>
              </a:graphicData>
            </a:graphic>
            <wp14:sizeRelH relativeFrom="margin">
              <wp14:pctWidth>0</wp14:pctWidth>
            </wp14:sizeRelH>
            <wp14:sizeRelV relativeFrom="margin">
              <wp14:pctHeight>0</wp14:pctHeight>
            </wp14:sizeRelV>
          </wp:anchor>
        </w:drawing>
      </w:r>
      <w:r w:rsidR="00F374A5" w:rsidRPr="00BB2758">
        <w:t>C</w:t>
      </w:r>
      <w:r w:rsidR="00583F3E" w:rsidRPr="00BB2758">
        <w:t>6</w:t>
      </w:r>
      <w:r w:rsidR="008C045B" w:rsidRPr="00BB2758">
        <w:t>.</w:t>
      </w:r>
      <w:r w:rsidR="00583F3E" w:rsidRPr="00BB2758">
        <w:t xml:space="preserve"> Statement of </w:t>
      </w:r>
      <w:bookmarkEnd w:id="177"/>
      <w:bookmarkEnd w:id="178"/>
      <w:bookmarkEnd w:id="179"/>
      <w:r w:rsidR="00A65B91" w:rsidRPr="00BB2758">
        <w:t>p</w:t>
      </w:r>
      <w:r w:rsidR="00583F3E" w:rsidRPr="00BB2758">
        <w:t>erformance</w:t>
      </w:r>
      <w:bookmarkEnd w:id="180"/>
    </w:p>
    <w:p w14:paraId="6EBCC5EF" w14:textId="2FC91FA1" w:rsidR="00BB2758" w:rsidRPr="00BB2758" w:rsidRDefault="00BB2758" w:rsidP="006E0242">
      <w:pPr>
        <w:rPr>
          <w:lang w:val="en-AU" w:eastAsia="en-US"/>
        </w:rPr>
      </w:pPr>
    </w:p>
    <w:p w14:paraId="5B0249D3" w14:textId="05D19E6F" w:rsidR="00CD3692" w:rsidRDefault="00CD3692" w:rsidP="006E0242">
      <w:pPr>
        <w:rPr>
          <w:lang w:val="en-AU" w:eastAsia="en-US"/>
        </w:rPr>
      </w:pPr>
      <w:r>
        <w:rPr>
          <w:lang w:val="en-AU" w:eastAsia="en-US"/>
        </w:rPr>
        <w:br w:type="page"/>
      </w:r>
    </w:p>
    <w:p w14:paraId="29479801" w14:textId="1E35C125" w:rsidR="00315A85" w:rsidRDefault="00315A85" w:rsidP="006E0242">
      <w:pPr>
        <w:rPr>
          <w:lang w:val="en-AU" w:eastAsia="en-US"/>
        </w:rPr>
        <w:sectPr w:rsidR="00315A85" w:rsidSect="00BC6CB3">
          <w:headerReference w:type="default" r:id="rId86"/>
          <w:headerReference w:type="first" r:id="rId87"/>
          <w:type w:val="continuous"/>
          <w:pgSz w:w="11906" w:h="16838" w:code="9"/>
          <w:pgMar w:top="992" w:right="907" w:bottom="851" w:left="907" w:header="510" w:footer="902" w:gutter="0"/>
          <w:cols w:space="708"/>
          <w:titlePg/>
          <w:docGrid w:linePitch="360"/>
        </w:sectPr>
      </w:pPr>
      <w:bookmarkStart w:id="181" w:name="SOP_notes"/>
      <w:bookmarkStart w:id="182" w:name="_Toc19627262"/>
      <w:bookmarkEnd w:id="181"/>
    </w:p>
    <w:p w14:paraId="0BBE6E4A" w14:textId="65AFA866" w:rsidR="005B1015" w:rsidRPr="00BB2758" w:rsidRDefault="0069701F" w:rsidP="006E0242">
      <w:pPr>
        <w:pStyle w:val="ListNumber"/>
        <w:rPr>
          <w:rFonts w:eastAsiaTheme="majorEastAsia"/>
          <w:color w:val="081DA4" w:themeColor="text2"/>
          <w:spacing w:val="-10"/>
          <w:sz w:val="36"/>
          <w:szCs w:val="36"/>
        </w:rPr>
      </w:pPr>
      <w:r>
        <w:rPr>
          <w:noProof/>
        </w:rPr>
        <w:lastRenderedPageBreak/>
        <w:drawing>
          <wp:anchor distT="0" distB="0" distL="114300" distR="114300" simplePos="0" relativeHeight="251658262" behindDoc="0" locked="0" layoutInCell="1" allowOverlap="1" wp14:anchorId="1EDC44E5" wp14:editId="36E2A711">
            <wp:simplePos x="0" y="0"/>
            <wp:positionH relativeFrom="column">
              <wp:posOffset>-309407</wp:posOffset>
            </wp:positionH>
            <wp:positionV relativeFrom="paragraph">
              <wp:posOffset>-204470</wp:posOffset>
            </wp:positionV>
            <wp:extent cx="7088400" cy="10033200"/>
            <wp:effectExtent l="0" t="0" r="0" b="6350"/>
            <wp:wrapNone/>
            <wp:docPr id="865865799"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65799" name="Picture 10">
                      <a:extLst>
                        <a:ext uri="{C183D7F6-B498-43B3-948B-1728B52AA6E4}">
                          <adec:decorative xmlns:adec="http://schemas.microsoft.com/office/drawing/2017/decorative" val="1"/>
                        </a:ext>
                      </a:extLst>
                    </pic:cNvPr>
                    <pic:cNvPicPr/>
                  </pic:nvPicPr>
                  <pic:blipFill>
                    <a:blip r:embed="rId88"/>
                    <a:stretch>
                      <a:fillRect/>
                    </a:stretch>
                  </pic:blipFill>
                  <pic:spPr>
                    <a:xfrm>
                      <a:off x="0" y="0"/>
                      <a:ext cx="7088400" cy="10033200"/>
                    </a:xfrm>
                    <a:prstGeom prst="rect">
                      <a:avLst/>
                    </a:prstGeom>
                  </pic:spPr>
                </pic:pic>
              </a:graphicData>
            </a:graphic>
          </wp:anchor>
        </w:drawing>
      </w:r>
      <w:r w:rsidR="005B1015" w:rsidRPr="00BB2758">
        <w:br w:type="page"/>
      </w:r>
    </w:p>
    <w:p w14:paraId="47CF4880" w14:textId="12A7712B" w:rsidR="003E59F0" w:rsidRPr="003E59F0" w:rsidRDefault="003E59F0" w:rsidP="00C01DF6">
      <w:pPr>
        <w:pStyle w:val="paragraph"/>
        <w:spacing w:before="0" w:beforeAutospacing="0" w:after="120" w:afterAutospacing="0"/>
        <w:jc w:val="center"/>
        <w:textAlignment w:val="baseline"/>
        <w:rPr>
          <w:rFonts w:ascii="Segoe UI" w:hAnsi="Segoe UI" w:cs="Segoe UI"/>
          <w:color w:val="000000"/>
          <w:sz w:val="18"/>
          <w:szCs w:val="18"/>
        </w:rPr>
      </w:pPr>
      <w:r w:rsidRPr="003E59F0">
        <w:rPr>
          <w:rFonts w:ascii="Arial" w:hAnsi="Arial" w:cs="Arial"/>
          <w:b/>
          <w:bCs/>
          <w:color w:val="000000"/>
        </w:rPr>
        <w:lastRenderedPageBreak/>
        <w:t>Long Service Leave Authorit</w:t>
      </w:r>
      <w:r w:rsidR="00155424">
        <w:rPr>
          <w:rFonts w:ascii="Arial" w:hAnsi="Arial" w:cs="Arial"/>
          <w:b/>
          <w:bCs/>
          <w:color w:val="000000"/>
        </w:rPr>
        <w:t>y</w:t>
      </w:r>
    </w:p>
    <w:p w14:paraId="569B24E2" w14:textId="6875ECD1" w:rsidR="003E59F0" w:rsidRPr="003E59F0" w:rsidRDefault="003E59F0" w:rsidP="00155424">
      <w:pPr>
        <w:spacing w:after="120"/>
        <w:jc w:val="center"/>
        <w:textAlignment w:val="baseline"/>
        <w:rPr>
          <w:rFonts w:ascii="Segoe UI" w:eastAsia="Times New Roman" w:hAnsi="Segoe UI" w:cs="Segoe UI"/>
          <w:color w:val="000000"/>
          <w:sz w:val="18"/>
          <w:szCs w:val="18"/>
          <w:lang w:val="en-AU"/>
        </w:rPr>
      </w:pPr>
      <w:r w:rsidRPr="003E59F0">
        <w:rPr>
          <w:rFonts w:ascii="Arial" w:eastAsia="Times New Roman" w:hAnsi="Arial" w:cs="Arial"/>
          <w:b/>
          <w:bCs/>
          <w:color w:val="000000"/>
          <w:sz w:val="24"/>
          <w:szCs w:val="24"/>
          <w:lang w:val="en-AU"/>
        </w:rPr>
        <w:t>Statement of Performance</w:t>
      </w:r>
    </w:p>
    <w:p w14:paraId="51321D27" w14:textId="415574C2" w:rsidR="003E59F0" w:rsidRPr="003E59F0" w:rsidRDefault="003E59F0" w:rsidP="00155424">
      <w:pPr>
        <w:spacing w:after="120"/>
        <w:jc w:val="center"/>
        <w:textAlignment w:val="baseline"/>
        <w:rPr>
          <w:rFonts w:ascii="Segoe UI" w:eastAsia="Times New Roman" w:hAnsi="Segoe UI" w:cs="Segoe UI"/>
          <w:color w:val="000000"/>
          <w:sz w:val="18"/>
          <w:szCs w:val="18"/>
          <w:lang w:val="en-AU"/>
        </w:rPr>
      </w:pPr>
      <w:r w:rsidRPr="003E59F0">
        <w:rPr>
          <w:rFonts w:ascii="Arial" w:eastAsia="Times New Roman" w:hAnsi="Arial" w:cs="Arial"/>
          <w:b/>
          <w:bCs/>
          <w:color w:val="000000"/>
          <w:sz w:val="24"/>
          <w:szCs w:val="24"/>
          <w:lang w:val="en-AU"/>
        </w:rPr>
        <w:t>For the Year End</w:t>
      </w:r>
      <w:r w:rsidRPr="007833F1">
        <w:rPr>
          <w:rFonts w:ascii="Arial" w:eastAsia="Times New Roman" w:hAnsi="Arial" w:cs="Arial"/>
          <w:b/>
          <w:bCs/>
          <w:color w:val="000000"/>
          <w:sz w:val="24"/>
          <w:szCs w:val="24"/>
          <w:lang w:val="en-AU"/>
        </w:rPr>
        <w:t>ed 30 June 2026</w:t>
      </w:r>
    </w:p>
    <w:p w14:paraId="5694D72B" w14:textId="189E9CAC" w:rsidR="003E59F0" w:rsidRDefault="003E59F0" w:rsidP="007833F1">
      <w:pPr>
        <w:spacing w:after="120"/>
        <w:jc w:val="center"/>
        <w:textAlignment w:val="baseline"/>
        <w:rPr>
          <w:rFonts w:ascii="Segoe UI" w:eastAsia="Times New Roman" w:hAnsi="Segoe UI" w:cs="Segoe UI"/>
          <w:color w:val="000000"/>
          <w:sz w:val="18"/>
          <w:szCs w:val="18"/>
          <w:lang w:val="en-AU"/>
        </w:rPr>
      </w:pPr>
    </w:p>
    <w:p w14:paraId="02C05A14" w14:textId="77777777" w:rsidR="008D1C9C" w:rsidRDefault="008D1C9C" w:rsidP="007833F1">
      <w:pPr>
        <w:spacing w:after="120"/>
        <w:jc w:val="center"/>
        <w:textAlignment w:val="baseline"/>
        <w:rPr>
          <w:rFonts w:ascii="Segoe UI" w:eastAsia="Times New Roman" w:hAnsi="Segoe UI" w:cs="Segoe UI"/>
          <w:color w:val="000000"/>
          <w:sz w:val="18"/>
          <w:szCs w:val="18"/>
          <w:lang w:val="en-AU"/>
        </w:rPr>
      </w:pPr>
    </w:p>
    <w:p w14:paraId="17A1A91A" w14:textId="77777777" w:rsidR="008D1C9C" w:rsidRDefault="008D1C9C" w:rsidP="007833F1">
      <w:pPr>
        <w:spacing w:after="120"/>
        <w:jc w:val="center"/>
        <w:textAlignment w:val="baseline"/>
        <w:rPr>
          <w:rFonts w:ascii="Segoe UI" w:eastAsia="Times New Roman" w:hAnsi="Segoe UI" w:cs="Segoe UI"/>
          <w:color w:val="000000"/>
          <w:sz w:val="18"/>
          <w:szCs w:val="18"/>
          <w:lang w:val="en-AU"/>
        </w:rPr>
      </w:pPr>
    </w:p>
    <w:p w14:paraId="270F7107" w14:textId="17ED27B0" w:rsidR="003E59F0" w:rsidRDefault="003E59F0" w:rsidP="003E59F0">
      <w:pPr>
        <w:spacing w:after="0" w:line="240" w:lineRule="auto"/>
        <w:jc w:val="center"/>
        <w:textAlignment w:val="baseline"/>
        <w:rPr>
          <w:rFonts w:ascii="Arial" w:eastAsia="Times New Roman" w:hAnsi="Arial" w:cs="Arial"/>
          <w:b/>
          <w:bCs/>
          <w:color w:val="000000"/>
          <w:sz w:val="24"/>
          <w:szCs w:val="24"/>
          <w:lang w:val="en-AU"/>
        </w:rPr>
      </w:pPr>
      <w:r w:rsidRPr="003E59F0">
        <w:rPr>
          <w:rFonts w:ascii="Arial" w:eastAsia="Times New Roman" w:hAnsi="Arial" w:cs="Arial"/>
          <w:b/>
          <w:bCs/>
          <w:color w:val="000000"/>
          <w:sz w:val="24"/>
          <w:szCs w:val="24"/>
          <w:lang w:val="en-AU"/>
        </w:rPr>
        <w:t>Statement of Responsibility</w:t>
      </w:r>
    </w:p>
    <w:p w14:paraId="52271D6D" w14:textId="77777777" w:rsidR="008D1C9C" w:rsidRDefault="008D1C9C" w:rsidP="007833F1">
      <w:pPr>
        <w:spacing w:after="120"/>
        <w:jc w:val="center"/>
        <w:textAlignment w:val="baseline"/>
        <w:rPr>
          <w:rFonts w:ascii="Arial" w:eastAsia="Times New Roman" w:hAnsi="Arial" w:cs="Arial"/>
          <w:b/>
          <w:bCs/>
          <w:color w:val="000000"/>
          <w:sz w:val="24"/>
          <w:szCs w:val="24"/>
          <w:lang w:val="en-AU"/>
        </w:rPr>
      </w:pPr>
    </w:p>
    <w:p w14:paraId="5015183C" w14:textId="77777777" w:rsidR="008D1C9C" w:rsidRPr="003E59F0" w:rsidRDefault="008D1C9C" w:rsidP="007833F1">
      <w:pPr>
        <w:spacing w:after="120"/>
        <w:jc w:val="center"/>
        <w:textAlignment w:val="baseline"/>
        <w:rPr>
          <w:rFonts w:ascii="Segoe UI" w:eastAsia="Times New Roman" w:hAnsi="Segoe UI" w:cs="Segoe UI"/>
          <w:color w:val="000000"/>
          <w:sz w:val="18"/>
          <w:szCs w:val="18"/>
          <w:lang w:val="en-AU"/>
        </w:rPr>
      </w:pPr>
    </w:p>
    <w:p w14:paraId="6DD0987E" w14:textId="5FA9E2AC" w:rsidR="003E59F0" w:rsidRPr="003E59F0" w:rsidRDefault="003E59F0" w:rsidP="008C0528">
      <w:pPr>
        <w:spacing w:after="0"/>
        <w:textAlignment w:val="baseline"/>
        <w:rPr>
          <w:rFonts w:ascii="Segoe UI" w:eastAsia="Times New Roman" w:hAnsi="Segoe UI" w:cs="Segoe UI"/>
          <w:color w:val="000000"/>
          <w:sz w:val="18"/>
          <w:szCs w:val="18"/>
          <w:lang w:val="en-AU"/>
        </w:rPr>
      </w:pPr>
      <w:r w:rsidRPr="003E59F0">
        <w:rPr>
          <w:rFonts w:ascii="Arial" w:eastAsia="Times New Roman" w:hAnsi="Arial" w:cs="Arial"/>
          <w:color w:val="000000"/>
          <w:lang w:val="en-AU"/>
        </w:rPr>
        <w:t>In my opinion, the Statement of Performance is in agreement with the Long Service Leave Authority’s (ACT Leave) records and fairly reflects the performance of ACT Leave for the year ended 30 June 2026 and also fairly reflects the judgements exercised in preparing it.</w:t>
      </w:r>
    </w:p>
    <w:p w14:paraId="76770E0F" w14:textId="1369BFCC" w:rsidR="003E59F0" w:rsidRDefault="003E59F0" w:rsidP="007833F1">
      <w:pPr>
        <w:spacing w:after="120"/>
        <w:textAlignment w:val="baseline"/>
        <w:rPr>
          <w:rFonts w:eastAsia="Times New Roman" w:cstheme="majorHAnsi"/>
          <w:color w:val="000000"/>
          <w:lang w:val="en-AU"/>
        </w:rPr>
      </w:pPr>
    </w:p>
    <w:p w14:paraId="28CCB813" w14:textId="77777777" w:rsidR="00EF014D" w:rsidRPr="007833F1" w:rsidRDefault="00EF014D" w:rsidP="00C01DF6">
      <w:pPr>
        <w:spacing w:after="0"/>
        <w:textAlignment w:val="baseline"/>
        <w:rPr>
          <w:rFonts w:eastAsia="Times New Roman" w:cstheme="majorHAnsi"/>
          <w:color w:val="000000"/>
          <w:lang w:val="en-AU"/>
        </w:rPr>
      </w:pPr>
    </w:p>
    <w:p w14:paraId="2A80CDDC" w14:textId="3718DA6C" w:rsidR="008D1C9C" w:rsidRPr="007833F1" w:rsidRDefault="008D1C9C" w:rsidP="007833F1">
      <w:pPr>
        <w:spacing w:after="120"/>
        <w:textAlignment w:val="baseline"/>
        <w:rPr>
          <w:rFonts w:eastAsia="Times New Roman" w:cstheme="majorHAnsi"/>
          <w:color w:val="000000"/>
          <w:lang w:val="en-AU"/>
        </w:rPr>
      </w:pPr>
    </w:p>
    <w:p w14:paraId="2C7AE420" w14:textId="291130FE" w:rsidR="008D1C9C" w:rsidRPr="007833F1" w:rsidRDefault="008D1C9C" w:rsidP="007833F1">
      <w:pPr>
        <w:spacing w:after="120"/>
        <w:textAlignment w:val="baseline"/>
        <w:rPr>
          <w:rFonts w:eastAsia="Times New Roman" w:cstheme="majorHAnsi"/>
          <w:color w:val="000000"/>
          <w:lang w:val="en-AU"/>
        </w:rPr>
      </w:pPr>
    </w:p>
    <w:p w14:paraId="4D1F5238" w14:textId="41CC5EDF" w:rsidR="008D1C9C" w:rsidRPr="007833F1" w:rsidRDefault="008D1C9C" w:rsidP="007833F1">
      <w:pPr>
        <w:spacing w:after="120"/>
        <w:textAlignment w:val="baseline"/>
        <w:rPr>
          <w:rFonts w:eastAsia="Times New Roman" w:cstheme="majorHAnsi"/>
          <w:color w:val="000000"/>
          <w:lang w:val="en-AU"/>
        </w:rPr>
      </w:pPr>
    </w:p>
    <w:p w14:paraId="74BC0939" w14:textId="77777777" w:rsidR="008D1C9C" w:rsidRDefault="008D1C9C" w:rsidP="003E59F0">
      <w:pPr>
        <w:spacing w:after="0" w:line="240" w:lineRule="auto"/>
        <w:textAlignment w:val="baseline"/>
        <w:rPr>
          <w:rFonts w:ascii="Segoe UI" w:eastAsia="Times New Roman" w:hAnsi="Segoe UI" w:cs="Segoe UI"/>
          <w:color w:val="000000"/>
          <w:sz w:val="18"/>
          <w:szCs w:val="18"/>
          <w:lang w:val="en-AU"/>
        </w:rPr>
      </w:pPr>
    </w:p>
    <w:p w14:paraId="4E2F3078" w14:textId="5D0BFE7C" w:rsidR="003E59F0" w:rsidRPr="003E59F0" w:rsidRDefault="003E59F0" w:rsidP="00C761CA">
      <w:pPr>
        <w:spacing w:before="120" w:after="0"/>
        <w:textAlignment w:val="baseline"/>
        <w:rPr>
          <w:rFonts w:ascii="Segoe UI" w:eastAsia="Times New Roman" w:hAnsi="Segoe UI" w:cs="Segoe UI"/>
          <w:color w:val="000000"/>
          <w:sz w:val="18"/>
          <w:szCs w:val="18"/>
          <w:lang w:val="en-AU"/>
        </w:rPr>
      </w:pPr>
      <w:r w:rsidRPr="003E59F0">
        <w:rPr>
          <w:rFonts w:ascii="Arial" w:eastAsia="Times New Roman" w:hAnsi="Arial" w:cs="Arial"/>
          <w:color w:val="000000"/>
          <w:lang w:val="en-AU"/>
        </w:rPr>
        <w:t>Justine Ross</w:t>
      </w:r>
    </w:p>
    <w:p w14:paraId="0363510D" w14:textId="302ED4E2" w:rsidR="003E59F0" w:rsidRPr="003E59F0" w:rsidRDefault="003E59F0" w:rsidP="008C0528">
      <w:pPr>
        <w:spacing w:after="0"/>
        <w:textAlignment w:val="baseline"/>
        <w:rPr>
          <w:rFonts w:ascii="Segoe UI" w:eastAsia="Times New Roman" w:hAnsi="Segoe UI" w:cs="Segoe UI"/>
          <w:color w:val="000000"/>
          <w:sz w:val="18"/>
          <w:szCs w:val="18"/>
          <w:lang w:val="en-AU"/>
        </w:rPr>
      </w:pPr>
      <w:r w:rsidRPr="003E59F0">
        <w:rPr>
          <w:rFonts w:ascii="Arial" w:eastAsia="Times New Roman" w:hAnsi="Arial" w:cs="Arial"/>
          <w:color w:val="000000"/>
          <w:lang w:val="en-AU"/>
        </w:rPr>
        <w:t>Chair</w:t>
      </w:r>
    </w:p>
    <w:p w14:paraId="142910F4" w14:textId="0FA9A2EB" w:rsidR="003E59F0" w:rsidRPr="003E59F0" w:rsidRDefault="003E59F0" w:rsidP="008C0528">
      <w:pPr>
        <w:spacing w:after="0"/>
        <w:textAlignment w:val="baseline"/>
        <w:rPr>
          <w:rFonts w:ascii="Segoe UI" w:eastAsia="Times New Roman" w:hAnsi="Segoe UI" w:cs="Segoe UI"/>
          <w:color w:val="000000"/>
          <w:sz w:val="18"/>
          <w:szCs w:val="18"/>
          <w:lang w:val="en-AU"/>
        </w:rPr>
      </w:pPr>
      <w:r w:rsidRPr="003E59F0">
        <w:rPr>
          <w:rFonts w:ascii="Arial" w:eastAsia="Times New Roman" w:hAnsi="Arial" w:cs="Arial"/>
          <w:color w:val="000000"/>
          <w:lang w:val="en-AU"/>
        </w:rPr>
        <w:t>Long Service Leave Authority</w:t>
      </w:r>
    </w:p>
    <w:p w14:paraId="1D9D4344" w14:textId="34C2A24E" w:rsidR="003E59F0" w:rsidRPr="003E59F0" w:rsidRDefault="003E59F0" w:rsidP="008C0528">
      <w:pPr>
        <w:spacing w:after="0"/>
        <w:textAlignment w:val="baseline"/>
        <w:rPr>
          <w:rFonts w:ascii="Segoe UI" w:eastAsia="Times New Roman" w:hAnsi="Segoe UI" w:cs="Segoe UI"/>
          <w:color w:val="000000"/>
          <w:sz w:val="18"/>
          <w:szCs w:val="18"/>
          <w:lang w:val="en-AU"/>
        </w:rPr>
      </w:pPr>
      <w:r w:rsidRPr="003E59F0">
        <w:rPr>
          <w:rFonts w:ascii="Arial" w:eastAsia="Times New Roman" w:hAnsi="Arial" w:cs="Arial"/>
          <w:color w:val="000000"/>
          <w:lang w:val="en-AU"/>
        </w:rPr>
        <w:t>14 September 2026</w:t>
      </w:r>
    </w:p>
    <w:p w14:paraId="6F67F09D" w14:textId="231F2FDC" w:rsidR="00C01DF6" w:rsidRDefault="00C01DF6">
      <w:pPr>
        <w:spacing w:before="120" w:after="120" w:line="240" w:lineRule="auto"/>
        <w:rPr>
          <w:rFonts w:ascii="Arial" w:eastAsiaTheme="majorEastAsia" w:hAnsi="Arial" w:cstheme="majorBidi"/>
          <w:b/>
          <w:color w:val="081DA4" w:themeColor="text2"/>
          <w:spacing w:val="-10"/>
          <w:sz w:val="44"/>
          <w:szCs w:val="32"/>
          <w:lang w:val="en-AU" w:eastAsia="en-US"/>
        </w:rPr>
      </w:pPr>
    </w:p>
    <w:p w14:paraId="7E7BE030" w14:textId="77777777" w:rsidR="00C01DF6" w:rsidRDefault="00C01DF6">
      <w:pPr>
        <w:spacing w:before="120" w:after="120" w:line="240" w:lineRule="auto"/>
        <w:rPr>
          <w:rFonts w:ascii="Arial" w:eastAsiaTheme="majorEastAsia" w:hAnsi="Arial" w:cstheme="majorBidi"/>
          <w:b/>
          <w:color w:val="081DA4" w:themeColor="text2"/>
          <w:spacing w:val="-10"/>
          <w:sz w:val="44"/>
          <w:szCs w:val="32"/>
          <w:lang w:val="en-AU" w:eastAsia="en-US"/>
        </w:rPr>
      </w:pPr>
      <w:r>
        <w:rPr>
          <w:rFonts w:ascii="Arial" w:eastAsiaTheme="majorEastAsia" w:hAnsi="Arial" w:cstheme="majorBidi"/>
          <w:b/>
          <w:color w:val="081DA4" w:themeColor="text2"/>
          <w:spacing w:val="-10"/>
          <w:sz w:val="44"/>
          <w:szCs w:val="32"/>
          <w:lang w:val="en-AU" w:eastAsia="en-US"/>
        </w:rPr>
        <w:br w:type="page"/>
      </w:r>
    </w:p>
    <w:p w14:paraId="6B517931" w14:textId="77777777" w:rsidR="005755D0" w:rsidRPr="005755D0" w:rsidRDefault="005755D0" w:rsidP="005755D0">
      <w:pPr>
        <w:spacing w:after="120"/>
        <w:jc w:val="center"/>
        <w:textAlignment w:val="baseline"/>
        <w:rPr>
          <w:rFonts w:ascii="Segoe UI" w:eastAsia="Times New Roman" w:hAnsi="Segoe UI" w:cs="Segoe UI"/>
          <w:color w:val="000000"/>
          <w:sz w:val="18"/>
          <w:szCs w:val="18"/>
          <w:lang w:val="en-AU"/>
        </w:rPr>
      </w:pPr>
      <w:r w:rsidRPr="005755D0">
        <w:rPr>
          <w:rFonts w:ascii="Arial" w:eastAsia="Times New Roman" w:hAnsi="Arial" w:cs="Arial"/>
          <w:b/>
          <w:bCs/>
          <w:color w:val="000000"/>
          <w:sz w:val="24"/>
          <w:szCs w:val="24"/>
          <w:lang w:val="en-AU"/>
        </w:rPr>
        <w:lastRenderedPageBreak/>
        <w:t>LONG SERVICE LEAVE AUTHORITY</w:t>
      </w:r>
      <w:r w:rsidRPr="005755D0">
        <w:rPr>
          <w:rFonts w:ascii="Arial" w:eastAsia="Times New Roman" w:hAnsi="Arial" w:cs="Arial"/>
          <w:color w:val="000000"/>
          <w:sz w:val="24"/>
          <w:szCs w:val="24"/>
          <w:lang w:val="en-AU"/>
        </w:rPr>
        <w:t> </w:t>
      </w:r>
    </w:p>
    <w:p w14:paraId="2FA33614" w14:textId="77777777" w:rsidR="005755D0" w:rsidRPr="005755D0" w:rsidRDefault="005755D0" w:rsidP="005755D0">
      <w:pPr>
        <w:spacing w:after="120"/>
        <w:ind w:left="-360"/>
        <w:jc w:val="center"/>
        <w:textAlignment w:val="baseline"/>
        <w:rPr>
          <w:rFonts w:ascii="Segoe UI" w:eastAsia="Times New Roman" w:hAnsi="Segoe UI" w:cs="Segoe UI"/>
          <w:color w:val="000000"/>
          <w:sz w:val="18"/>
          <w:szCs w:val="18"/>
          <w:lang w:val="en-AU"/>
        </w:rPr>
      </w:pPr>
      <w:r w:rsidRPr="005755D0">
        <w:rPr>
          <w:rFonts w:ascii="Arial" w:eastAsia="Times New Roman" w:hAnsi="Arial" w:cs="Arial"/>
          <w:b/>
          <w:bCs/>
          <w:color w:val="000000"/>
          <w:sz w:val="24"/>
          <w:szCs w:val="24"/>
          <w:lang w:val="en-AU"/>
        </w:rPr>
        <w:t>     STATEMENT OF PERFORMANCE</w:t>
      </w:r>
      <w:r w:rsidRPr="005755D0">
        <w:rPr>
          <w:rFonts w:ascii="Arial" w:eastAsia="Times New Roman" w:hAnsi="Arial" w:cs="Arial"/>
          <w:color w:val="000000"/>
          <w:sz w:val="24"/>
          <w:szCs w:val="24"/>
          <w:lang w:val="en-AU"/>
        </w:rPr>
        <w:t> </w:t>
      </w:r>
    </w:p>
    <w:p w14:paraId="627A3BF1" w14:textId="1DF117DE" w:rsidR="00021A9B" w:rsidRPr="005A3EC0" w:rsidRDefault="005755D0" w:rsidP="005A3EC0">
      <w:pPr>
        <w:spacing w:after="120"/>
        <w:ind w:left="-360"/>
        <w:jc w:val="center"/>
        <w:textAlignment w:val="baseline"/>
        <w:rPr>
          <w:rFonts w:ascii="Segoe UI" w:eastAsia="Times New Roman" w:hAnsi="Segoe UI" w:cs="Segoe UI"/>
          <w:color w:val="000000"/>
          <w:sz w:val="18"/>
          <w:szCs w:val="18"/>
          <w:lang w:val="en-AU"/>
        </w:rPr>
      </w:pPr>
      <w:r w:rsidRPr="005755D0">
        <w:rPr>
          <w:rFonts w:ascii="Arial" w:eastAsia="Times New Roman" w:hAnsi="Arial" w:cs="Arial"/>
          <w:b/>
          <w:bCs/>
          <w:color w:val="000000"/>
          <w:sz w:val="24"/>
          <w:szCs w:val="24"/>
          <w:lang w:val="en-AU"/>
        </w:rPr>
        <w:t>      FOR THE YEAR ENDED 30 JUNE 2026</w:t>
      </w:r>
      <w:r w:rsidRPr="005755D0">
        <w:rPr>
          <w:rFonts w:ascii="Arial" w:eastAsia="Times New Roman" w:hAnsi="Arial" w:cs="Arial"/>
          <w:color w:val="000000"/>
          <w:sz w:val="24"/>
          <w:szCs w:val="24"/>
          <w:lang w:val="en-AU"/>
        </w:rPr>
        <w:t> </w:t>
      </w:r>
    </w:p>
    <w:tbl>
      <w:tblPr>
        <w:tblpPr w:leftFromText="180" w:rightFromText="180" w:vertAnchor="text" w:horzAnchor="margin" w:tblpX="-147" w:tblpY="18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2377"/>
        <w:gridCol w:w="1048"/>
        <w:gridCol w:w="2127"/>
        <w:gridCol w:w="1834"/>
        <w:gridCol w:w="717"/>
      </w:tblGrid>
      <w:tr w:rsidR="00021A9B" w:rsidRPr="00FB3FA1" w14:paraId="354FF67C" w14:textId="77777777" w:rsidTr="00F0752D">
        <w:trPr>
          <w:cantSplit/>
          <w:trHeight w:val="841"/>
          <w:tblHeader/>
        </w:trPr>
        <w:tc>
          <w:tcPr>
            <w:tcW w:w="2240" w:type="dxa"/>
            <w:tcBorders>
              <w:bottom w:val="single" w:sz="4" w:space="0" w:color="auto"/>
            </w:tcBorders>
            <w:shd w:val="clear" w:color="auto" w:fill="E6E6E6"/>
            <w:vAlign w:val="center"/>
          </w:tcPr>
          <w:p w14:paraId="065A7C46" w14:textId="77777777" w:rsidR="00021A9B" w:rsidRPr="005A3EC0" w:rsidRDefault="00021A9B" w:rsidP="00F0752D">
            <w:pPr>
              <w:spacing w:after="0" w:line="240" w:lineRule="auto"/>
              <w:jc w:val="center"/>
              <w:rPr>
                <w:rFonts w:ascii="Arial" w:hAnsi="Arial" w:cs="Arial"/>
                <w:b/>
                <w:sz w:val="18"/>
                <w:szCs w:val="18"/>
              </w:rPr>
            </w:pPr>
            <w:r w:rsidRPr="005A3EC0">
              <w:rPr>
                <w:rFonts w:ascii="Arial" w:hAnsi="Arial" w:cs="Arial"/>
                <w:b/>
                <w:sz w:val="18"/>
                <w:szCs w:val="18"/>
              </w:rPr>
              <w:t>Objective</w:t>
            </w:r>
          </w:p>
        </w:tc>
        <w:tc>
          <w:tcPr>
            <w:tcW w:w="2377" w:type="dxa"/>
            <w:shd w:val="clear" w:color="auto" w:fill="E6E6E6"/>
            <w:vAlign w:val="center"/>
          </w:tcPr>
          <w:p w14:paraId="585E363C" w14:textId="77777777" w:rsidR="00021A9B" w:rsidRPr="005A3EC0" w:rsidRDefault="00021A9B" w:rsidP="00F0752D">
            <w:pPr>
              <w:spacing w:after="0" w:line="240" w:lineRule="auto"/>
              <w:jc w:val="center"/>
              <w:rPr>
                <w:rFonts w:ascii="Arial" w:hAnsi="Arial" w:cs="Arial"/>
                <w:b/>
                <w:sz w:val="18"/>
                <w:szCs w:val="18"/>
              </w:rPr>
            </w:pPr>
            <w:r w:rsidRPr="005A3EC0">
              <w:rPr>
                <w:rFonts w:ascii="Arial" w:hAnsi="Arial" w:cs="Arial"/>
                <w:b/>
                <w:sz w:val="18"/>
                <w:szCs w:val="18"/>
              </w:rPr>
              <w:t>Accountability Indicator</w:t>
            </w:r>
          </w:p>
        </w:tc>
        <w:tc>
          <w:tcPr>
            <w:tcW w:w="1048" w:type="dxa"/>
            <w:shd w:val="clear" w:color="auto" w:fill="E6E6E6"/>
            <w:vAlign w:val="center"/>
          </w:tcPr>
          <w:p w14:paraId="31538D77" w14:textId="77777777" w:rsidR="00021A9B" w:rsidRPr="005A3EC0" w:rsidRDefault="00021A9B" w:rsidP="00F0752D">
            <w:pPr>
              <w:spacing w:after="0" w:line="240" w:lineRule="auto"/>
              <w:jc w:val="center"/>
              <w:rPr>
                <w:rFonts w:ascii="Arial" w:hAnsi="Arial" w:cs="Arial"/>
                <w:b/>
                <w:sz w:val="18"/>
                <w:szCs w:val="18"/>
              </w:rPr>
            </w:pPr>
            <w:r w:rsidRPr="005A3EC0">
              <w:rPr>
                <w:rFonts w:ascii="Arial" w:hAnsi="Arial" w:cs="Arial"/>
                <w:b/>
                <w:sz w:val="18"/>
                <w:szCs w:val="18"/>
              </w:rPr>
              <w:t>2025-26 Target</w:t>
            </w:r>
          </w:p>
        </w:tc>
        <w:tc>
          <w:tcPr>
            <w:tcW w:w="2127" w:type="dxa"/>
            <w:shd w:val="clear" w:color="auto" w:fill="E6E6E6"/>
            <w:vAlign w:val="center"/>
          </w:tcPr>
          <w:p w14:paraId="6D66D6C2" w14:textId="77777777" w:rsidR="00021A9B" w:rsidRPr="005A3EC0" w:rsidRDefault="00021A9B" w:rsidP="00F0752D">
            <w:pPr>
              <w:spacing w:after="0" w:line="240" w:lineRule="auto"/>
              <w:jc w:val="center"/>
              <w:rPr>
                <w:rFonts w:ascii="Arial" w:hAnsi="Arial" w:cs="Arial"/>
                <w:b/>
                <w:sz w:val="18"/>
                <w:szCs w:val="18"/>
              </w:rPr>
            </w:pPr>
            <w:r w:rsidRPr="005A3EC0">
              <w:rPr>
                <w:rFonts w:ascii="Arial" w:hAnsi="Arial" w:cs="Arial"/>
                <w:b/>
                <w:sz w:val="18"/>
                <w:szCs w:val="18"/>
              </w:rPr>
              <w:t xml:space="preserve">2025-26 </w:t>
            </w:r>
          </w:p>
          <w:p w14:paraId="1D49CA16" w14:textId="77777777" w:rsidR="00021A9B" w:rsidRPr="005A3EC0" w:rsidRDefault="00021A9B" w:rsidP="00F0752D">
            <w:pPr>
              <w:spacing w:after="0" w:line="240" w:lineRule="auto"/>
              <w:jc w:val="center"/>
              <w:rPr>
                <w:rFonts w:ascii="Arial" w:hAnsi="Arial" w:cs="Arial"/>
                <w:b/>
                <w:sz w:val="18"/>
                <w:szCs w:val="18"/>
              </w:rPr>
            </w:pPr>
            <w:r w:rsidRPr="005A3EC0">
              <w:rPr>
                <w:rFonts w:ascii="Arial" w:hAnsi="Arial" w:cs="Arial"/>
                <w:b/>
                <w:sz w:val="18"/>
                <w:szCs w:val="18"/>
              </w:rPr>
              <w:t>Result</w:t>
            </w:r>
          </w:p>
        </w:tc>
        <w:tc>
          <w:tcPr>
            <w:tcW w:w="1834" w:type="dxa"/>
            <w:shd w:val="clear" w:color="auto" w:fill="E6E6E6"/>
          </w:tcPr>
          <w:p w14:paraId="32DA8057" w14:textId="77777777" w:rsidR="00021A9B" w:rsidRPr="005A3EC0" w:rsidRDefault="00021A9B" w:rsidP="00F0752D">
            <w:pPr>
              <w:spacing w:after="0" w:line="240" w:lineRule="auto"/>
              <w:jc w:val="center"/>
              <w:rPr>
                <w:rFonts w:ascii="Arial" w:hAnsi="Arial" w:cs="Arial"/>
                <w:b/>
                <w:sz w:val="18"/>
                <w:szCs w:val="18"/>
              </w:rPr>
            </w:pPr>
          </w:p>
          <w:p w14:paraId="037A54FD" w14:textId="77777777" w:rsidR="00021A9B" w:rsidRPr="005A3EC0" w:rsidRDefault="00021A9B" w:rsidP="00F0752D">
            <w:pPr>
              <w:spacing w:after="0" w:line="240" w:lineRule="auto"/>
              <w:jc w:val="center"/>
              <w:rPr>
                <w:rFonts w:ascii="Arial" w:hAnsi="Arial" w:cs="Arial"/>
                <w:b/>
                <w:sz w:val="18"/>
                <w:szCs w:val="18"/>
              </w:rPr>
            </w:pPr>
            <w:r w:rsidRPr="005A3EC0">
              <w:rPr>
                <w:rFonts w:ascii="Arial" w:hAnsi="Arial" w:cs="Arial"/>
                <w:b/>
                <w:sz w:val="18"/>
                <w:szCs w:val="18"/>
              </w:rPr>
              <w:t>% Variance fro</w:t>
            </w:r>
            <w:smartTag w:uri="urn:schemas-microsoft-com:office:smarttags" w:element="PersonName">
              <w:r w:rsidRPr="005A3EC0">
                <w:rPr>
                  <w:rFonts w:ascii="Arial" w:hAnsi="Arial" w:cs="Arial"/>
                  <w:b/>
                  <w:sz w:val="18"/>
                  <w:szCs w:val="18"/>
                </w:rPr>
                <w:t>m</w:t>
              </w:r>
            </w:smartTag>
            <w:r w:rsidRPr="005A3EC0">
              <w:rPr>
                <w:rFonts w:ascii="Arial" w:hAnsi="Arial" w:cs="Arial"/>
                <w:b/>
                <w:sz w:val="18"/>
                <w:szCs w:val="18"/>
              </w:rPr>
              <w:t xml:space="preserve"> Target </w:t>
            </w:r>
          </w:p>
        </w:tc>
        <w:tc>
          <w:tcPr>
            <w:tcW w:w="717" w:type="dxa"/>
            <w:shd w:val="clear" w:color="auto" w:fill="E6E6E6"/>
            <w:vAlign w:val="center"/>
          </w:tcPr>
          <w:p w14:paraId="071B170D" w14:textId="77777777" w:rsidR="00021A9B" w:rsidRPr="005A3EC0" w:rsidRDefault="00021A9B" w:rsidP="00F0752D">
            <w:pPr>
              <w:spacing w:after="0" w:line="240" w:lineRule="auto"/>
              <w:jc w:val="center"/>
              <w:rPr>
                <w:rFonts w:ascii="Arial" w:hAnsi="Arial" w:cs="Arial"/>
                <w:b/>
                <w:sz w:val="18"/>
                <w:szCs w:val="18"/>
              </w:rPr>
            </w:pPr>
            <w:r w:rsidRPr="005A3EC0">
              <w:rPr>
                <w:rFonts w:ascii="Arial" w:hAnsi="Arial" w:cs="Arial"/>
                <w:b/>
                <w:sz w:val="18"/>
                <w:szCs w:val="18"/>
              </w:rPr>
              <w:t>Notes</w:t>
            </w:r>
          </w:p>
        </w:tc>
      </w:tr>
      <w:tr w:rsidR="00021A9B" w:rsidRPr="00FB3FA1" w14:paraId="409D6B96" w14:textId="77777777" w:rsidTr="001B7D29">
        <w:trPr>
          <w:trHeight w:val="1393"/>
          <w:tblHeader/>
        </w:trPr>
        <w:tc>
          <w:tcPr>
            <w:tcW w:w="2240" w:type="dxa"/>
            <w:vMerge w:val="restart"/>
            <w:tcMar>
              <w:top w:w="113" w:type="dxa"/>
              <w:bottom w:w="113" w:type="dxa"/>
            </w:tcMar>
          </w:tcPr>
          <w:p w14:paraId="57AFC5B1" w14:textId="77777777" w:rsidR="00021A9B" w:rsidRPr="005A3EC0" w:rsidRDefault="00021A9B" w:rsidP="00F0752D">
            <w:pPr>
              <w:spacing w:after="0" w:line="240" w:lineRule="auto"/>
              <w:rPr>
                <w:rFonts w:ascii="Arial" w:hAnsi="Arial" w:cs="Arial"/>
                <w:b/>
                <w:i/>
                <w:sz w:val="18"/>
                <w:szCs w:val="18"/>
              </w:rPr>
            </w:pPr>
            <w:r w:rsidRPr="005A3EC0">
              <w:rPr>
                <w:rFonts w:ascii="Arial" w:hAnsi="Arial" w:cs="Arial"/>
                <w:b/>
                <w:sz w:val="18"/>
                <w:szCs w:val="18"/>
              </w:rPr>
              <w:t xml:space="preserve">1. Manage appropriate processes to identify and register eligible employers and their employees under relevant schemes. </w:t>
            </w:r>
          </w:p>
        </w:tc>
        <w:tc>
          <w:tcPr>
            <w:tcW w:w="2377" w:type="dxa"/>
            <w:tcBorders>
              <w:top w:val="single" w:sz="6" w:space="0" w:color="auto"/>
              <w:left w:val="single" w:sz="6" w:space="0" w:color="auto"/>
              <w:bottom w:val="single" w:sz="6" w:space="0" w:color="auto"/>
              <w:right w:val="single" w:sz="6" w:space="0" w:color="auto"/>
            </w:tcBorders>
            <w:tcMar>
              <w:top w:w="113" w:type="dxa"/>
              <w:bottom w:w="113" w:type="dxa"/>
            </w:tcMar>
          </w:tcPr>
          <w:p w14:paraId="0D3FFE8E" w14:textId="77777777" w:rsidR="00021A9B" w:rsidRPr="005A3EC0" w:rsidRDefault="00021A9B" w:rsidP="00F0752D">
            <w:pPr>
              <w:spacing w:after="0" w:line="240" w:lineRule="auto"/>
              <w:rPr>
                <w:rFonts w:ascii="Arial" w:hAnsi="Arial" w:cs="Arial"/>
                <w:sz w:val="18"/>
                <w:szCs w:val="18"/>
              </w:rPr>
            </w:pPr>
            <w:r w:rsidRPr="005A3EC0">
              <w:rPr>
                <w:rStyle w:val="normaltextrun"/>
                <w:rFonts w:ascii="Arial" w:hAnsi="Arial" w:cs="Arial"/>
                <w:sz w:val="18"/>
                <w:szCs w:val="18"/>
              </w:rPr>
              <w:t>Percentage of employer registrations completed within 10 working days of receipt of a correctly completed and verified application form.</w:t>
            </w:r>
            <w:r w:rsidRPr="005A3EC0">
              <w:rPr>
                <w:rStyle w:val="eop"/>
                <w:rFonts w:ascii="Arial" w:hAnsi="Arial" w:cs="Arial"/>
                <w:sz w:val="18"/>
                <w:szCs w:val="18"/>
              </w:rPr>
              <w:t> </w:t>
            </w:r>
          </w:p>
        </w:tc>
        <w:tc>
          <w:tcPr>
            <w:tcW w:w="1048" w:type="dxa"/>
            <w:tcMar>
              <w:top w:w="113" w:type="dxa"/>
              <w:bottom w:w="113" w:type="dxa"/>
            </w:tcMar>
          </w:tcPr>
          <w:p w14:paraId="6B154C99"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95%</w:t>
            </w:r>
          </w:p>
        </w:tc>
        <w:tc>
          <w:tcPr>
            <w:tcW w:w="2127" w:type="dxa"/>
            <w:tcMar>
              <w:top w:w="113" w:type="dxa"/>
              <w:bottom w:w="113" w:type="dxa"/>
            </w:tcMar>
          </w:tcPr>
          <w:p w14:paraId="2B288092"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99.7%</w:t>
            </w:r>
          </w:p>
        </w:tc>
        <w:tc>
          <w:tcPr>
            <w:tcW w:w="1834" w:type="dxa"/>
            <w:tcMar>
              <w:top w:w="113" w:type="dxa"/>
              <w:bottom w:w="113" w:type="dxa"/>
            </w:tcMar>
          </w:tcPr>
          <w:p w14:paraId="4BD92599"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4.9%</w:t>
            </w:r>
          </w:p>
        </w:tc>
        <w:tc>
          <w:tcPr>
            <w:tcW w:w="717" w:type="dxa"/>
            <w:tcMar>
              <w:top w:w="113" w:type="dxa"/>
              <w:bottom w:w="113" w:type="dxa"/>
            </w:tcMar>
          </w:tcPr>
          <w:p w14:paraId="64844023"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1</w:t>
            </w:r>
          </w:p>
        </w:tc>
      </w:tr>
      <w:tr w:rsidR="00021A9B" w:rsidRPr="00FB3FA1" w14:paraId="2BF046DB" w14:textId="77777777" w:rsidTr="001B7D29">
        <w:trPr>
          <w:trHeight w:val="1062"/>
          <w:tblHeader/>
        </w:trPr>
        <w:tc>
          <w:tcPr>
            <w:tcW w:w="2240" w:type="dxa"/>
            <w:vMerge/>
            <w:tcMar>
              <w:top w:w="113" w:type="dxa"/>
              <w:bottom w:w="113" w:type="dxa"/>
            </w:tcMar>
          </w:tcPr>
          <w:p w14:paraId="72353068" w14:textId="77777777" w:rsidR="00021A9B" w:rsidRPr="005A3EC0" w:rsidRDefault="00021A9B" w:rsidP="00F0752D">
            <w:pPr>
              <w:spacing w:after="0" w:line="240" w:lineRule="auto"/>
              <w:rPr>
                <w:rFonts w:ascii="Arial" w:hAnsi="Arial" w:cs="Arial"/>
                <w:b/>
                <w:sz w:val="18"/>
                <w:szCs w:val="18"/>
              </w:rPr>
            </w:pPr>
          </w:p>
        </w:tc>
        <w:tc>
          <w:tcPr>
            <w:tcW w:w="2377" w:type="dxa"/>
            <w:tcBorders>
              <w:top w:val="single" w:sz="6" w:space="0" w:color="auto"/>
              <w:left w:val="single" w:sz="6" w:space="0" w:color="auto"/>
              <w:bottom w:val="single" w:sz="6" w:space="0" w:color="auto"/>
              <w:right w:val="single" w:sz="6" w:space="0" w:color="auto"/>
            </w:tcBorders>
            <w:tcMar>
              <w:top w:w="113" w:type="dxa"/>
              <w:bottom w:w="113" w:type="dxa"/>
            </w:tcMar>
          </w:tcPr>
          <w:p w14:paraId="7D8EFA97" w14:textId="77777777" w:rsidR="00021A9B" w:rsidRPr="005A3EC0" w:rsidRDefault="00021A9B" w:rsidP="00F0752D">
            <w:pPr>
              <w:spacing w:after="0" w:line="240" w:lineRule="auto"/>
              <w:rPr>
                <w:rFonts w:ascii="Arial" w:hAnsi="Arial" w:cs="Arial"/>
                <w:sz w:val="18"/>
                <w:szCs w:val="18"/>
              </w:rPr>
            </w:pPr>
            <w:r w:rsidRPr="005A3EC0">
              <w:rPr>
                <w:rFonts w:ascii="Arial" w:hAnsi="Arial" w:cs="Arial"/>
                <w:sz w:val="18"/>
                <w:szCs w:val="18"/>
              </w:rPr>
              <w:t>Percentage of missing service claims completed within 10 working days of receipt of all the required information.</w:t>
            </w:r>
          </w:p>
        </w:tc>
        <w:tc>
          <w:tcPr>
            <w:tcW w:w="1048" w:type="dxa"/>
            <w:tcMar>
              <w:top w:w="113" w:type="dxa"/>
              <w:bottom w:w="113" w:type="dxa"/>
            </w:tcMar>
          </w:tcPr>
          <w:p w14:paraId="713079F3"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98%</w:t>
            </w:r>
          </w:p>
        </w:tc>
        <w:tc>
          <w:tcPr>
            <w:tcW w:w="2127" w:type="dxa"/>
            <w:tcMar>
              <w:top w:w="113" w:type="dxa"/>
              <w:bottom w:w="113" w:type="dxa"/>
            </w:tcMar>
          </w:tcPr>
          <w:p w14:paraId="6BC34C4C"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94.6%</w:t>
            </w:r>
          </w:p>
        </w:tc>
        <w:tc>
          <w:tcPr>
            <w:tcW w:w="1834" w:type="dxa"/>
            <w:tcMar>
              <w:top w:w="113" w:type="dxa"/>
              <w:bottom w:w="113" w:type="dxa"/>
            </w:tcMar>
          </w:tcPr>
          <w:p w14:paraId="3E52E48A"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-3.5%</w:t>
            </w:r>
          </w:p>
        </w:tc>
        <w:tc>
          <w:tcPr>
            <w:tcW w:w="717" w:type="dxa"/>
            <w:tcMar>
              <w:top w:w="113" w:type="dxa"/>
              <w:bottom w:w="113" w:type="dxa"/>
            </w:tcMar>
          </w:tcPr>
          <w:p w14:paraId="0D164F63"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2</w:t>
            </w:r>
          </w:p>
        </w:tc>
      </w:tr>
      <w:tr w:rsidR="00021A9B" w:rsidRPr="00FB3FA1" w14:paraId="2A4EE5FD" w14:textId="77777777" w:rsidTr="001B7D29">
        <w:trPr>
          <w:trHeight w:val="754"/>
          <w:tblHeader/>
        </w:trPr>
        <w:tc>
          <w:tcPr>
            <w:tcW w:w="2240" w:type="dxa"/>
            <w:vMerge/>
            <w:tcMar>
              <w:top w:w="113" w:type="dxa"/>
              <w:bottom w:w="113" w:type="dxa"/>
            </w:tcMar>
          </w:tcPr>
          <w:p w14:paraId="3BDB1ABF" w14:textId="77777777" w:rsidR="00021A9B" w:rsidRPr="005A3EC0" w:rsidRDefault="00021A9B" w:rsidP="00F0752D">
            <w:pPr>
              <w:spacing w:after="0" w:line="240" w:lineRule="auto"/>
              <w:rPr>
                <w:rFonts w:ascii="Arial" w:hAnsi="Arial" w:cs="Arial"/>
                <w:b/>
                <w:sz w:val="18"/>
                <w:szCs w:val="18"/>
              </w:rPr>
            </w:pPr>
          </w:p>
        </w:tc>
        <w:tc>
          <w:tcPr>
            <w:tcW w:w="2377" w:type="dxa"/>
            <w:tcBorders>
              <w:top w:val="single" w:sz="6" w:space="0" w:color="auto"/>
              <w:left w:val="single" w:sz="6" w:space="0" w:color="auto"/>
              <w:bottom w:val="single" w:sz="6" w:space="0" w:color="auto"/>
              <w:right w:val="single" w:sz="6" w:space="0" w:color="auto"/>
            </w:tcBorders>
            <w:tcMar>
              <w:top w:w="113" w:type="dxa"/>
              <w:bottom w:w="113" w:type="dxa"/>
            </w:tcMar>
          </w:tcPr>
          <w:p w14:paraId="5F9DED66" w14:textId="77777777" w:rsidR="00021A9B" w:rsidRPr="005A3EC0" w:rsidRDefault="00021A9B" w:rsidP="00F0752D">
            <w:pPr>
              <w:spacing w:after="0" w:line="240" w:lineRule="auto"/>
              <w:rPr>
                <w:rFonts w:ascii="Arial" w:hAnsi="Arial" w:cs="Arial"/>
                <w:sz w:val="18"/>
                <w:szCs w:val="18"/>
              </w:rPr>
            </w:pPr>
            <w:r w:rsidRPr="005A3EC0">
              <w:rPr>
                <w:rStyle w:val="eop"/>
                <w:rFonts w:ascii="Arial" w:hAnsi="Arial" w:cs="Arial"/>
                <w:sz w:val="18"/>
                <w:szCs w:val="18"/>
              </w:rPr>
              <w:t>Number of in-person visits to potential Services Scheme employers. </w:t>
            </w:r>
          </w:p>
        </w:tc>
        <w:tc>
          <w:tcPr>
            <w:tcW w:w="1048" w:type="dxa"/>
            <w:tcBorders>
              <w:bottom w:val="single" w:sz="4" w:space="0" w:color="FFFFFF" w:themeColor="background1"/>
            </w:tcBorders>
            <w:tcMar>
              <w:top w:w="113" w:type="dxa"/>
              <w:bottom w:w="113" w:type="dxa"/>
            </w:tcMar>
          </w:tcPr>
          <w:p w14:paraId="48A93DFE"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2,000</w:t>
            </w:r>
          </w:p>
        </w:tc>
        <w:tc>
          <w:tcPr>
            <w:tcW w:w="2127" w:type="dxa"/>
            <w:tcBorders>
              <w:bottom w:val="single" w:sz="4" w:space="0" w:color="FFFFFF" w:themeColor="background1"/>
            </w:tcBorders>
            <w:tcMar>
              <w:top w:w="113" w:type="dxa"/>
              <w:bottom w:w="113" w:type="dxa"/>
            </w:tcMar>
          </w:tcPr>
          <w:p w14:paraId="1FBC0E3F"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1,415</w:t>
            </w:r>
          </w:p>
        </w:tc>
        <w:tc>
          <w:tcPr>
            <w:tcW w:w="1834" w:type="dxa"/>
            <w:tcBorders>
              <w:bottom w:val="single" w:sz="4" w:space="0" w:color="FFFFFF" w:themeColor="background1"/>
            </w:tcBorders>
            <w:tcMar>
              <w:top w:w="113" w:type="dxa"/>
              <w:bottom w:w="113" w:type="dxa"/>
            </w:tcMar>
          </w:tcPr>
          <w:p w14:paraId="0C7B399E"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-29.3%</w:t>
            </w:r>
          </w:p>
        </w:tc>
        <w:tc>
          <w:tcPr>
            <w:tcW w:w="717" w:type="dxa"/>
            <w:tcBorders>
              <w:bottom w:val="single" w:sz="4" w:space="0" w:color="FFFFFF" w:themeColor="background1"/>
            </w:tcBorders>
            <w:tcMar>
              <w:top w:w="113" w:type="dxa"/>
              <w:bottom w:w="113" w:type="dxa"/>
            </w:tcMar>
          </w:tcPr>
          <w:p w14:paraId="6E5E14BF"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3</w:t>
            </w:r>
          </w:p>
        </w:tc>
      </w:tr>
      <w:tr w:rsidR="00021A9B" w:rsidRPr="00FB3FA1" w14:paraId="022ECF7E" w14:textId="77777777" w:rsidTr="00C260B2">
        <w:trPr>
          <w:trHeight w:val="1321"/>
          <w:tblHeader/>
        </w:trPr>
        <w:tc>
          <w:tcPr>
            <w:tcW w:w="2240" w:type="dxa"/>
            <w:tcBorders>
              <w:top w:val="single" w:sz="4" w:space="0" w:color="auto"/>
            </w:tcBorders>
            <w:tcMar>
              <w:top w:w="113" w:type="dxa"/>
              <w:bottom w:w="113" w:type="dxa"/>
            </w:tcMar>
          </w:tcPr>
          <w:p w14:paraId="2FD9E577" w14:textId="77777777" w:rsidR="00021A9B" w:rsidRPr="005A3EC0" w:rsidRDefault="00021A9B" w:rsidP="00F0752D">
            <w:pPr>
              <w:spacing w:after="0" w:line="240" w:lineRule="auto"/>
              <w:rPr>
                <w:rFonts w:ascii="Arial" w:hAnsi="Arial" w:cs="Arial"/>
                <w:b/>
                <w:sz w:val="18"/>
                <w:szCs w:val="18"/>
              </w:rPr>
            </w:pPr>
            <w:r w:rsidRPr="005A3EC0">
              <w:rPr>
                <w:rFonts w:ascii="Arial" w:hAnsi="Arial" w:cs="Arial"/>
                <w:b/>
                <w:sz w:val="18"/>
                <w:szCs w:val="18"/>
              </w:rPr>
              <w:t>2. Ensure that employers’ contribution levies are collected efficiently and effectively.</w:t>
            </w:r>
          </w:p>
        </w:tc>
        <w:tc>
          <w:tcPr>
            <w:tcW w:w="2377" w:type="dxa"/>
            <w:tcBorders>
              <w:top w:val="single" w:sz="6" w:space="0" w:color="auto"/>
              <w:left w:val="single" w:sz="6" w:space="0" w:color="auto"/>
              <w:bottom w:val="single" w:sz="6" w:space="0" w:color="auto"/>
              <w:right w:val="single" w:sz="6" w:space="0" w:color="auto"/>
            </w:tcBorders>
            <w:tcMar>
              <w:top w:w="113" w:type="dxa"/>
              <w:bottom w:w="113" w:type="dxa"/>
            </w:tcMar>
          </w:tcPr>
          <w:p w14:paraId="5544D5CE" w14:textId="77777777" w:rsidR="00021A9B" w:rsidRPr="005A3EC0" w:rsidRDefault="00021A9B" w:rsidP="00F0752D">
            <w:pPr>
              <w:pStyle w:val="paragraph"/>
              <w:spacing w:before="0" w:beforeAutospacing="0" w:after="0" w:afterAutospacing="0" w:line="240" w:lineRule="auto"/>
              <w:textAlignment w:val="baseline"/>
              <w:rPr>
                <w:rFonts w:ascii="Arial" w:hAnsi="Arial" w:cs="Arial"/>
                <w:sz w:val="18"/>
                <w:szCs w:val="18"/>
              </w:rPr>
            </w:pPr>
            <w:r w:rsidRPr="005A3EC0">
              <w:rPr>
                <w:rStyle w:val="normaltextrun"/>
                <w:rFonts w:ascii="Arial" w:hAnsi="Arial" w:cs="Arial"/>
                <w:sz w:val="18"/>
                <w:szCs w:val="18"/>
                <w:lang w:val="en-US"/>
              </w:rPr>
              <w:t>Percentage of employer returns and payments submitted by the due date (five working days after the end of the month following the relevant quarter).</w:t>
            </w:r>
            <w:r w:rsidRPr="005A3EC0">
              <w:rPr>
                <w:rStyle w:val="eop"/>
                <w:rFonts w:ascii="Arial" w:hAnsi="Arial" w:cs="Arial"/>
                <w:sz w:val="18"/>
                <w:szCs w:val="18"/>
              </w:rPr>
              <w:t>  </w:t>
            </w:r>
          </w:p>
        </w:tc>
        <w:tc>
          <w:tcPr>
            <w:tcW w:w="1048" w:type="dxa"/>
            <w:tcBorders>
              <w:bottom w:val="single" w:sz="4" w:space="0" w:color="FFFFFF" w:themeColor="background1"/>
            </w:tcBorders>
            <w:tcMar>
              <w:top w:w="113" w:type="dxa"/>
              <w:bottom w:w="113" w:type="dxa"/>
            </w:tcMar>
          </w:tcPr>
          <w:p w14:paraId="4CCB15EE"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80%</w:t>
            </w:r>
          </w:p>
        </w:tc>
        <w:tc>
          <w:tcPr>
            <w:tcW w:w="2127" w:type="dxa"/>
            <w:tcBorders>
              <w:bottom w:val="single" w:sz="4" w:space="0" w:color="FFFFFF" w:themeColor="background1"/>
            </w:tcBorders>
            <w:tcMar>
              <w:top w:w="113" w:type="dxa"/>
              <w:bottom w:w="113" w:type="dxa"/>
            </w:tcMar>
          </w:tcPr>
          <w:p w14:paraId="261519FD" w14:textId="77777777" w:rsidR="00021A9B" w:rsidRPr="005A3EC0" w:rsidDel="00FA7368" w:rsidRDefault="00021A9B" w:rsidP="00F0752D">
            <w:pPr>
              <w:spacing w:after="0" w:line="240" w:lineRule="auto"/>
              <w:jc w:val="center"/>
              <w:rPr>
                <w:rFonts w:ascii="Arial" w:hAnsi="Arial" w:cs="Arial"/>
                <w:sz w:val="18"/>
                <w:szCs w:val="18"/>
              </w:rPr>
            </w:pPr>
            <w:r w:rsidRPr="005A3EC0">
              <w:rPr>
                <w:rFonts w:ascii="Arial" w:hAnsi="Arial" w:cs="Arial"/>
                <w:sz w:val="18"/>
                <w:szCs w:val="18"/>
              </w:rPr>
              <w:t>79.0%</w:t>
            </w:r>
          </w:p>
        </w:tc>
        <w:tc>
          <w:tcPr>
            <w:tcW w:w="1834" w:type="dxa"/>
            <w:tcBorders>
              <w:bottom w:val="single" w:sz="4" w:space="0" w:color="FFFFFF" w:themeColor="background1"/>
            </w:tcBorders>
            <w:tcMar>
              <w:top w:w="113" w:type="dxa"/>
              <w:bottom w:w="113" w:type="dxa"/>
            </w:tcMar>
          </w:tcPr>
          <w:p w14:paraId="1292C02D" w14:textId="77777777" w:rsidR="00021A9B" w:rsidRPr="005A3EC0" w:rsidDel="00FA7368" w:rsidRDefault="00021A9B" w:rsidP="00F0752D">
            <w:pPr>
              <w:spacing w:after="0" w:line="240" w:lineRule="auto"/>
              <w:jc w:val="center"/>
              <w:rPr>
                <w:rFonts w:ascii="Arial" w:hAnsi="Arial" w:cs="Arial"/>
                <w:sz w:val="18"/>
                <w:szCs w:val="18"/>
              </w:rPr>
            </w:pPr>
            <w:r w:rsidRPr="005A3EC0">
              <w:rPr>
                <w:rFonts w:ascii="Arial" w:hAnsi="Arial" w:cs="Arial"/>
                <w:sz w:val="18"/>
                <w:szCs w:val="18"/>
              </w:rPr>
              <w:t>-1.2%</w:t>
            </w:r>
          </w:p>
        </w:tc>
        <w:tc>
          <w:tcPr>
            <w:tcW w:w="717" w:type="dxa"/>
            <w:tcBorders>
              <w:bottom w:val="single" w:sz="4" w:space="0" w:color="FFFFFF" w:themeColor="background1"/>
            </w:tcBorders>
            <w:tcMar>
              <w:top w:w="113" w:type="dxa"/>
              <w:bottom w:w="113" w:type="dxa"/>
            </w:tcMar>
          </w:tcPr>
          <w:p w14:paraId="22E339D8"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4</w:t>
            </w:r>
          </w:p>
        </w:tc>
      </w:tr>
      <w:tr w:rsidR="00021A9B" w:rsidRPr="00FB3FA1" w14:paraId="120874C7" w14:textId="77777777" w:rsidTr="001B7D29">
        <w:trPr>
          <w:trHeight w:val="1474"/>
          <w:tblHeader/>
        </w:trPr>
        <w:tc>
          <w:tcPr>
            <w:tcW w:w="2240" w:type="dxa"/>
            <w:vMerge w:val="restart"/>
            <w:tcBorders>
              <w:top w:val="single" w:sz="4" w:space="0" w:color="auto"/>
            </w:tcBorders>
            <w:tcMar>
              <w:top w:w="113" w:type="dxa"/>
              <w:bottom w:w="113" w:type="dxa"/>
            </w:tcMar>
          </w:tcPr>
          <w:p w14:paraId="58DAB4D7" w14:textId="77777777" w:rsidR="00021A9B" w:rsidRPr="005A3EC0" w:rsidRDefault="00021A9B" w:rsidP="00F0752D">
            <w:pPr>
              <w:spacing w:after="0" w:line="240" w:lineRule="auto"/>
              <w:rPr>
                <w:rFonts w:ascii="Arial" w:hAnsi="Arial" w:cs="Arial"/>
                <w:b/>
                <w:sz w:val="18"/>
                <w:szCs w:val="18"/>
              </w:rPr>
            </w:pPr>
            <w:r w:rsidRPr="005A3EC0">
              <w:rPr>
                <w:rFonts w:ascii="Arial" w:hAnsi="Arial" w:cs="Arial"/>
                <w:b/>
                <w:sz w:val="18"/>
                <w:szCs w:val="18"/>
              </w:rPr>
              <w:t>3.</w:t>
            </w:r>
            <w:r w:rsidRPr="005A3EC0">
              <w:rPr>
                <w:rFonts w:ascii="Arial" w:eastAsia="Times New Roman" w:hAnsi="Arial" w:cs="Arial"/>
                <w:sz w:val="18"/>
                <w:szCs w:val="18"/>
              </w:rPr>
              <w:t xml:space="preserve"> </w:t>
            </w:r>
            <w:r w:rsidRPr="005A3EC0">
              <w:rPr>
                <w:rFonts w:ascii="Arial" w:hAnsi="Arial" w:cs="Arial"/>
                <w:b/>
                <w:sz w:val="18"/>
                <w:szCs w:val="18"/>
              </w:rPr>
              <w:t>Ensure that long service leave payments to employees and contractors, and reimbursements to employers, are made in accordance with the Act.</w:t>
            </w:r>
          </w:p>
        </w:tc>
        <w:tc>
          <w:tcPr>
            <w:tcW w:w="2377" w:type="dxa"/>
            <w:tcBorders>
              <w:top w:val="single" w:sz="4" w:space="0" w:color="auto"/>
              <w:bottom w:val="single" w:sz="4" w:space="0" w:color="auto"/>
            </w:tcBorders>
            <w:tcMar>
              <w:top w:w="113" w:type="dxa"/>
              <w:bottom w:w="113" w:type="dxa"/>
            </w:tcMar>
          </w:tcPr>
          <w:p w14:paraId="5958926B" w14:textId="77777777" w:rsidR="00021A9B" w:rsidRPr="005A3EC0" w:rsidRDefault="00021A9B" w:rsidP="00F0752D">
            <w:pPr>
              <w:pStyle w:val="paragraph"/>
              <w:spacing w:before="0" w:beforeAutospacing="0" w:after="0" w:afterAutospacing="0" w:line="240" w:lineRule="auto"/>
              <w:textAlignment w:val="baseline"/>
              <w:rPr>
                <w:rStyle w:val="normaltextrun"/>
                <w:rFonts w:ascii="Arial" w:hAnsi="Arial" w:cs="Arial"/>
                <w:sz w:val="18"/>
                <w:szCs w:val="18"/>
                <w:lang w:val="en-US"/>
              </w:rPr>
            </w:pPr>
            <w:r w:rsidRPr="005A3EC0">
              <w:rPr>
                <w:rStyle w:val="normaltextrun"/>
                <w:rFonts w:ascii="Arial" w:hAnsi="Arial" w:cs="Arial"/>
                <w:sz w:val="18"/>
                <w:szCs w:val="18"/>
                <w:lang w:val="en-US"/>
              </w:rPr>
              <w:t>Percentage of long service leave payments to employees and contractors completed within 15 working days of receipt of a correctly completed and verified claim form.</w:t>
            </w:r>
          </w:p>
        </w:tc>
        <w:tc>
          <w:tcPr>
            <w:tcW w:w="1048" w:type="dxa"/>
            <w:tcBorders>
              <w:top w:val="single" w:sz="4" w:space="0" w:color="auto"/>
              <w:bottom w:val="single" w:sz="4" w:space="0" w:color="auto"/>
            </w:tcBorders>
            <w:tcMar>
              <w:top w:w="113" w:type="dxa"/>
              <w:bottom w:w="113" w:type="dxa"/>
            </w:tcMar>
          </w:tcPr>
          <w:p w14:paraId="35F5FC72"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100%</w:t>
            </w:r>
          </w:p>
        </w:tc>
        <w:tc>
          <w:tcPr>
            <w:tcW w:w="2127" w:type="dxa"/>
            <w:tcBorders>
              <w:top w:val="single" w:sz="4" w:space="0" w:color="auto"/>
              <w:bottom w:val="single" w:sz="4" w:space="0" w:color="auto"/>
            </w:tcBorders>
            <w:tcMar>
              <w:top w:w="113" w:type="dxa"/>
              <w:bottom w:w="113" w:type="dxa"/>
            </w:tcMar>
          </w:tcPr>
          <w:p w14:paraId="38E278A2" w14:textId="77777777" w:rsidR="00021A9B" w:rsidRPr="005A3EC0" w:rsidDel="00FA7368" w:rsidRDefault="00021A9B" w:rsidP="00F0752D">
            <w:pPr>
              <w:spacing w:after="0" w:line="240" w:lineRule="auto"/>
              <w:jc w:val="center"/>
              <w:rPr>
                <w:rFonts w:ascii="Arial" w:hAnsi="Arial" w:cs="Arial"/>
                <w:sz w:val="18"/>
                <w:szCs w:val="18"/>
              </w:rPr>
            </w:pPr>
            <w:r w:rsidRPr="005A3EC0">
              <w:rPr>
                <w:rFonts w:ascii="Arial" w:hAnsi="Arial" w:cs="Arial"/>
                <w:sz w:val="18"/>
                <w:szCs w:val="18"/>
              </w:rPr>
              <w:t>100%</w:t>
            </w:r>
          </w:p>
        </w:tc>
        <w:tc>
          <w:tcPr>
            <w:tcW w:w="1834" w:type="dxa"/>
            <w:tcBorders>
              <w:top w:val="single" w:sz="4" w:space="0" w:color="auto"/>
              <w:bottom w:val="single" w:sz="4" w:space="0" w:color="auto"/>
            </w:tcBorders>
            <w:tcMar>
              <w:top w:w="113" w:type="dxa"/>
              <w:bottom w:w="113" w:type="dxa"/>
            </w:tcMar>
          </w:tcPr>
          <w:p w14:paraId="633AA2CF" w14:textId="77777777" w:rsidR="00021A9B" w:rsidRPr="005A3EC0" w:rsidDel="00FA7368" w:rsidRDefault="00021A9B" w:rsidP="00F0752D">
            <w:pPr>
              <w:spacing w:after="0" w:line="240" w:lineRule="auto"/>
              <w:jc w:val="center"/>
              <w:rPr>
                <w:rFonts w:ascii="Arial" w:hAnsi="Arial" w:cs="Arial"/>
                <w:sz w:val="18"/>
                <w:szCs w:val="18"/>
              </w:rPr>
            </w:pPr>
            <w:r w:rsidRPr="005A3EC0">
              <w:rPr>
                <w:rFonts w:ascii="Arial" w:hAnsi="Arial" w:cs="Arial"/>
                <w:sz w:val="18"/>
                <w:szCs w:val="18"/>
              </w:rPr>
              <w:t>0.0%</w:t>
            </w:r>
          </w:p>
        </w:tc>
        <w:tc>
          <w:tcPr>
            <w:tcW w:w="717" w:type="dxa"/>
            <w:tcBorders>
              <w:top w:val="single" w:sz="4" w:space="0" w:color="auto"/>
              <w:bottom w:val="single" w:sz="4" w:space="0" w:color="auto"/>
            </w:tcBorders>
            <w:tcMar>
              <w:top w:w="113" w:type="dxa"/>
              <w:bottom w:w="113" w:type="dxa"/>
            </w:tcMar>
          </w:tcPr>
          <w:p w14:paraId="5B84D5BC"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5</w:t>
            </w:r>
          </w:p>
        </w:tc>
      </w:tr>
      <w:tr w:rsidR="00021A9B" w:rsidRPr="00FB3FA1" w14:paraId="76196047" w14:textId="77777777" w:rsidTr="001B7D29">
        <w:trPr>
          <w:trHeight w:val="1474"/>
          <w:tblHeader/>
        </w:trPr>
        <w:tc>
          <w:tcPr>
            <w:tcW w:w="2240" w:type="dxa"/>
            <w:vMerge/>
            <w:tcMar>
              <w:top w:w="113" w:type="dxa"/>
              <w:bottom w:w="113" w:type="dxa"/>
            </w:tcMar>
          </w:tcPr>
          <w:p w14:paraId="6974A3D9" w14:textId="77777777" w:rsidR="00021A9B" w:rsidRPr="005A3EC0" w:rsidRDefault="00021A9B" w:rsidP="00F0752D">
            <w:pPr>
              <w:spacing w:after="0" w:line="240" w:lineRule="auto"/>
              <w:rPr>
                <w:rFonts w:ascii="Arial" w:hAnsi="Arial" w:cs="Arial"/>
                <w:b/>
                <w:sz w:val="18"/>
                <w:szCs w:val="18"/>
              </w:rPr>
            </w:pPr>
          </w:p>
        </w:tc>
        <w:tc>
          <w:tcPr>
            <w:tcW w:w="2377" w:type="dxa"/>
            <w:tcBorders>
              <w:top w:val="single" w:sz="4" w:space="0" w:color="auto"/>
              <w:bottom w:val="single" w:sz="4" w:space="0" w:color="auto"/>
            </w:tcBorders>
            <w:tcMar>
              <w:top w:w="113" w:type="dxa"/>
              <w:bottom w:w="113" w:type="dxa"/>
            </w:tcMar>
          </w:tcPr>
          <w:p w14:paraId="3ABEA675" w14:textId="77777777" w:rsidR="00021A9B" w:rsidRPr="005A3EC0" w:rsidRDefault="00021A9B" w:rsidP="00F0752D">
            <w:pPr>
              <w:pStyle w:val="paragraph"/>
              <w:spacing w:before="0" w:beforeAutospacing="0" w:after="0" w:afterAutospacing="0" w:line="240" w:lineRule="auto"/>
              <w:textAlignment w:val="baseline"/>
              <w:rPr>
                <w:rStyle w:val="normaltextrun"/>
                <w:rFonts w:ascii="Arial" w:hAnsi="Arial" w:cs="Arial"/>
                <w:sz w:val="18"/>
                <w:szCs w:val="18"/>
                <w:lang w:val="en-US"/>
              </w:rPr>
            </w:pPr>
            <w:r w:rsidRPr="005A3EC0">
              <w:rPr>
                <w:rStyle w:val="normaltextrun"/>
                <w:rFonts w:ascii="Arial" w:hAnsi="Arial" w:cs="Arial"/>
                <w:sz w:val="18"/>
                <w:szCs w:val="18"/>
                <w:lang w:val="en-US"/>
              </w:rPr>
              <w:t>Percentage of reimbursements and refunds to employers paid within 15 working days of receipt of a correctly completed and verified application form.</w:t>
            </w:r>
          </w:p>
        </w:tc>
        <w:tc>
          <w:tcPr>
            <w:tcW w:w="1048" w:type="dxa"/>
            <w:tcBorders>
              <w:top w:val="single" w:sz="4" w:space="0" w:color="auto"/>
              <w:bottom w:val="single" w:sz="4" w:space="0" w:color="auto"/>
            </w:tcBorders>
            <w:tcMar>
              <w:top w:w="113" w:type="dxa"/>
              <w:bottom w:w="113" w:type="dxa"/>
            </w:tcMar>
          </w:tcPr>
          <w:p w14:paraId="3F049C30"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98%</w:t>
            </w:r>
          </w:p>
        </w:tc>
        <w:tc>
          <w:tcPr>
            <w:tcW w:w="2127" w:type="dxa"/>
            <w:tcBorders>
              <w:top w:val="single" w:sz="4" w:space="0" w:color="auto"/>
              <w:bottom w:val="single" w:sz="4" w:space="0" w:color="auto"/>
            </w:tcBorders>
            <w:tcMar>
              <w:top w:w="113" w:type="dxa"/>
              <w:bottom w:w="113" w:type="dxa"/>
            </w:tcMar>
          </w:tcPr>
          <w:p w14:paraId="2EE8B46E"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99.8%</w:t>
            </w:r>
          </w:p>
        </w:tc>
        <w:tc>
          <w:tcPr>
            <w:tcW w:w="1834" w:type="dxa"/>
            <w:tcBorders>
              <w:top w:val="single" w:sz="4" w:space="0" w:color="auto"/>
              <w:bottom w:val="single" w:sz="4" w:space="0" w:color="auto"/>
            </w:tcBorders>
            <w:tcMar>
              <w:top w:w="113" w:type="dxa"/>
              <w:bottom w:w="113" w:type="dxa"/>
            </w:tcMar>
          </w:tcPr>
          <w:p w14:paraId="305EB561"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1.8%</w:t>
            </w:r>
          </w:p>
        </w:tc>
        <w:tc>
          <w:tcPr>
            <w:tcW w:w="717" w:type="dxa"/>
            <w:tcBorders>
              <w:top w:val="single" w:sz="4" w:space="0" w:color="auto"/>
              <w:bottom w:val="single" w:sz="4" w:space="0" w:color="auto"/>
            </w:tcBorders>
            <w:tcMar>
              <w:top w:w="113" w:type="dxa"/>
              <w:bottom w:w="113" w:type="dxa"/>
            </w:tcMar>
          </w:tcPr>
          <w:p w14:paraId="3C6126C6" w14:textId="77777777" w:rsidR="00021A9B" w:rsidRPr="005A3EC0" w:rsidRDefault="00021A9B" w:rsidP="00F0752D">
            <w:pPr>
              <w:spacing w:after="0" w:line="240" w:lineRule="auto"/>
              <w:jc w:val="center"/>
              <w:rPr>
                <w:rFonts w:ascii="Arial" w:hAnsi="Arial" w:cs="Arial"/>
                <w:sz w:val="18"/>
                <w:szCs w:val="18"/>
              </w:rPr>
            </w:pPr>
            <w:r w:rsidRPr="005A3EC0">
              <w:rPr>
                <w:rFonts w:ascii="Arial" w:hAnsi="Arial" w:cs="Arial"/>
                <w:sz w:val="18"/>
                <w:szCs w:val="18"/>
              </w:rPr>
              <w:t>6</w:t>
            </w:r>
          </w:p>
        </w:tc>
      </w:tr>
    </w:tbl>
    <w:p w14:paraId="313AAC4B" w14:textId="77777777" w:rsidR="0083713A" w:rsidRDefault="0083713A" w:rsidP="00021A9B">
      <w:pPr>
        <w:spacing w:after="0" w:line="240" w:lineRule="auto"/>
        <w:rPr>
          <w:rFonts w:cs="Arial"/>
        </w:rPr>
      </w:pPr>
    </w:p>
    <w:p w14:paraId="36D95F44" w14:textId="77777777" w:rsidR="0083713A" w:rsidRDefault="0083713A">
      <w:pPr>
        <w:spacing w:before="120" w:after="120" w:line="240" w:lineRule="auto"/>
        <w:rPr>
          <w:rFonts w:ascii="Arial" w:eastAsia="Times New Roman" w:hAnsi="Arial" w:cs="Arial"/>
          <w:b/>
          <w:bCs/>
          <w:color w:val="000000"/>
          <w:sz w:val="24"/>
          <w:szCs w:val="24"/>
          <w:lang w:val="en-AU"/>
        </w:rPr>
      </w:pPr>
      <w:r>
        <w:rPr>
          <w:rFonts w:ascii="Arial" w:eastAsia="Times New Roman" w:hAnsi="Arial" w:cs="Arial"/>
          <w:b/>
          <w:bCs/>
          <w:color w:val="000000"/>
          <w:sz w:val="24"/>
          <w:szCs w:val="24"/>
          <w:lang w:val="en-AU"/>
        </w:rPr>
        <w:br w:type="page"/>
      </w:r>
    </w:p>
    <w:p w14:paraId="329DFCB5" w14:textId="24178F18" w:rsidR="0083713A" w:rsidRPr="005755D0" w:rsidRDefault="0083713A" w:rsidP="0083713A">
      <w:pPr>
        <w:spacing w:after="120"/>
        <w:jc w:val="center"/>
        <w:textAlignment w:val="baseline"/>
        <w:rPr>
          <w:rFonts w:ascii="Segoe UI" w:eastAsia="Times New Roman" w:hAnsi="Segoe UI" w:cs="Segoe UI"/>
          <w:color w:val="000000"/>
          <w:sz w:val="18"/>
          <w:szCs w:val="18"/>
          <w:lang w:val="en-AU"/>
        </w:rPr>
      </w:pPr>
      <w:r w:rsidRPr="005755D0">
        <w:rPr>
          <w:rFonts w:ascii="Arial" w:eastAsia="Times New Roman" w:hAnsi="Arial" w:cs="Arial"/>
          <w:b/>
          <w:bCs/>
          <w:color w:val="000000"/>
          <w:sz w:val="24"/>
          <w:szCs w:val="24"/>
          <w:lang w:val="en-AU"/>
        </w:rPr>
        <w:lastRenderedPageBreak/>
        <w:t>LONG SERVICE LEAVE AUTHORITY</w:t>
      </w:r>
      <w:r w:rsidRPr="005755D0">
        <w:rPr>
          <w:rFonts w:ascii="Arial" w:eastAsia="Times New Roman" w:hAnsi="Arial" w:cs="Arial"/>
          <w:color w:val="000000"/>
          <w:sz w:val="24"/>
          <w:szCs w:val="24"/>
          <w:lang w:val="en-AU"/>
        </w:rPr>
        <w:t> </w:t>
      </w:r>
    </w:p>
    <w:p w14:paraId="71F471E2" w14:textId="77777777" w:rsidR="0083713A" w:rsidRPr="005755D0" w:rsidRDefault="0083713A" w:rsidP="0083713A">
      <w:pPr>
        <w:spacing w:after="120"/>
        <w:ind w:left="-360"/>
        <w:jc w:val="center"/>
        <w:textAlignment w:val="baseline"/>
        <w:rPr>
          <w:rFonts w:ascii="Segoe UI" w:eastAsia="Times New Roman" w:hAnsi="Segoe UI" w:cs="Segoe UI"/>
          <w:color w:val="000000"/>
          <w:sz w:val="18"/>
          <w:szCs w:val="18"/>
          <w:lang w:val="en-AU"/>
        </w:rPr>
      </w:pPr>
      <w:r w:rsidRPr="005755D0">
        <w:rPr>
          <w:rFonts w:ascii="Arial" w:eastAsia="Times New Roman" w:hAnsi="Arial" w:cs="Arial"/>
          <w:b/>
          <w:bCs/>
          <w:color w:val="000000"/>
          <w:sz w:val="24"/>
          <w:szCs w:val="24"/>
          <w:lang w:val="en-AU"/>
        </w:rPr>
        <w:t>     STATEMENT OF PERFORMANCE</w:t>
      </w:r>
      <w:r w:rsidRPr="005755D0">
        <w:rPr>
          <w:rFonts w:ascii="Arial" w:eastAsia="Times New Roman" w:hAnsi="Arial" w:cs="Arial"/>
          <w:color w:val="000000"/>
          <w:sz w:val="24"/>
          <w:szCs w:val="24"/>
          <w:lang w:val="en-AU"/>
        </w:rPr>
        <w:t> </w:t>
      </w:r>
    </w:p>
    <w:p w14:paraId="468F88A4" w14:textId="073917A3" w:rsidR="00021A9B" w:rsidRPr="0083713A" w:rsidRDefault="0083713A" w:rsidP="0083713A">
      <w:pPr>
        <w:spacing w:after="120"/>
        <w:ind w:left="-360"/>
        <w:jc w:val="center"/>
        <w:textAlignment w:val="baseline"/>
        <w:rPr>
          <w:rFonts w:ascii="Segoe UI" w:eastAsia="Times New Roman" w:hAnsi="Segoe UI" w:cs="Segoe UI"/>
          <w:color w:val="000000"/>
          <w:sz w:val="18"/>
          <w:szCs w:val="18"/>
          <w:lang w:val="en-AU"/>
        </w:rPr>
      </w:pPr>
      <w:r w:rsidRPr="005755D0">
        <w:rPr>
          <w:rFonts w:ascii="Arial" w:eastAsia="Times New Roman" w:hAnsi="Arial" w:cs="Arial"/>
          <w:b/>
          <w:bCs/>
          <w:color w:val="000000"/>
          <w:sz w:val="24"/>
          <w:szCs w:val="24"/>
          <w:lang w:val="en-AU"/>
        </w:rPr>
        <w:t>      FOR THE YEAR ENDED 30 JUNE 2026</w:t>
      </w:r>
      <w:r w:rsidRPr="005755D0">
        <w:rPr>
          <w:rFonts w:ascii="Arial" w:eastAsia="Times New Roman" w:hAnsi="Arial" w:cs="Arial"/>
          <w:color w:val="000000"/>
          <w:sz w:val="24"/>
          <w:szCs w:val="24"/>
          <w:lang w:val="en-AU"/>
        </w:rPr>
        <w:t> </w:t>
      </w:r>
    </w:p>
    <w:tbl>
      <w:tblPr>
        <w:tblpPr w:leftFromText="180" w:rightFromText="180" w:vertAnchor="text" w:horzAnchor="margin" w:tblpXSpec="center" w:tblpY="183"/>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4"/>
        <w:gridCol w:w="2333"/>
        <w:gridCol w:w="1133"/>
        <w:gridCol w:w="1989"/>
        <w:gridCol w:w="1990"/>
        <w:gridCol w:w="717"/>
      </w:tblGrid>
      <w:tr w:rsidR="00021A9B" w:rsidRPr="00FB3FA1" w14:paraId="15AAEBBE" w14:textId="77777777" w:rsidTr="00F0752D">
        <w:trPr>
          <w:trHeight w:val="841"/>
          <w:tblHeader/>
        </w:trPr>
        <w:tc>
          <w:tcPr>
            <w:tcW w:w="2334" w:type="dxa"/>
            <w:tcBorders>
              <w:top w:val="single" w:sz="4" w:space="0" w:color="auto"/>
            </w:tcBorders>
            <w:shd w:val="clear" w:color="auto" w:fill="D9D9D9" w:themeFill="background1" w:themeFillShade="D9"/>
            <w:vAlign w:val="center"/>
          </w:tcPr>
          <w:p w14:paraId="0B79D75E" w14:textId="77777777" w:rsidR="00021A9B" w:rsidRPr="00FB3FA1" w:rsidRDefault="00021A9B" w:rsidP="00F0752D">
            <w:pPr>
              <w:spacing w:after="0" w:line="240" w:lineRule="auto"/>
              <w:jc w:val="center"/>
              <w:rPr>
                <w:rFonts w:cs="Arial"/>
                <w:b/>
                <w:sz w:val="18"/>
                <w:szCs w:val="18"/>
              </w:rPr>
            </w:pPr>
            <w:r w:rsidRPr="00FB3FA1">
              <w:rPr>
                <w:rFonts w:cs="Arial"/>
                <w:b/>
                <w:sz w:val="18"/>
                <w:szCs w:val="18"/>
              </w:rPr>
              <w:t>Objective</w:t>
            </w:r>
          </w:p>
        </w:tc>
        <w:tc>
          <w:tcPr>
            <w:tcW w:w="2339" w:type="dxa"/>
            <w:tcBorders>
              <w:bottom w:val="single" w:sz="4" w:space="0" w:color="auto"/>
            </w:tcBorders>
            <w:shd w:val="clear" w:color="auto" w:fill="D9D9D9" w:themeFill="background1" w:themeFillShade="D9"/>
            <w:vAlign w:val="center"/>
          </w:tcPr>
          <w:p w14:paraId="5C47F82E" w14:textId="77777777" w:rsidR="00021A9B" w:rsidRPr="00FB3FA1" w:rsidRDefault="00021A9B" w:rsidP="00F0752D">
            <w:pPr>
              <w:spacing w:after="0" w:line="240" w:lineRule="auto"/>
              <w:jc w:val="center"/>
              <w:rPr>
                <w:rFonts w:cs="Arial"/>
                <w:b/>
                <w:sz w:val="18"/>
                <w:szCs w:val="18"/>
              </w:rPr>
            </w:pPr>
            <w:r w:rsidRPr="00FB3FA1">
              <w:rPr>
                <w:rFonts w:cs="Arial"/>
                <w:b/>
                <w:sz w:val="18"/>
                <w:szCs w:val="18"/>
              </w:rPr>
              <w:t>Accountability Indicator</w:t>
            </w:r>
          </w:p>
        </w:tc>
        <w:tc>
          <w:tcPr>
            <w:tcW w:w="1134" w:type="dxa"/>
            <w:tcBorders>
              <w:bottom w:val="single" w:sz="4" w:space="0" w:color="auto"/>
            </w:tcBorders>
            <w:shd w:val="clear" w:color="auto" w:fill="D9D9D9" w:themeFill="background1" w:themeFillShade="D9"/>
            <w:vAlign w:val="center"/>
          </w:tcPr>
          <w:p w14:paraId="5008DE0B" w14:textId="77777777" w:rsidR="00021A9B" w:rsidRPr="00FB3FA1" w:rsidRDefault="00021A9B" w:rsidP="00F0752D">
            <w:pPr>
              <w:spacing w:after="0" w:line="240" w:lineRule="auto"/>
              <w:jc w:val="center"/>
              <w:rPr>
                <w:rFonts w:cs="Arial"/>
                <w:b/>
                <w:sz w:val="18"/>
                <w:szCs w:val="18"/>
              </w:rPr>
            </w:pPr>
            <w:r w:rsidRPr="00FB3FA1">
              <w:rPr>
                <w:rFonts w:cs="Arial"/>
                <w:b/>
                <w:sz w:val="18"/>
                <w:szCs w:val="18"/>
              </w:rPr>
              <w:t>2025-26 Target</w:t>
            </w:r>
          </w:p>
        </w:tc>
        <w:tc>
          <w:tcPr>
            <w:tcW w:w="1994" w:type="dxa"/>
            <w:tcBorders>
              <w:bottom w:val="single" w:sz="4" w:space="0" w:color="auto"/>
            </w:tcBorders>
            <w:shd w:val="clear" w:color="auto" w:fill="D9D9D9" w:themeFill="background1" w:themeFillShade="D9"/>
            <w:vAlign w:val="center"/>
          </w:tcPr>
          <w:p w14:paraId="7F3B23F5" w14:textId="77777777" w:rsidR="00021A9B" w:rsidRPr="00FB3FA1" w:rsidRDefault="00021A9B" w:rsidP="00F0752D">
            <w:pPr>
              <w:spacing w:after="0" w:line="240" w:lineRule="auto"/>
              <w:jc w:val="center"/>
              <w:rPr>
                <w:rFonts w:cs="Arial"/>
                <w:b/>
                <w:sz w:val="18"/>
                <w:szCs w:val="18"/>
              </w:rPr>
            </w:pPr>
            <w:r w:rsidRPr="00FB3FA1">
              <w:rPr>
                <w:rFonts w:cs="Arial"/>
                <w:b/>
                <w:sz w:val="18"/>
                <w:szCs w:val="18"/>
              </w:rPr>
              <w:t xml:space="preserve">2025-26 </w:t>
            </w:r>
          </w:p>
          <w:p w14:paraId="1ADF77A6" w14:textId="77777777" w:rsidR="00021A9B" w:rsidRPr="00FB3FA1" w:rsidRDefault="00021A9B" w:rsidP="00F0752D">
            <w:pPr>
              <w:spacing w:after="0" w:line="240" w:lineRule="auto"/>
              <w:jc w:val="center"/>
              <w:rPr>
                <w:rFonts w:cs="Arial"/>
                <w:b/>
                <w:sz w:val="18"/>
                <w:szCs w:val="18"/>
              </w:rPr>
            </w:pPr>
            <w:r w:rsidRPr="00FB3FA1">
              <w:rPr>
                <w:rFonts w:cs="Arial"/>
                <w:b/>
                <w:sz w:val="18"/>
                <w:szCs w:val="18"/>
              </w:rPr>
              <w:t>Result</w:t>
            </w:r>
          </w:p>
        </w:tc>
        <w:tc>
          <w:tcPr>
            <w:tcW w:w="1995" w:type="dxa"/>
            <w:tcBorders>
              <w:bottom w:val="single" w:sz="4" w:space="0" w:color="auto"/>
            </w:tcBorders>
            <w:shd w:val="clear" w:color="auto" w:fill="D9D9D9" w:themeFill="background1" w:themeFillShade="D9"/>
          </w:tcPr>
          <w:p w14:paraId="09FDE8B6" w14:textId="77777777" w:rsidR="00021A9B" w:rsidRPr="00FB3FA1" w:rsidRDefault="00021A9B" w:rsidP="00F0752D">
            <w:pPr>
              <w:spacing w:after="0" w:line="240" w:lineRule="auto"/>
              <w:jc w:val="center"/>
              <w:rPr>
                <w:rFonts w:cs="Arial"/>
                <w:b/>
                <w:sz w:val="18"/>
                <w:szCs w:val="18"/>
              </w:rPr>
            </w:pPr>
          </w:p>
          <w:p w14:paraId="6CD53394" w14:textId="77777777" w:rsidR="00021A9B" w:rsidRPr="00FB3FA1" w:rsidRDefault="00021A9B" w:rsidP="00F0752D">
            <w:pPr>
              <w:spacing w:after="0" w:line="240" w:lineRule="auto"/>
              <w:jc w:val="center"/>
              <w:rPr>
                <w:rFonts w:cs="Arial"/>
                <w:b/>
                <w:sz w:val="18"/>
                <w:szCs w:val="18"/>
              </w:rPr>
            </w:pPr>
            <w:r w:rsidRPr="00FB3FA1">
              <w:rPr>
                <w:rFonts w:cs="Arial"/>
                <w:b/>
                <w:sz w:val="18"/>
                <w:szCs w:val="18"/>
              </w:rPr>
              <w:t>% Variance fro</w:t>
            </w:r>
            <w:smartTag w:uri="urn:schemas-microsoft-com:office:smarttags" w:element="PersonName">
              <w:r w:rsidRPr="00FB3FA1">
                <w:rPr>
                  <w:rFonts w:cs="Arial"/>
                  <w:b/>
                  <w:sz w:val="18"/>
                  <w:szCs w:val="18"/>
                </w:rPr>
                <w:t>m</w:t>
              </w:r>
            </w:smartTag>
            <w:r w:rsidRPr="00FB3FA1">
              <w:rPr>
                <w:rFonts w:cs="Arial"/>
                <w:b/>
                <w:sz w:val="18"/>
                <w:szCs w:val="18"/>
              </w:rPr>
              <w:t xml:space="preserve"> Target </w:t>
            </w:r>
          </w:p>
        </w:tc>
        <w:tc>
          <w:tcPr>
            <w:tcW w:w="690" w:type="dxa"/>
            <w:tcBorders>
              <w:bottom w:val="single" w:sz="4" w:space="0" w:color="auto"/>
            </w:tcBorders>
            <w:shd w:val="clear" w:color="auto" w:fill="D9D9D9" w:themeFill="background1" w:themeFillShade="D9"/>
            <w:vAlign w:val="center"/>
          </w:tcPr>
          <w:p w14:paraId="4A28AE13" w14:textId="77777777" w:rsidR="00021A9B" w:rsidRPr="00FB3FA1" w:rsidRDefault="00021A9B" w:rsidP="00F0752D">
            <w:pPr>
              <w:spacing w:after="0" w:line="240" w:lineRule="auto"/>
              <w:jc w:val="center"/>
              <w:rPr>
                <w:rFonts w:cs="Arial"/>
                <w:b/>
                <w:sz w:val="18"/>
                <w:szCs w:val="18"/>
              </w:rPr>
            </w:pPr>
            <w:r w:rsidRPr="00FB3FA1">
              <w:rPr>
                <w:rFonts w:cs="Arial"/>
                <w:b/>
                <w:sz w:val="18"/>
                <w:szCs w:val="18"/>
              </w:rPr>
              <w:t>Notes</w:t>
            </w:r>
          </w:p>
        </w:tc>
      </w:tr>
      <w:tr w:rsidR="00021A9B" w:rsidRPr="00FB3FA1" w14:paraId="6E533DAF" w14:textId="77777777" w:rsidTr="00C260B2">
        <w:trPr>
          <w:trHeight w:val="1427"/>
          <w:tblHeader/>
        </w:trPr>
        <w:tc>
          <w:tcPr>
            <w:tcW w:w="2334" w:type="dxa"/>
            <w:vMerge w:val="restart"/>
            <w:tcBorders>
              <w:top w:val="single" w:sz="4" w:space="0" w:color="auto"/>
            </w:tcBorders>
            <w:tcMar>
              <w:top w:w="113" w:type="dxa"/>
              <w:bottom w:w="113" w:type="dxa"/>
            </w:tcMar>
          </w:tcPr>
          <w:p w14:paraId="59228D85" w14:textId="77777777" w:rsidR="00021A9B" w:rsidRPr="00FB3FA1" w:rsidRDefault="00021A9B" w:rsidP="00F0752D">
            <w:pPr>
              <w:spacing w:after="0" w:line="240" w:lineRule="auto"/>
              <w:rPr>
                <w:rFonts w:cs="Arial"/>
                <w:b/>
                <w:sz w:val="18"/>
                <w:szCs w:val="18"/>
              </w:rPr>
            </w:pPr>
            <w:r w:rsidRPr="00FB3FA1">
              <w:rPr>
                <w:rFonts w:cs="Arial"/>
                <w:b/>
                <w:sz w:val="18"/>
                <w:szCs w:val="18"/>
              </w:rPr>
              <w:t>4. Ensure that funds managed for each portable long service leave scheme are invested to achieve a long-term surplus of assets over liabilities.</w:t>
            </w:r>
          </w:p>
        </w:tc>
        <w:tc>
          <w:tcPr>
            <w:tcW w:w="2339" w:type="dxa"/>
            <w:tcBorders>
              <w:bottom w:val="single" w:sz="4" w:space="0" w:color="auto"/>
            </w:tcBorders>
            <w:tcMar>
              <w:top w:w="113" w:type="dxa"/>
              <w:bottom w:w="113" w:type="dxa"/>
            </w:tcMar>
          </w:tcPr>
          <w:p w14:paraId="1D9C1BAF" w14:textId="77777777" w:rsidR="00021A9B" w:rsidRPr="00FB3FA1" w:rsidRDefault="00021A9B" w:rsidP="00F0752D">
            <w:pPr>
              <w:spacing w:after="0" w:line="240" w:lineRule="auto"/>
              <w:rPr>
                <w:rFonts w:cs="Arial"/>
                <w:sz w:val="18"/>
                <w:szCs w:val="18"/>
              </w:rPr>
            </w:pPr>
            <w:r w:rsidRPr="00FB3FA1">
              <w:rPr>
                <w:rFonts w:cs="Arial"/>
                <w:sz w:val="18"/>
                <w:szCs w:val="18"/>
              </w:rPr>
              <w:t>Annual net return on funds under management for each administered scheme.</w:t>
            </w:r>
          </w:p>
        </w:tc>
        <w:tc>
          <w:tcPr>
            <w:tcW w:w="1134" w:type="dxa"/>
            <w:tcBorders>
              <w:bottom w:val="single" w:sz="4" w:space="0" w:color="auto"/>
            </w:tcBorders>
            <w:tcMar>
              <w:top w:w="113" w:type="dxa"/>
              <w:bottom w:w="113" w:type="dxa"/>
            </w:tcMar>
          </w:tcPr>
          <w:p w14:paraId="08DEBF6D" w14:textId="131B15AA" w:rsidR="00021A9B" w:rsidRDefault="00021A9B" w:rsidP="00F0752D">
            <w:pPr>
              <w:spacing w:after="0" w:line="240" w:lineRule="auto"/>
              <w:jc w:val="center"/>
              <w:rPr>
                <w:rFonts w:cs="Arial"/>
                <w:sz w:val="18"/>
                <w:szCs w:val="18"/>
              </w:rPr>
            </w:pPr>
            <w:r w:rsidRPr="00FB3FA1">
              <w:rPr>
                <w:rFonts w:cs="Arial"/>
                <w:sz w:val="18"/>
                <w:szCs w:val="18"/>
              </w:rPr>
              <w:t>2.5% above AWOTE</w:t>
            </w:r>
            <w:r w:rsidR="00FC0A57">
              <w:rPr>
                <w:rFonts w:ascii="ZWAdobeF" w:hAnsi="ZWAdobeF" w:cs="ZWAdobeF"/>
                <w:color w:val="auto"/>
                <w:sz w:val="2"/>
                <w:szCs w:val="2"/>
              </w:rPr>
              <w:t>23F</w:t>
            </w:r>
            <w:r w:rsidRPr="00FB3FA1">
              <w:rPr>
                <w:rStyle w:val="FootnoteReference"/>
                <w:rFonts w:cs="Arial"/>
                <w:sz w:val="18"/>
                <w:szCs w:val="18"/>
              </w:rPr>
              <w:footnoteReference w:id="25"/>
            </w:r>
          </w:p>
          <w:p w14:paraId="64626A93" w14:textId="77777777" w:rsidR="00021A9B" w:rsidRPr="00FB3FA1" w:rsidRDefault="00021A9B" w:rsidP="00F0752D">
            <w:pPr>
              <w:spacing w:after="0" w:line="240" w:lineRule="auto"/>
              <w:jc w:val="center"/>
              <w:rPr>
                <w:rFonts w:cs="Arial"/>
                <w:sz w:val="18"/>
                <w:szCs w:val="18"/>
              </w:rPr>
            </w:pPr>
            <w:r>
              <w:rPr>
                <w:rFonts w:cs="Arial"/>
                <w:sz w:val="18"/>
                <w:szCs w:val="18"/>
              </w:rPr>
              <w:t>averaged over five years</w:t>
            </w:r>
          </w:p>
        </w:tc>
        <w:tc>
          <w:tcPr>
            <w:tcW w:w="1994" w:type="dxa"/>
            <w:tcBorders>
              <w:bottom w:val="single" w:sz="4" w:space="0" w:color="auto"/>
            </w:tcBorders>
            <w:tcMar>
              <w:top w:w="113" w:type="dxa"/>
              <w:bottom w:w="113" w:type="dxa"/>
            </w:tcMar>
          </w:tcPr>
          <w:p w14:paraId="2E9F6929" w14:textId="77777777" w:rsidR="00021A9B" w:rsidRPr="00FB3FA1" w:rsidDel="00FA7368" w:rsidRDefault="00021A9B" w:rsidP="00F0752D">
            <w:pPr>
              <w:spacing w:after="0" w:line="240" w:lineRule="auto"/>
              <w:jc w:val="center"/>
              <w:rPr>
                <w:rFonts w:eastAsia="Calibri" w:cs="Arial"/>
                <w:sz w:val="18"/>
                <w:szCs w:val="18"/>
              </w:rPr>
            </w:pPr>
            <w:r w:rsidRPr="00FB3FA1">
              <w:rPr>
                <w:rFonts w:eastAsia="Calibri" w:cs="Arial"/>
                <w:sz w:val="18"/>
                <w:szCs w:val="18"/>
              </w:rPr>
              <w:t>Construction: 7.86%</w:t>
            </w:r>
          </w:p>
          <w:p w14:paraId="349228FB" w14:textId="77777777" w:rsidR="00021A9B" w:rsidRPr="00FB3FA1" w:rsidDel="00FA7368" w:rsidRDefault="00021A9B" w:rsidP="00F0752D">
            <w:pPr>
              <w:spacing w:after="0" w:line="240" w:lineRule="auto"/>
              <w:jc w:val="center"/>
              <w:rPr>
                <w:rFonts w:eastAsia="Calibri" w:cs="Arial"/>
                <w:sz w:val="18"/>
                <w:szCs w:val="18"/>
              </w:rPr>
            </w:pPr>
            <w:r w:rsidRPr="00FB3FA1">
              <w:rPr>
                <w:rFonts w:eastAsia="Calibri" w:cs="Arial"/>
                <w:sz w:val="18"/>
                <w:szCs w:val="18"/>
              </w:rPr>
              <w:t>Services: 7.77%</w:t>
            </w:r>
          </w:p>
          <w:p w14:paraId="663AEBEA" w14:textId="77777777" w:rsidR="00021A9B" w:rsidRPr="00FB3FA1" w:rsidDel="00FA7368" w:rsidRDefault="00021A9B" w:rsidP="00F0752D">
            <w:pPr>
              <w:spacing w:after="0" w:line="240" w:lineRule="auto"/>
              <w:jc w:val="center"/>
              <w:rPr>
                <w:rFonts w:eastAsia="Calibri" w:cs="Arial"/>
                <w:sz w:val="18"/>
                <w:szCs w:val="18"/>
              </w:rPr>
            </w:pPr>
            <w:r w:rsidRPr="00FB3FA1">
              <w:rPr>
                <w:rFonts w:eastAsia="Calibri" w:cs="Arial"/>
                <w:sz w:val="18"/>
                <w:szCs w:val="18"/>
              </w:rPr>
              <w:t xml:space="preserve">Community: 7.59% </w:t>
            </w:r>
          </w:p>
          <w:p w14:paraId="7D795BD4" w14:textId="77777777" w:rsidR="00021A9B" w:rsidRPr="00FB3FA1" w:rsidDel="00FA7368" w:rsidRDefault="00021A9B" w:rsidP="00F0752D">
            <w:pPr>
              <w:spacing w:after="0" w:line="240" w:lineRule="auto"/>
              <w:jc w:val="center"/>
              <w:rPr>
                <w:rFonts w:eastAsia="Calibri" w:cs="Arial"/>
                <w:sz w:val="18"/>
                <w:szCs w:val="18"/>
              </w:rPr>
            </w:pPr>
            <w:r w:rsidRPr="00FB3FA1">
              <w:rPr>
                <w:rFonts w:eastAsia="Calibri" w:cs="Arial"/>
                <w:sz w:val="18"/>
                <w:szCs w:val="18"/>
              </w:rPr>
              <w:t>Security: 7.68%</w:t>
            </w:r>
          </w:p>
          <w:p w14:paraId="33C4BC77" w14:textId="77777777" w:rsidR="00021A9B" w:rsidRPr="00FB3FA1" w:rsidDel="00FA7368" w:rsidRDefault="00021A9B" w:rsidP="00F0752D">
            <w:pPr>
              <w:spacing w:after="0" w:line="240" w:lineRule="auto"/>
              <w:jc w:val="center"/>
              <w:rPr>
                <w:rFonts w:cs="Arial"/>
                <w:sz w:val="18"/>
                <w:szCs w:val="18"/>
              </w:rPr>
            </w:pPr>
          </w:p>
        </w:tc>
        <w:tc>
          <w:tcPr>
            <w:tcW w:w="1995" w:type="dxa"/>
            <w:tcBorders>
              <w:bottom w:val="single" w:sz="4" w:space="0" w:color="auto"/>
            </w:tcBorders>
            <w:tcMar>
              <w:top w:w="113" w:type="dxa"/>
              <w:bottom w:w="113" w:type="dxa"/>
            </w:tcMar>
          </w:tcPr>
          <w:p w14:paraId="1D7F032A" w14:textId="77777777" w:rsidR="00021A9B" w:rsidRPr="00FB3FA1" w:rsidDel="00FA7368" w:rsidRDefault="00021A9B" w:rsidP="00F0752D">
            <w:pPr>
              <w:spacing w:after="0" w:line="240" w:lineRule="auto"/>
              <w:jc w:val="center"/>
              <w:rPr>
                <w:rFonts w:eastAsia="Calibri" w:cs="Arial"/>
                <w:sz w:val="18"/>
                <w:szCs w:val="18"/>
              </w:rPr>
            </w:pPr>
            <w:r w:rsidRPr="00FB3FA1">
              <w:rPr>
                <w:rFonts w:eastAsia="Calibri" w:cs="Arial"/>
                <w:sz w:val="18"/>
                <w:szCs w:val="18"/>
              </w:rPr>
              <w:t>Construction: 29.5%</w:t>
            </w:r>
          </w:p>
          <w:p w14:paraId="2CA9253F" w14:textId="77777777" w:rsidR="00021A9B" w:rsidRPr="00FB3FA1" w:rsidDel="00FA7368" w:rsidRDefault="00021A9B" w:rsidP="00F0752D">
            <w:pPr>
              <w:spacing w:after="0" w:line="240" w:lineRule="auto"/>
              <w:jc w:val="center"/>
              <w:rPr>
                <w:rFonts w:eastAsia="Calibri" w:cs="Arial"/>
                <w:sz w:val="18"/>
                <w:szCs w:val="18"/>
              </w:rPr>
            </w:pPr>
            <w:r w:rsidRPr="00FB3FA1">
              <w:rPr>
                <w:rFonts w:eastAsia="Calibri" w:cs="Arial"/>
                <w:sz w:val="18"/>
                <w:szCs w:val="18"/>
              </w:rPr>
              <w:t>Services: 28.0%</w:t>
            </w:r>
          </w:p>
          <w:p w14:paraId="7006A432" w14:textId="77777777" w:rsidR="00021A9B" w:rsidRPr="00FB3FA1" w:rsidDel="00FA7368" w:rsidRDefault="00021A9B" w:rsidP="00F0752D">
            <w:pPr>
              <w:spacing w:after="0" w:line="240" w:lineRule="auto"/>
              <w:jc w:val="center"/>
              <w:rPr>
                <w:rFonts w:eastAsia="Calibri" w:cs="Arial"/>
                <w:sz w:val="18"/>
                <w:szCs w:val="18"/>
              </w:rPr>
            </w:pPr>
            <w:r w:rsidRPr="00FB3FA1">
              <w:rPr>
                <w:rFonts w:eastAsia="Calibri" w:cs="Arial"/>
                <w:sz w:val="18"/>
                <w:szCs w:val="18"/>
              </w:rPr>
              <w:t>Community: 25.0%</w:t>
            </w:r>
          </w:p>
          <w:p w14:paraId="49D608DA" w14:textId="77777777" w:rsidR="00021A9B" w:rsidRPr="00FB3FA1" w:rsidDel="00FA7368" w:rsidRDefault="00021A9B" w:rsidP="00F0752D">
            <w:pPr>
              <w:spacing w:after="0" w:line="240" w:lineRule="auto"/>
              <w:jc w:val="center"/>
              <w:rPr>
                <w:rFonts w:eastAsia="Calibri" w:cs="Arial"/>
                <w:sz w:val="18"/>
                <w:szCs w:val="18"/>
              </w:rPr>
            </w:pPr>
            <w:r w:rsidRPr="00FB3FA1">
              <w:rPr>
                <w:rFonts w:eastAsia="Calibri" w:cs="Arial"/>
                <w:sz w:val="18"/>
                <w:szCs w:val="18"/>
              </w:rPr>
              <w:t>Security: 26.5%</w:t>
            </w:r>
          </w:p>
          <w:p w14:paraId="331E623F" w14:textId="77777777" w:rsidR="00021A9B" w:rsidRPr="00FB3FA1" w:rsidDel="00FA7368" w:rsidRDefault="00021A9B" w:rsidP="00F0752D">
            <w:pPr>
              <w:spacing w:after="0" w:line="240" w:lineRule="auto"/>
              <w:jc w:val="center"/>
              <w:rPr>
                <w:rFonts w:cs="Arial"/>
                <w:sz w:val="18"/>
                <w:szCs w:val="18"/>
              </w:rPr>
            </w:pPr>
          </w:p>
        </w:tc>
        <w:tc>
          <w:tcPr>
            <w:tcW w:w="690" w:type="dxa"/>
            <w:tcBorders>
              <w:bottom w:val="single" w:sz="4" w:space="0" w:color="auto"/>
            </w:tcBorders>
            <w:tcMar>
              <w:top w:w="113" w:type="dxa"/>
              <w:bottom w:w="113" w:type="dxa"/>
            </w:tcMar>
          </w:tcPr>
          <w:p w14:paraId="2FABD691" w14:textId="77777777" w:rsidR="00021A9B" w:rsidRPr="00FB3FA1" w:rsidRDefault="00021A9B" w:rsidP="00F0752D">
            <w:pPr>
              <w:spacing w:after="0" w:line="240" w:lineRule="auto"/>
              <w:jc w:val="center"/>
              <w:rPr>
                <w:rFonts w:cs="Arial"/>
                <w:sz w:val="18"/>
                <w:szCs w:val="18"/>
              </w:rPr>
            </w:pPr>
            <w:r>
              <w:rPr>
                <w:rFonts w:cs="Arial"/>
                <w:sz w:val="18"/>
                <w:szCs w:val="18"/>
              </w:rPr>
              <w:t>7</w:t>
            </w:r>
          </w:p>
        </w:tc>
      </w:tr>
      <w:tr w:rsidR="00021A9B" w:rsidRPr="00FB3FA1" w14:paraId="5751B1FC" w14:textId="77777777" w:rsidTr="00C260B2">
        <w:trPr>
          <w:trHeight w:val="1323"/>
          <w:tblHeader/>
        </w:trPr>
        <w:tc>
          <w:tcPr>
            <w:tcW w:w="2334" w:type="dxa"/>
            <w:vMerge/>
            <w:tcMar>
              <w:top w:w="113" w:type="dxa"/>
              <w:bottom w:w="113" w:type="dxa"/>
            </w:tcMar>
          </w:tcPr>
          <w:p w14:paraId="0A724795" w14:textId="77777777" w:rsidR="00021A9B" w:rsidRPr="00FB3FA1" w:rsidRDefault="00021A9B" w:rsidP="00F0752D">
            <w:pPr>
              <w:spacing w:after="0" w:line="240" w:lineRule="auto"/>
              <w:rPr>
                <w:rFonts w:cs="Arial"/>
                <w:b/>
                <w:sz w:val="18"/>
                <w:szCs w:val="18"/>
              </w:rPr>
            </w:pPr>
          </w:p>
        </w:tc>
        <w:tc>
          <w:tcPr>
            <w:tcW w:w="2339" w:type="dxa"/>
            <w:tcMar>
              <w:top w:w="113" w:type="dxa"/>
              <w:bottom w:w="113" w:type="dxa"/>
            </w:tcMar>
          </w:tcPr>
          <w:p w14:paraId="5D30CCE9" w14:textId="77777777" w:rsidR="00021A9B" w:rsidRPr="00FB3FA1" w:rsidRDefault="00021A9B" w:rsidP="00F0752D">
            <w:pPr>
              <w:spacing w:after="0" w:line="240" w:lineRule="auto"/>
              <w:rPr>
                <w:rFonts w:cs="Arial"/>
                <w:sz w:val="18"/>
                <w:szCs w:val="18"/>
              </w:rPr>
            </w:pPr>
            <w:r w:rsidRPr="00FB3FA1">
              <w:rPr>
                <w:rFonts w:cs="Arial"/>
                <w:sz w:val="18"/>
                <w:szCs w:val="18"/>
              </w:rPr>
              <w:t>The ratio of total assets over total liabilities as at 30 June of the financial year for each administered scheme.</w:t>
            </w:r>
          </w:p>
        </w:tc>
        <w:tc>
          <w:tcPr>
            <w:tcW w:w="1134" w:type="dxa"/>
            <w:tcMar>
              <w:top w:w="113" w:type="dxa"/>
              <w:bottom w:w="113" w:type="dxa"/>
            </w:tcMar>
          </w:tcPr>
          <w:p w14:paraId="3431DFCF" w14:textId="77777777" w:rsidR="00021A9B" w:rsidRPr="00FB3FA1" w:rsidRDefault="00021A9B" w:rsidP="00F0752D">
            <w:pPr>
              <w:spacing w:after="0" w:line="240" w:lineRule="auto"/>
              <w:jc w:val="center"/>
              <w:rPr>
                <w:rFonts w:cs="Arial"/>
                <w:sz w:val="18"/>
                <w:szCs w:val="18"/>
              </w:rPr>
            </w:pPr>
            <w:r w:rsidRPr="00FB3FA1">
              <w:rPr>
                <w:rFonts w:cs="Arial"/>
                <w:sz w:val="18"/>
                <w:szCs w:val="18"/>
              </w:rPr>
              <w:t>110%</w:t>
            </w:r>
          </w:p>
        </w:tc>
        <w:tc>
          <w:tcPr>
            <w:tcW w:w="1994" w:type="dxa"/>
            <w:tcMar>
              <w:top w:w="113" w:type="dxa"/>
              <w:bottom w:w="113" w:type="dxa"/>
            </w:tcMar>
          </w:tcPr>
          <w:p w14:paraId="7863E7E1" w14:textId="77777777" w:rsidR="00021A9B" w:rsidRPr="00FB3FA1" w:rsidRDefault="00021A9B" w:rsidP="00F0752D">
            <w:pPr>
              <w:spacing w:after="0" w:line="240" w:lineRule="auto"/>
              <w:jc w:val="center"/>
              <w:rPr>
                <w:rFonts w:cs="Arial"/>
                <w:sz w:val="18"/>
                <w:szCs w:val="18"/>
              </w:rPr>
            </w:pPr>
            <w:r w:rsidRPr="00FB3FA1">
              <w:rPr>
                <w:rFonts w:cs="Arial"/>
                <w:sz w:val="18"/>
                <w:szCs w:val="18"/>
              </w:rPr>
              <w:t>Construction: 13</w:t>
            </w:r>
            <w:r>
              <w:rPr>
                <w:rFonts w:cs="Arial"/>
                <w:sz w:val="18"/>
                <w:szCs w:val="18"/>
              </w:rPr>
              <w:t>1</w:t>
            </w:r>
            <w:r w:rsidRPr="00FB3FA1">
              <w:rPr>
                <w:rFonts w:cs="Arial"/>
                <w:sz w:val="18"/>
                <w:szCs w:val="18"/>
              </w:rPr>
              <w:t>%  </w:t>
            </w:r>
          </w:p>
          <w:p w14:paraId="2BC3A138" w14:textId="77777777" w:rsidR="00021A9B" w:rsidRPr="00FB3FA1" w:rsidRDefault="00021A9B" w:rsidP="00F0752D">
            <w:pPr>
              <w:spacing w:after="0" w:line="240" w:lineRule="auto"/>
              <w:jc w:val="center"/>
              <w:rPr>
                <w:rFonts w:cs="Arial"/>
                <w:sz w:val="18"/>
                <w:szCs w:val="18"/>
              </w:rPr>
            </w:pPr>
            <w:r w:rsidRPr="00FB3FA1">
              <w:rPr>
                <w:rFonts w:cs="Arial"/>
                <w:sz w:val="18"/>
                <w:szCs w:val="18"/>
              </w:rPr>
              <w:t>Services: 186% </w:t>
            </w:r>
          </w:p>
          <w:p w14:paraId="0B0CAC33" w14:textId="77777777" w:rsidR="00021A9B" w:rsidRPr="00FB3FA1" w:rsidRDefault="00021A9B" w:rsidP="00F0752D">
            <w:pPr>
              <w:spacing w:after="0" w:line="240" w:lineRule="auto"/>
              <w:jc w:val="center"/>
              <w:rPr>
                <w:rFonts w:cs="Arial"/>
                <w:sz w:val="18"/>
                <w:szCs w:val="18"/>
              </w:rPr>
            </w:pPr>
            <w:r w:rsidRPr="00FB3FA1">
              <w:rPr>
                <w:rFonts w:cs="Arial"/>
                <w:sz w:val="18"/>
                <w:szCs w:val="18"/>
              </w:rPr>
              <w:t>Community: 126% </w:t>
            </w:r>
          </w:p>
          <w:p w14:paraId="0036E59E" w14:textId="77777777" w:rsidR="00021A9B" w:rsidRPr="00FB3FA1" w:rsidRDefault="00021A9B" w:rsidP="00F0752D">
            <w:pPr>
              <w:spacing w:after="0" w:line="240" w:lineRule="auto"/>
              <w:jc w:val="center"/>
              <w:rPr>
                <w:rFonts w:cs="Arial"/>
                <w:sz w:val="18"/>
                <w:szCs w:val="18"/>
              </w:rPr>
            </w:pPr>
            <w:r w:rsidRPr="00FB3FA1">
              <w:rPr>
                <w:rFonts w:cs="Arial"/>
                <w:sz w:val="18"/>
                <w:szCs w:val="18"/>
              </w:rPr>
              <w:t>Security: 124%</w:t>
            </w:r>
          </w:p>
          <w:p w14:paraId="55137DA5" w14:textId="77777777" w:rsidR="00021A9B" w:rsidRPr="00FB3FA1" w:rsidRDefault="00021A9B" w:rsidP="00F0752D">
            <w:pPr>
              <w:spacing w:after="0" w:line="240" w:lineRule="auto"/>
              <w:jc w:val="center"/>
              <w:rPr>
                <w:rFonts w:cs="Arial"/>
                <w:sz w:val="18"/>
                <w:szCs w:val="18"/>
              </w:rPr>
            </w:pPr>
          </w:p>
        </w:tc>
        <w:tc>
          <w:tcPr>
            <w:tcW w:w="1995" w:type="dxa"/>
            <w:tcMar>
              <w:top w:w="113" w:type="dxa"/>
              <w:bottom w:w="113" w:type="dxa"/>
            </w:tcMar>
          </w:tcPr>
          <w:p w14:paraId="67C7F2F7" w14:textId="77777777" w:rsidR="00021A9B" w:rsidRPr="00FB3FA1" w:rsidRDefault="00021A9B" w:rsidP="00F0752D">
            <w:pPr>
              <w:spacing w:after="0" w:line="240" w:lineRule="auto"/>
              <w:jc w:val="center"/>
              <w:rPr>
                <w:rFonts w:cs="Arial"/>
                <w:sz w:val="18"/>
                <w:szCs w:val="18"/>
              </w:rPr>
            </w:pPr>
            <w:r w:rsidRPr="00FB3FA1">
              <w:rPr>
                <w:rFonts w:cs="Arial"/>
                <w:sz w:val="18"/>
                <w:szCs w:val="18"/>
              </w:rPr>
              <w:t xml:space="preserve">Construction: </w:t>
            </w:r>
            <w:r>
              <w:rPr>
                <w:rFonts w:cs="Arial"/>
                <w:sz w:val="18"/>
                <w:szCs w:val="18"/>
              </w:rPr>
              <w:t>19.1</w:t>
            </w:r>
            <w:r w:rsidRPr="00FB3FA1">
              <w:rPr>
                <w:rFonts w:cs="Arial"/>
                <w:sz w:val="18"/>
                <w:szCs w:val="18"/>
              </w:rPr>
              <w:t>% </w:t>
            </w:r>
          </w:p>
          <w:p w14:paraId="7CC0D5A7" w14:textId="77777777" w:rsidR="00021A9B" w:rsidRPr="00FB3FA1" w:rsidRDefault="00021A9B" w:rsidP="00F0752D">
            <w:pPr>
              <w:spacing w:after="0" w:line="240" w:lineRule="auto"/>
              <w:jc w:val="center"/>
              <w:rPr>
                <w:rFonts w:cs="Arial"/>
                <w:sz w:val="18"/>
                <w:szCs w:val="18"/>
              </w:rPr>
            </w:pPr>
            <w:r w:rsidRPr="00FB3FA1">
              <w:rPr>
                <w:rFonts w:cs="Arial"/>
                <w:sz w:val="18"/>
                <w:szCs w:val="18"/>
              </w:rPr>
              <w:t>Services: 69.1% </w:t>
            </w:r>
          </w:p>
          <w:p w14:paraId="0CD16567" w14:textId="77777777" w:rsidR="00021A9B" w:rsidRPr="00FB3FA1" w:rsidRDefault="00021A9B" w:rsidP="00F0752D">
            <w:pPr>
              <w:spacing w:after="0" w:line="240" w:lineRule="auto"/>
              <w:jc w:val="center"/>
              <w:rPr>
                <w:rFonts w:cs="Arial"/>
                <w:sz w:val="18"/>
                <w:szCs w:val="18"/>
              </w:rPr>
            </w:pPr>
            <w:r w:rsidRPr="00FB3FA1">
              <w:rPr>
                <w:rFonts w:cs="Arial"/>
                <w:sz w:val="18"/>
                <w:szCs w:val="18"/>
              </w:rPr>
              <w:t>Community: 14.5% </w:t>
            </w:r>
          </w:p>
          <w:p w14:paraId="582BCC1A" w14:textId="77777777" w:rsidR="00021A9B" w:rsidRPr="00FB3FA1" w:rsidRDefault="00021A9B" w:rsidP="00F0752D">
            <w:pPr>
              <w:spacing w:after="0" w:line="240" w:lineRule="auto"/>
              <w:jc w:val="center"/>
              <w:rPr>
                <w:rFonts w:cs="Arial"/>
                <w:sz w:val="18"/>
                <w:szCs w:val="18"/>
              </w:rPr>
            </w:pPr>
            <w:r w:rsidRPr="00FB3FA1">
              <w:rPr>
                <w:rFonts w:cs="Arial"/>
                <w:sz w:val="18"/>
                <w:szCs w:val="18"/>
              </w:rPr>
              <w:t>Security: 12.7%</w:t>
            </w:r>
          </w:p>
          <w:p w14:paraId="2341D751" w14:textId="77777777" w:rsidR="00021A9B" w:rsidRPr="00FB3FA1" w:rsidRDefault="00021A9B" w:rsidP="00F0752D">
            <w:pPr>
              <w:spacing w:after="0" w:line="240" w:lineRule="auto"/>
              <w:jc w:val="center"/>
              <w:rPr>
                <w:rFonts w:cs="Arial"/>
                <w:sz w:val="18"/>
                <w:szCs w:val="18"/>
              </w:rPr>
            </w:pPr>
          </w:p>
        </w:tc>
        <w:tc>
          <w:tcPr>
            <w:tcW w:w="690" w:type="dxa"/>
            <w:tcMar>
              <w:top w:w="113" w:type="dxa"/>
              <w:bottom w:w="113" w:type="dxa"/>
            </w:tcMar>
          </w:tcPr>
          <w:p w14:paraId="2FEDF80C" w14:textId="77777777" w:rsidR="00021A9B" w:rsidRPr="00FB3FA1" w:rsidRDefault="00021A9B" w:rsidP="00F0752D">
            <w:pPr>
              <w:spacing w:after="0" w:line="240" w:lineRule="auto"/>
              <w:jc w:val="center"/>
              <w:rPr>
                <w:rFonts w:cs="Arial"/>
                <w:sz w:val="18"/>
                <w:szCs w:val="18"/>
              </w:rPr>
            </w:pPr>
            <w:r>
              <w:rPr>
                <w:rFonts w:cs="Arial"/>
                <w:sz w:val="18"/>
                <w:szCs w:val="18"/>
              </w:rPr>
              <w:t>8</w:t>
            </w:r>
          </w:p>
        </w:tc>
      </w:tr>
    </w:tbl>
    <w:p w14:paraId="7425F147" w14:textId="77777777" w:rsidR="00021A9B" w:rsidRPr="00FB3FA1" w:rsidRDefault="00021A9B" w:rsidP="009E1A41">
      <w:pPr>
        <w:spacing w:before="240"/>
        <w:ind w:left="-284"/>
        <w:rPr>
          <w:rFonts w:cs="Arial"/>
        </w:rPr>
      </w:pPr>
      <w:r w:rsidRPr="00FB3FA1">
        <w:rPr>
          <w:rFonts w:cs="Arial"/>
        </w:rPr>
        <w:t>The above Statement of Performance should be read in conjunction with the accompanying notes.</w:t>
      </w:r>
    </w:p>
    <w:p w14:paraId="6EA61DBC" w14:textId="77777777" w:rsidR="00021A9B" w:rsidRPr="00FB3FA1" w:rsidRDefault="00021A9B" w:rsidP="009E1A41">
      <w:pPr>
        <w:ind w:left="-284"/>
        <w:rPr>
          <w:rFonts w:cs="Arial"/>
        </w:rPr>
      </w:pPr>
      <w:r w:rsidRPr="00FB3FA1">
        <w:rPr>
          <w:rFonts w:cs="Arial"/>
        </w:rPr>
        <w:t xml:space="preserve">The above accountability indicators were examined by the ACT Audit Office in accordance with the </w:t>
      </w:r>
      <w:r w:rsidRPr="00FB3FA1">
        <w:rPr>
          <w:rFonts w:cs="Arial"/>
          <w:i/>
        </w:rPr>
        <w:t>Financial Management Act 1996.</w:t>
      </w:r>
    </w:p>
    <w:p w14:paraId="75CFB9B1" w14:textId="77777777" w:rsidR="00021A9B" w:rsidRPr="00FB3FA1" w:rsidRDefault="00021A9B" w:rsidP="00021A9B">
      <w:pPr>
        <w:ind w:left="-284"/>
        <w:rPr>
          <w:rFonts w:cs="Arial"/>
        </w:rPr>
      </w:pPr>
      <w:r w:rsidRPr="00FB3FA1">
        <w:rPr>
          <w:rFonts w:cs="Arial"/>
          <w:b/>
        </w:rPr>
        <w:t>Notes to the Statement of Performance</w:t>
      </w:r>
    </w:p>
    <w:p w14:paraId="3D13BA01" w14:textId="111AE05F" w:rsidR="00021A9B" w:rsidRPr="0007055C" w:rsidRDefault="00021A9B" w:rsidP="00021A9B">
      <w:pPr>
        <w:pStyle w:val="ListNumber"/>
        <w:numPr>
          <w:ilvl w:val="0"/>
          <w:numId w:val="12"/>
        </w:numPr>
        <w:adjustRightInd w:val="0"/>
        <w:snapToGrid w:val="0"/>
        <w:spacing w:after="140"/>
        <w:rPr>
          <w:rFonts w:cs="Arial"/>
        </w:rPr>
      </w:pPr>
      <w:r w:rsidRPr="0007055C">
        <w:rPr>
          <w:rFonts w:cs="Arial"/>
        </w:rPr>
        <w:t>ACT Leave registered 311 new employers and re-registered 22 employers</w:t>
      </w:r>
      <w:r w:rsidR="00FC0A57">
        <w:rPr>
          <w:rFonts w:ascii="ZWAdobeF" w:hAnsi="ZWAdobeF" w:cs="ZWAdobeF"/>
          <w:color w:val="auto"/>
          <w:sz w:val="2"/>
          <w:szCs w:val="2"/>
        </w:rPr>
        <w:t>24F</w:t>
      </w:r>
      <w:r w:rsidRPr="005F0BA0">
        <w:rPr>
          <w:vertAlign w:val="superscript"/>
        </w:rPr>
        <w:footnoteReference w:id="26"/>
      </w:r>
      <w:r w:rsidRPr="0007055C">
        <w:rPr>
          <w:rFonts w:cs="Arial"/>
        </w:rPr>
        <w:t xml:space="preserve"> across all schemes during the 2025-26 financial year. There was 1 registration </w:t>
      </w:r>
      <w:r>
        <w:rPr>
          <w:rFonts w:cs="Arial"/>
        </w:rPr>
        <w:t xml:space="preserve">out </w:t>
      </w:r>
      <w:r w:rsidRPr="0007055C">
        <w:rPr>
          <w:rFonts w:cs="Arial"/>
        </w:rPr>
        <w:t xml:space="preserve">of the 333 that was not completed within 10 working days of receipt of a correctly completed registration form. </w:t>
      </w:r>
    </w:p>
    <w:p w14:paraId="38D39833" w14:textId="77777777" w:rsidR="00021A9B" w:rsidRPr="0007055C" w:rsidRDefault="00021A9B" w:rsidP="00021A9B">
      <w:pPr>
        <w:pStyle w:val="ListNumber"/>
        <w:numPr>
          <w:ilvl w:val="0"/>
          <w:numId w:val="12"/>
        </w:numPr>
        <w:adjustRightInd w:val="0"/>
        <w:snapToGrid w:val="0"/>
        <w:spacing w:after="140"/>
        <w:rPr>
          <w:rFonts w:eastAsia="SimSun" w:cs="Arial"/>
        </w:rPr>
      </w:pPr>
      <w:r w:rsidRPr="0007055C">
        <w:rPr>
          <w:rFonts w:eastAsia="SimSun" w:cs="Arial"/>
        </w:rPr>
        <w:t>ACT Leave completed investigations of 223 missing service claims in 2025-26 financial year. The majority of the missing service claims that were not completed within 10 working days of receipt of all the information required to reach a conclusion, either involved a complex coverage assessment or related to employers that had ceased trading. Such claims require additional time to complete. ACT Leave takes extra precautions before informing claimants of the outcome, particularly in cases where the available evidence indicates that the claimant is not eligible for the service claimed. Unexpected staff absences, staff turnover, and an overall increase in the number of claims further contributed to the lower result.</w:t>
      </w:r>
    </w:p>
    <w:p w14:paraId="28829C38" w14:textId="77777777" w:rsidR="00021A9B" w:rsidRPr="0007055C" w:rsidRDefault="00021A9B" w:rsidP="00021A9B">
      <w:pPr>
        <w:pStyle w:val="ListNumber"/>
        <w:numPr>
          <w:ilvl w:val="0"/>
          <w:numId w:val="12"/>
        </w:numPr>
        <w:adjustRightInd w:val="0"/>
        <w:snapToGrid w:val="0"/>
        <w:spacing w:after="140"/>
        <w:rPr>
          <w:rFonts w:eastAsia="SimSun" w:cs="Arial"/>
        </w:rPr>
      </w:pPr>
      <w:r w:rsidRPr="0007055C">
        <w:rPr>
          <w:rFonts w:eastAsia="SimSun" w:cs="Arial"/>
        </w:rPr>
        <w:t xml:space="preserve">Only visits that resulted in in-person engagement were counted towards this target. The source data used to conduct the visits included businesses registered at residential addresses. As a result, in-person engagement was often not possible, and an information pack was left at the business address instead. A total of 2,740 visits were undertaken during the reporting period; however, only 1,415 of these visits resulted in </w:t>
      </w:r>
      <w:r>
        <w:rPr>
          <w:rFonts w:eastAsia="SimSun" w:cs="Arial"/>
        </w:rPr>
        <w:t xml:space="preserve">an </w:t>
      </w:r>
      <w:r w:rsidRPr="0007055C">
        <w:rPr>
          <w:rFonts w:eastAsia="SimSun" w:cs="Arial"/>
        </w:rPr>
        <w:t>in-person engagement.</w:t>
      </w:r>
    </w:p>
    <w:p w14:paraId="35AFD2F5" w14:textId="77777777" w:rsidR="00021A9B" w:rsidRPr="0007055C" w:rsidRDefault="00021A9B" w:rsidP="00021A9B">
      <w:pPr>
        <w:pStyle w:val="ListNumber"/>
        <w:numPr>
          <w:ilvl w:val="0"/>
          <w:numId w:val="12"/>
        </w:numPr>
        <w:adjustRightInd w:val="0"/>
        <w:snapToGrid w:val="0"/>
        <w:spacing w:after="140"/>
        <w:rPr>
          <w:rFonts w:cs="Arial"/>
        </w:rPr>
      </w:pPr>
      <w:r w:rsidRPr="0007055C">
        <w:rPr>
          <w:rFonts w:cs="Arial"/>
        </w:rPr>
        <w:t xml:space="preserve">ACT Leave processed a total of 11,957 returns and payments for the 2025-26 financial year with 9,451 being received within 5 working days from the quarterly return due date. </w:t>
      </w:r>
    </w:p>
    <w:p w14:paraId="353CC6D7" w14:textId="77777777" w:rsidR="00021A9B" w:rsidRPr="0007055C" w:rsidRDefault="00021A9B" w:rsidP="00021A9B">
      <w:pPr>
        <w:pStyle w:val="ListNumber"/>
        <w:numPr>
          <w:ilvl w:val="0"/>
          <w:numId w:val="12"/>
        </w:numPr>
        <w:adjustRightInd w:val="0"/>
        <w:snapToGrid w:val="0"/>
        <w:spacing w:after="140"/>
        <w:rPr>
          <w:rFonts w:cs="Arial"/>
        </w:rPr>
      </w:pPr>
      <w:r w:rsidRPr="0007055C">
        <w:rPr>
          <w:rFonts w:cs="Arial"/>
        </w:rPr>
        <w:lastRenderedPageBreak/>
        <w:t xml:space="preserve">ACT Leave processed a total of 3,199 eligible employee and contractor claims for the 2025-26 financial year. There was 1 employee claim not paid within 15 working days of receipt of a correctly completed and verified claim form. </w:t>
      </w:r>
    </w:p>
    <w:p w14:paraId="77A4E4AB" w14:textId="77777777" w:rsidR="00021A9B" w:rsidRPr="0007055C" w:rsidRDefault="00021A9B" w:rsidP="00021A9B">
      <w:pPr>
        <w:pStyle w:val="ListNumber"/>
        <w:numPr>
          <w:ilvl w:val="0"/>
          <w:numId w:val="12"/>
        </w:numPr>
        <w:adjustRightInd w:val="0"/>
        <w:snapToGrid w:val="0"/>
        <w:spacing w:after="140"/>
        <w:rPr>
          <w:rFonts w:cs="Arial"/>
        </w:rPr>
      </w:pPr>
      <w:r w:rsidRPr="0007055C">
        <w:rPr>
          <w:rFonts w:cs="Arial"/>
        </w:rPr>
        <w:t>ACT Leave processed a total of 572 eligible reimbursements and refunds to employers for the 2025-26 financial year. There was 1 refund not paid within 15 days of receipt of a correctly completed and verified application form.</w:t>
      </w:r>
    </w:p>
    <w:p w14:paraId="0BE567AA" w14:textId="77777777" w:rsidR="00021A9B" w:rsidRPr="0007055C" w:rsidRDefault="00021A9B" w:rsidP="00021A9B">
      <w:pPr>
        <w:pStyle w:val="ListNumber"/>
        <w:numPr>
          <w:ilvl w:val="0"/>
          <w:numId w:val="12"/>
        </w:numPr>
        <w:adjustRightInd w:val="0"/>
        <w:snapToGrid w:val="0"/>
        <w:spacing w:after="140"/>
      </w:pPr>
      <w:r w:rsidRPr="0007055C">
        <w:rPr>
          <w:rFonts w:eastAsia="SimSun" w:cs="Arial"/>
        </w:rPr>
        <w:t xml:space="preserve">ACT Leave invests the funds of its administered schemes in accordance with the Investment Plan approved by the Treasurer. The Investment Plan prescribes a strategic asset allocation of 65 per cent to growth-oriented assets, such as equity and property funds, and 35 per cent to other assets, including cash and fixed interest investments, through Vanguard Australia. Investment returns are net of management fees and include the reinvestment of all distributions. The target for this measure as at the reporting date (2.5 per cent above </w:t>
      </w:r>
      <w:r w:rsidRPr="334FD0A0">
        <w:rPr>
          <w:rFonts w:eastAsia="SimSun" w:cs="Arial"/>
        </w:rPr>
        <w:t>AWOTE</w:t>
      </w:r>
      <w:r w:rsidRPr="0007055C">
        <w:rPr>
          <w:rFonts w:eastAsia="SimSun" w:cs="Arial"/>
        </w:rPr>
        <w:t>, averaged over five years) is 6.07 per cent. ACT Leave's investment return, averaged over the last five years, exceeded the target due to stronger-than-anticipated market returns during this period.</w:t>
      </w:r>
      <w:r w:rsidRPr="0007055C">
        <w:t xml:space="preserve"> </w:t>
      </w:r>
    </w:p>
    <w:p w14:paraId="6C849D3C" w14:textId="33DE1A63" w:rsidR="00B712B7" w:rsidRPr="009E1A41" w:rsidRDefault="00021A9B" w:rsidP="009E1A41">
      <w:pPr>
        <w:pStyle w:val="ListNumber"/>
        <w:numPr>
          <w:ilvl w:val="0"/>
          <w:numId w:val="12"/>
        </w:numPr>
        <w:adjustRightInd w:val="0"/>
        <w:snapToGrid w:val="0"/>
        <w:spacing w:after="140"/>
      </w:pPr>
      <w:r w:rsidRPr="0007055C">
        <w:rPr>
          <w:rFonts w:cs="Arial"/>
        </w:rPr>
        <w:t>At 30 June 2026, ACT Leave had sufficient assets to meet its liabilities for all four administered schemes, with the ratio of total assets over total liabilities exceeding the target of 110</w:t>
      </w:r>
      <w:r>
        <w:rPr>
          <w:rFonts w:cs="Arial"/>
        </w:rPr>
        <w:t xml:space="preserve"> per cent</w:t>
      </w:r>
      <w:r w:rsidRPr="0007055C">
        <w:rPr>
          <w:rFonts w:cs="Arial"/>
        </w:rPr>
        <w:t>. The higher asset-to-liability ratios were primarily attributable to stronger-than-expected investment returns achieved over the past several years.</w:t>
      </w:r>
      <w:r w:rsidR="00B712B7">
        <w:br w:type="page"/>
      </w:r>
    </w:p>
    <w:p w14:paraId="4614BB0A" w14:textId="77777777" w:rsidR="002B5006" w:rsidRDefault="002B5006" w:rsidP="009E1A41">
      <w:pPr>
        <w:pStyle w:val="Normal2"/>
        <w:sectPr w:rsidR="002B5006" w:rsidSect="005C53E8">
          <w:headerReference w:type="default" r:id="rId89"/>
          <w:type w:val="continuous"/>
          <w:pgSz w:w="11906" w:h="16838" w:code="9"/>
          <w:pgMar w:top="992" w:right="907" w:bottom="851" w:left="907" w:header="510" w:footer="902" w:gutter="0"/>
          <w:cols w:space="708"/>
          <w:titlePg/>
          <w:docGrid w:linePitch="360"/>
        </w:sectPr>
      </w:pPr>
    </w:p>
    <w:bookmarkEnd w:id="182"/>
    <w:p w14:paraId="306753D7" w14:textId="180664B2" w:rsidR="00152909" w:rsidRDefault="00502783" w:rsidP="006E0242">
      <w:r>
        <w:rPr>
          <w:noProof/>
        </w:rPr>
        <w:lastRenderedPageBreak/>
        <w:drawing>
          <wp:anchor distT="0" distB="0" distL="114300" distR="114300" simplePos="0" relativeHeight="251658253" behindDoc="0" locked="0" layoutInCell="1" allowOverlap="1" wp14:anchorId="3CC9D246" wp14:editId="1D56E870">
            <wp:simplePos x="0" y="0"/>
            <wp:positionH relativeFrom="column">
              <wp:posOffset>-584572</wp:posOffset>
            </wp:positionH>
            <wp:positionV relativeFrom="paragraph">
              <wp:posOffset>-779485</wp:posOffset>
            </wp:positionV>
            <wp:extent cx="7556739" cy="10689163"/>
            <wp:effectExtent l="0" t="0" r="6350" b="0"/>
            <wp:wrapNone/>
            <wp:docPr id="810430725" name="Picture 7" descr="Back cover of the Long Service Leave Authority Annual Report 2025-26. The cover features three pale blue circular graphic elements arranged vertically along the left side, with the ACT Government and ACT Leave logos positioned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30725" name="Picture 7" descr="Back cover of the Long Service Leave Authority Annual Report 2025-26. The cover features three pale blue circular graphic elements arranged vertically along the left side, with the ACT Government and ACT Leave logos positioned at the bottom right."/>
                    <pic:cNvPicPr/>
                  </pic:nvPicPr>
                  <pic:blipFill>
                    <a:blip r:embed="rId90"/>
                    <a:stretch>
                      <a:fillRect/>
                    </a:stretch>
                  </pic:blipFill>
                  <pic:spPr>
                    <a:xfrm>
                      <a:off x="0" y="0"/>
                      <a:ext cx="7563847" cy="10699218"/>
                    </a:xfrm>
                    <a:prstGeom prst="rect">
                      <a:avLst/>
                    </a:prstGeom>
                  </pic:spPr>
                </pic:pic>
              </a:graphicData>
            </a:graphic>
            <wp14:sizeRelH relativeFrom="margin">
              <wp14:pctWidth>0</wp14:pctWidth>
            </wp14:sizeRelH>
            <wp14:sizeRelV relativeFrom="margin">
              <wp14:pctHeight>0</wp14:pctHeight>
            </wp14:sizeRelV>
          </wp:anchor>
        </w:drawing>
      </w:r>
    </w:p>
    <w:p w14:paraId="23459E54" w14:textId="71D1C884" w:rsidR="00E53223" w:rsidRPr="00BB2758" w:rsidRDefault="00E53223" w:rsidP="006E0242"/>
    <w:sectPr w:rsidR="00E53223" w:rsidRPr="00BB2758" w:rsidSect="00E3783A">
      <w:headerReference w:type="default" r:id="rId91"/>
      <w:headerReference w:type="first" r:id="rId92"/>
      <w:type w:val="continuous"/>
      <w:pgSz w:w="11906" w:h="16838" w:code="9"/>
      <w:pgMar w:top="1202" w:right="907" w:bottom="851" w:left="907" w:header="510" w:footer="9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42997" w14:textId="77777777" w:rsidR="002326A8" w:rsidRDefault="002326A8" w:rsidP="006E0242">
      <w:r>
        <w:separator/>
      </w:r>
    </w:p>
  </w:endnote>
  <w:endnote w:type="continuationSeparator" w:id="0">
    <w:p w14:paraId="46ACC00B" w14:textId="77777777" w:rsidR="002326A8" w:rsidRDefault="002326A8" w:rsidP="006E0242">
      <w:r>
        <w:continuationSeparator/>
      </w:r>
    </w:p>
  </w:endnote>
  <w:endnote w:type="continuationNotice" w:id="1">
    <w:p w14:paraId="5D2F4C1A" w14:textId="77777777" w:rsidR="002326A8" w:rsidRDefault="002326A8" w:rsidP="006E0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ontserrat Medium">
    <w:panose1 w:val="00000600000000000000"/>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Montserrat SemiBold">
    <w:panose1 w:val="00000700000000000000"/>
    <w:charset w:val="00"/>
    <w:family w:val="auto"/>
    <w:pitch w:val="variable"/>
    <w:sig w:usb0="2000020F" w:usb1="00000003" w:usb2="00000000" w:usb3="00000000" w:csb0="00000197" w:csb1="00000000"/>
  </w:font>
  <w:font w:name="Inter SemiBold">
    <w:altName w:val="Calibri"/>
    <w:charset w:val="00"/>
    <w:family w:val="auto"/>
    <w:pitch w:val="variable"/>
    <w:sig w:usb0="E00002FF" w:usb1="1200A1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C68FB" w14:textId="77777777" w:rsidR="00FC0A57" w:rsidRDefault="00FC0A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985E8" w14:textId="2AC0EE8A" w:rsidR="00057430" w:rsidRDefault="00045EEF" w:rsidP="006E0242">
    <w:pPr>
      <w:pStyle w:val="Footer"/>
    </w:pPr>
    <w:r>
      <w:t>Long Service Leave Authority</w:t>
    </w:r>
    <w:r>
      <w:ptab w:relativeTo="margin" w:alignment="center" w:leader="none"/>
    </w:r>
    <w:r>
      <w:fldChar w:fldCharType="begin"/>
    </w:r>
    <w:r>
      <w:instrText xml:space="preserve"> PAGE   \* MERGEFORMAT </w:instrText>
    </w:r>
    <w:r>
      <w:fldChar w:fldCharType="separate"/>
    </w:r>
    <w:r>
      <w:rPr>
        <w:noProof/>
      </w:rPr>
      <w:t>1</w:t>
    </w:r>
    <w:r>
      <w:rPr>
        <w:noProof/>
      </w:rPr>
      <w:fldChar w:fldCharType="end"/>
    </w:r>
    <w:r>
      <w:ptab w:relativeTo="margin" w:alignment="right" w:leader="none"/>
    </w:r>
    <w:r w:rsidR="005B088D">
      <w:t>Annual Report 2025-26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289198"/>
      <w:docPartObj>
        <w:docPartGallery w:val="Page Numbers (Bottom of Page)"/>
        <w:docPartUnique/>
      </w:docPartObj>
    </w:sdtPr>
    <w:sdtEndPr>
      <w:rPr>
        <w:noProof/>
      </w:rPr>
    </w:sdtEndPr>
    <w:sdtContent>
      <w:p w14:paraId="43570A2B" w14:textId="3F028D0A" w:rsidR="00D52663" w:rsidRDefault="00D2090C" w:rsidP="006E0242">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55" w:type="dxa"/>
      <w:tblLayout w:type="fixed"/>
      <w:tblLook w:val="06A0" w:firstRow="1" w:lastRow="0" w:firstColumn="1" w:lastColumn="0" w:noHBand="1" w:noVBand="1"/>
    </w:tblPr>
    <w:tblGrid>
      <w:gridCol w:w="3385"/>
      <w:gridCol w:w="3385"/>
      <w:gridCol w:w="3385"/>
    </w:tblGrid>
    <w:tr w:rsidR="00A53CD9" w14:paraId="7B2A548E" w14:textId="77777777" w:rsidTr="00517791">
      <w:trPr>
        <w:trHeight w:val="300"/>
      </w:trPr>
      <w:tc>
        <w:tcPr>
          <w:tcW w:w="3385" w:type="dxa"/>
        </w:tcPr>
        <w:p w14:paraId="7D2626DB" w14:textId="77777777" w:rsidR="00A53CD9" w:rsidRDefault="00A53CD9" w:rsidP="00F0752D">
          <w:pPr>
            <w:pStyle w:val="Header"/>
            <w:ind w:left="-115"/>
          </w:pPr>
        </w:p>
      </w:tc>
      <w:tc>
        <w:tcPr>
          <w:tcW w:w="3385" w:type="dxa"/>
        </w:tcPr>
        <w:p w14:paraId="3BADA0BC" w14:textId="77777777" w:rsidR="00A53CD9" w:rsidRDefault="00A53CD9" w:rsidP="00F0752D">
          <w:pPr>
            <w:pStyle w:val="Header"/>
            <w:jc w:val="center"/>
          </w:pPr>
        </w:p>
      </w:tc>
      <w:tc>
        <w:tcPr>
          <w:tcW w:w="3385" w:type="dxa"/>
        </w:tcPr>
        <w:p w14:paraId="0EFC2BD5" w14:textId="77777777" w:rsidR="00A53CD9" w:rsidRDefault="00A53CD9" w:rsidP="00F0752D">
          <w:pPr>
            <w:pStyle w:val="Header"/>
            <w:ind w:right="-115"/>
            <w:jc w:val="right"/>
          </w:pPr>
        </w:p>
      </w:tc>
    </w:tr>
  </w:tbl>
  <w:p w14:paraId="21FAC50C" w14:textId="4D73E879" w:rsidR="00A53CD9" w:rsidRDefault="00517791" w:rsidP="00517791">
    <w:pPr>
      <w:pStyle w:val="Footer"/>
    </w:pPr>
    <w:r>
      <w:t>Long Service Leave Authority</w:t>
    </w:r>
    <w:r>
      <w:ptab w:relativeTo="margin" w:alignment="center" w:leader="none"/>
    </w:r>
    <w:r>
      <w:fldChar w:fldCharType="begin"/>
    </w:r>
    <w:r>
      <w:instrText xml:space="preserve"> PAGE   \* MERGEFORMAT </w:instrText>
    </w:r>
    <w:r>
      <w:fldChar w:fldCharType="separate"/>
    </w:r>
    <w:r>
      <w:t>2</w:t>
    </w:r>
    <w:r>
      <w:rPr>
        <w:noProof/>
      </w:rPr>
      <w:fldChar w:fldCharType="end"/>
    </w:r>
    <w:r>
      <w:ptab w:relativeTo="margin" w:alignment="right" w:leader="none"/>
    </w:r>
    <w:r>
      <w:t>Annual Report 2025-26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003F38ED" w14:paraId="5EF8300D" w14:textId="77777777" w:rsidTr="00F0752D">
      <w:trPr>
        <w:trHeight w:val="300"/>
      </w:trPr>
      <w:tc>
        <w:tcPr>
          <w:tcW w:w="3315" w:type="dxa"/>
        </w:tcPr>
        <w:p w14:paraId="43138D9B" w14:textId="77777777" w:rsidR="003F38ED" w:rsidRDefault="003F38ED" w:rsidP="00F0752D">
          <w:pPr>
            <w:pStyle w:val="Header"/>
            <w:ind w:left="-115"/>
          </w:pPr>
        </w:p>
      </w:tc>
      <w:tc>
        <w:tcPr>
          <w:tcW w:w="3315" w:type="dxa"/>
        </w:tcPr>
        <w:p w14:paraId="602C48CD" w14:textId="77777777" w:rsidR="003F38ED" w:rsidRDefault="003F38ED" w:rsidP="00F0752D">
          <w:pPr>
            <w:pStyle w:val="Header"/>
            <w:jc w:val="center"/>
          </w:pPr>
        </w:p>
      </w:tc>
      <w:tc>
        <w:tcPr>
          <w:tcW w:w="3315" w:type="dxa"/>
        </w:tcPr>
        <w:p w14:paraId="1DF1C3FB" w14:textId="77777777" w:rsidR="003F38ED" w:rsidRDefault="003F38ED" w:rsidP="00F0752D">
          <w:pPr>
            <w:pStyle w:val="Header"/>
            <w:ind w:right="-115"/>
            <w:jc w:val="right"/>
          </w:pPr>
        </w:p>
      </w:tc>
    </w:tr>
  </w:tbl>
  <w:p w14:paraId="72584194" w14:textId="3540300F" w:rsidR="003F38ED" w:rsidRDefault="00663D66" w:rsidP="00663D66">
    <w:pPr>
      <w:pStyle w:val="Footer"/>
    </w:pPr>
    <w:r>
      <w:t>Long Service Leave Authority</w:t>
    </w:r>
    <w:r>
      <w:ptab w:relativeTo="margin" w:alignment="center" w:leader="none"/>
    </w:r>
    <w:r>
      <w:fldChar w:fldCharType="begin"/>
    </w:r>
    <w:r>
      <w:instrText xml:space="preserve"> PAGE   \* MERGEFORMAT </w:instrText>
    </w:r>
    <w:r>
      <w:fldChar w:fldCharType="separate"/>
    </w:r>
    <w:r>
      <w:t>2</w:t>
    </w:r>
    <w:r>
      <w:rPr>
        <w:noProof/>
      </w:rPr>
      <w:fldChar w:fldCharType="end"/>
    </w:r>
    <w:r>
      <w:ptab w:relativeTo="margin" w:alignment="right" w:leader="none"/>
    </w:r>
    <w:r>
      <w:t>Annual Report 2025-26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00717BA5" w14:paraId="318DF7E9" w14:textId="77777777" w:rsidTr="00F0752D">
      <w:trPr>
        <w:trHeight w:val="300"/>
      </w:trPr>
      <w:tc>
        <w:tcPr>
          <w:tcW w:w="3315" w:type="dxa"/>
        </w:tcPr>
        <w:p w14:paraId="7B85142C" w14:textId="77777777" w:rsidR="00717BA5" w:rsidRDefault="00717BA5" w:rsidP="00F0752D">
          <w:pPr>
            <w:pStyle w:val="Header"/>
            <w:ind w:left="-115"/>
          </w:pPr>
        </w:p>
      </w:tc>
      <w:tc>
        <w:tcPr>
          <w:tcW w:w="3315" w:type="dxa"/>
        </w:tcPr>
        <w:p w14:paraId="3B63D9B7" w14:textId="77777777" w:rsidR="00717BA5" w:rsidRDefault="00717BA5" w:rsidP="00F0752D">
          <w:pPr>
            <w:pStyle w:val="Header"/>
            <w:jc w:val="center"/>
          </w:pPr>
        </w:p>
      </w:tc>
      <w:tc>
        <w:tcPr>
          <w:tcW w:w="3315" w:type="dxa"/>
        </w:tcPr>
        <w:p w14:paraId="00A41388" w14:textId="77777777" w:rsidR="00717BA5" w:rsidRDefault="00717BA5" w:rsidP="00F0752D">
          <w:pPr>
            <w:pStyle w:val="Header"/>
            <w:ind w:right="-115"/>
            <w:jc w:val="right"/>
          </w:pPr>
        </w:p>
      </w:tc>
    </w:tr>
  </w:tbl>
  <w:p w14:paraId="2E6C85A1" w14:textId="529DB418" w:rsidR="00717BA5" w:rsidRDefault="00B16608" w:rsidP="00B16608">
    <w:pPr>
      <w:pStyle w:val="Footer"/>
    </w:pPr>
    <w:r>
      <w:t>Long Service Leave Authority</w:t>
    </w:r>
    <w:r>
      <w:ptab w:relativeTo="margin" w:alignment="center" w:leader="none"/>
    </w:r>
    <w:r>
      <w:fldChar w:fldCharType="begin"/>
    </w:r>
    <w:r>
      <w:instrText xml:space="preserve"> PAGE   \* MERGEFORMAT </w:instrText>
    </w:r>
    <w:r>
      <w:fldChar w:fldCharType="separate"/>
    </w:r>
    <w:r>
      <w:t>2</w:t>
    </w:r>
    <w:r>
      <w:rPr>
        <w:noProof/>
      </w:rPr>
      <w:fldChar w:fldCharType="end"/>
    </w:r>
    <w:r>
      <w:ptab w:relativeTo="margin" w:alignment="right" w:leader="none"/>
    </w:r>
    <w:r>
      <w:t>Annual Report 2025-26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00717BA5" w14:paraId="51E62C56" w14:textId="77777777" w:rsidTr="00F0752D">
      <w:trPr>
        <w:trHeight w:val="300"/>
      </w:trPr>
      <w:tc>
        <w:tcPr>
          <w:tcW w:w="3315" w:type="dxa"/>
        </w:tcPr>
        <w:p w14:paraId="40EE586B" w14:textId="77777777" w:rsidR="00717BA5" w:rsidRDefault="00717BA5" w:rsidP="00F0752D">
          <w:pPr>
            <w:pStyle w:val="Header"/>
            <w:ind w:left="-115"/>
          </w:pPr>
        </w:p>
      </w:tc>
      <w:tc>
        <w:tcPr>
          <w:tcW w:w="3315" w:type="dxa"/>
        </w:tcPr>
        <w:p w14:paraId="12C2C7DE" w14:textId="77777777" w:rsidR="00717BA5" w:rsidRDefault="00717BA5" w:rsidP="00F0752D">
          <w:pPr>
            <w:pStyle w:val="Header"/>
            <w:jc w:val="center"/>
          </w:pPr>
        </w:p>
      </w:tc>
      <w:tc>
        <w:tcPr>
          <w:tcW w:w="3315" w:type="dxa"/>
        </w:tcPr>
        <w:p w14:paraId="557A5A47" w14:textId="77777777" w:rsidR="00717BA5" w:rsidRDefault="00717BA5" w:rsidP="00F0752D">
          <w:pPr>
            <w:pStyle w:val="Header"/>
            <w:ind w:right="-115"/>
            <w:jc w:val="right"/>
          </w:pPr>
        </w:p>
      </w:tc>
    </w:tr>
  </w:tbl>
  <w:p w14:paraId="063FB138" w14:textId="2B692C1C" w:rsidR="00717BA5" w:rsidRDefault="000855C5" w:rsidP="000855C5">
    <w:pPr>
      <w:pStyle w:val="Footer"/>
    </w:pPr>
    <w:r>
      <w:t>Long Service Leave Authority</w:t>
    </w:r>
    <w:r>
      <w:ptab w:relativeTo="margin" w:alignment="center" w:leader="none"/>
    </w:r>
    <w:r>
      <w:fldChar w:fldCharType="begin"/>
    </w:r>
    <w:r>
      <w:instrText xml:space="preserve"> PAGE   \* MERGEFORMAT </w:instrText>
    </w:r>
    <w:r>
      <w:fldChar w:fldCharType="separate"/>
    </w:r>
    <w:r>
      <w:t>2</w:t>
    </w:r>
    <w:r>
      <w:rPr>
        <w:noProof/>
      </w:rPr>
      <w:fldChar w:fldCharType="end"/>
    </w:r>
    <w:r>
      <w:ptab w:relativeTo="margin" w:alignment="right" w:leader="none"/>
    </w:r>
    <w:r>
      <w:t>Annual Report 2025-26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45"/>
      <w:gridCol w:w="5045"/>
      <w:gridCol w:w="5045"/>
    </w:tblGrid>
    <w:tr w:rsidR="00717BA5" w14:paraId="619A486B" w14:textId="77777777" w:rsidTr="00F0752D">
      <w:trPr>
        <w:trHeight w:val="300"/>
      </w:trPr>
      <w:tc>
        <w:tcPr>
          <w:tcW w:w="5045" w:type="dxa"/>
        </w:tcPr>
        <w:p w14:paraId="0E4AF0D9" w14:textId="77777777" w:rsidR="00717BA5" w:rsidRDefault="00717BA5" w:rsidP="00F0752D">
          <w:pPr>
            <w:pStyle w:val="Header"/>
            <w:ind w:left="-115"/>
          </w:pPr>
        </w:p>
      </w:tc>
      <w:tc>
        <w:tcPr>
          <w:tcW w:w="5045" w:type="dxa"/>
        </w:tcPr>
        <w:p w14:paraId="6C065BB8" w14:textId="77777777" w:rsidR="00717BA5" w:rsidRDefault="00717BA5" w:rsidP="00F0752D">
          <w:pPr>
            <w:pStyle w:val="Header"/>
            <w:jc w:val="center"/>
          </w:pPr>
        </w:p>
      </w:tc>
      <w:tc>
        <w:tcPr>
          <w:tcW w:w="5045" w:type="dxa"/>
        </w:tcPr>
        <w:p w14:paraId="4AF98619" w14:textId="77777777" w:rsidR="00717BA5" w:rsidRDefault="00717BA5" w:rsidP="00F0752D">
          <w:pPr>
            <w:pStyle w:val="Header"/>
            <w:ind w:right="-115"/>
            <w:jc w:val="right"/>
          </w:pPr>
        </w:p>
      </w:tc>
    </w:tr>
  </w:tbl>
  <w:p w14:paraId="76D91AD1" w14:textId="77777777" w:rsidR="00717BA5" w:rsidRDefault="00717BA5" w:rsidP="00F075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00717BA5" w14:paraId="088829D5" w14:textId="77777777" w:rsidTr="00F0752D">
      <w:trPr>
        <w:trHeight w:val="300"/>
      </w:trPr>
      <w:tc>
        <w:tcPr>
          <w:tcW w:w="3315" w:type="dxa"/>
        </w:tcPr>
        <w:p w14:paraId="4DFC47D7" w14:textId="77777777" w:rsidR="00717BA5" w:rsidRDefault="00717BA5" w:rsidP="00F0752D">
          <w:pPr>
            <w:pStyle w:val="Header"/>
            <w:ind w:left="-115"/>
          </w:pPr>
        </w:p>
      </w:tc>
      <w:tc>
        <w:tcPr>
          <w:tcW w:w="3315" w:type="dxa"/>
        </w:tcPr>
        <w:p w14:paraId="625CF239" w14:textId="77777777" w:rsidR="00717BA5" w:rsidRDefault="00717BA5" w:rsidP="00F0752D">
          <w:pPr>
            <w:pStyle w:val="Header"/>
            <w:jc w:val="center"/>
          </w:pPr>
        </w:p>
      </w:tc>
      <w:tc>
        <w:tcPr>
          <w:tcW w:w="3315" w:type="dxa"/>
        </w:tcPr>
        <w:p w14:paraId="22C55CDC" w14:textId="77777777" w:rsidR="00717BA5" w:rsidRDefault="00717BA5" w:rsidP="00F0752D">
          <w:pPr>
            <w:pStyle w:val="Header"/>
            <w:ind w:right="-115"/>
            <w:jc w:val="right"/>
          </w:pPr>
        </w:p>
      </w:tc>
    </w:tr>
  </w:tbl>
  <w:p w14:paraId="6AB995E9" w14:textId="1402B475" w:rsidR="00717BA5" w:rsidRDefault="00AB65DE" w:rsidP="00AB65DE">
    <w:pPr>
      <w:pStyle w:val="Footer"/>
    </w:pPr>
    <w:r>
      <w:t>Long Service Leave Authority</w:t>
    </w:r>
    <w:r>
      <w:ptab w:relativeTo="margin" w:alignment="center" w:leader="none"/>
    </w:r>
    <w:r>
      <w:fldChar w:fldCharType="begin"/>
    </w:r>
    <w:r>
      <w:instrText xml:space="preserve"> PAGE   \* MERGEFORMAT </w:instrText>
    </w:r>
    <w:r>
      <w:fldChar w:fldCharType="separate"/>
    </w:r>
    <w:r>
      <w:t>2</w:t>
    </w:r>
    <w:r>
      <w:rPr>
        <w:noProof/>
      </w:rPr>
      <w:fldChar w:fldCharType="end"/>
    </w:r>
    <w:r>
      <w:ptab w:relativeTo="margin" w:alignment="right" w:leader="none"/>
    </w:r>
    <w:r>
      <w:t>Annual Report 2025-26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50"/>
      <w:gridCol w:w="4950"/>
      <w:gridCol w:w="4950"/>
    </w:tblGrid>
    <w:tr w:rsidR="00717BA5" w14:paraId="12F63E36" w14:textId="77777777" w:rsidTr="00F0752D">
      <w:trPr>
        <w:trHeight w:val="300"/>
      </w:trPr>
      <w:tc>
        <w:tcPr>
          <w:tcW w:w="4950" w:type="dxa"/>
        </w:tcPr>
        <w:p w14:paraId="20AD8839" w14:textId="77777777" w:rsidR="00717BA5" w:rsidRDefault="00717BA5" w:rsidP="00F0752D">
          <w:pPr>
            <w:pStyle w:val="Header"/>
            <w:ind w:left="-115"/>
          </w:pPr>
        </w:p>
      </w:tc>
      <w:tc>
        <w:tcPr>
          <w:tcW w:w="4950" w:type="dxa"/>
        </w:tcPr>
        <w:p w14:paraId="3C4FB864" w14:textId="77777777" w:rsidR="00717BA5" w:rsidRDefault="00717BA5" w:rsidP="00F0752D">
          <w:pPr>
            <w:pStyle w:val="Header"/>
            <w:jc w:val="center"/>
          </w:pPr>
        </w:p>
      </w:tc>
      <w:tc>
        <w:tcPr>
          <w:tcW w:w="4950" w:type="dxa"/>
        </w:tcPr>
        <w:p w14:paraId="5961AB52" w14:textId="77777777" w:rsidR="00717BA5" w:rsidRDefault="00717BA5" w:rsidP="00F0752D">
          <w:pPr>
            <w:pStyle w:val="Header"/>
            <w:ind w:right="-115"/>
            <w:jc w:val="right"/>
          </w:pPr>
        </w:p>
      </w:tc>
    </w:tr>
  </w:tbl>
  <w:p w14:paraId="0BBD53CB" w14:textId="77777777" w:rsidR="00717BA5" w:rsidRDefault="00717BA5" w:rsidP="00F0752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50" w:type="dxa"/>
      <w:tblLayout w:type="fixed"/>
      <w:tblLook w:val="06A0" w:firstRow="1" w:lastRow="0" w:firstColumn="1" w:lastColumn="0" w:noHBand="1" w:noVBand="1"/>
    </w:tblPr>
    <w:tblGrid>
      <w:gridCol w:w="4950"/>
      <w:gridCol w:w="4950"/>
      <w:gridCol w:w="4950"/>
    </w:tblGrid>
    <w:tr w:rsidR="00A53CD9" w14:paraId="269BAAFC" w14:textId="77777777" w:rsidTr="00896B3D">
      <w:trPr>
        <w:trHeight w:val="300"/>
      </w:trPr>
      <w:tc>
        <w:tcPr>
          <w:tcW w:w="4950" w:type="dxa"/>
        </w:tcPr>
        <w:p w14:paraId="0F84727A" w14:textId="0DAF11BB" w:rsidR="00A53CD9" w:rsidRDefault="00A53CD9" w:rsidP="00F0752D">
          <w:pPr>
            <w:pStyle w:val="Header"/>
            <w:ind w:left="-115"/>
          </w:pPr>
        </w:p>
      </w:tc>
      <w:tc>
        <w:tcPr>
          <w:tcW w:w="4950" w:type="dxa"/>
        </w:tcPr>
        <w:p w14:paraId="672867E4" w14:textId="77777777" w:rsidR="00A53CD9" w:rsidRDefault="00A53CD9" w:rsidP="00F0752D">
          <w:pPr>
            <w:pStyle w:val="Header"/>
            <w:jc w:val="center"/>
          </w:pPr>
        </w:p>
      </w:tc>
      <w:tc>
        <w:tcPr>
          <w:tcW w:w="4950" w:type="dxa"/>
        </w:tcPr>
        <w:p w14:paraId="1426912A" w14:textId="77777777" w:rsidR="00A53CD9" w:rsidRDefault="00A53CD9" w:rsidP="00F0752D">
          <w:pPr>
            <w:pStyle w:val="Header"/>
            <w:ind w:right="-115"/>
            <w:jc w:val="right"/>
          </w:pPr>
        </w:p>
      </w:tc>
    </w:tr>
  </w:tbl>
  <w:p w14:paraId="3CFB5E43" w14:textId="297FA8BC" w:rsidR="00A53CD9" w:rsidRDefault="00896B3D" w:rsidP="00896B3D">
    <w:pPr>
      <w:pStyle w:val="Footer"/>
    </w:pPr>
    <w:r>
      <w:t>Long Service Leave Authority</w:t>
    </w:r>
    <w:r>
      <w:ptab w:relativeTo="margin" w:alignment="center" w:leader="none"/>
    </w:r>
    <w:r>
      <w:fldChar w:fldCharType="begin"/>
    </w:r>
    <w:r>
      <w:instrText xml:space="preserve"> PAGE   \* MERGEFORMAT </w:instrText>
    </w:r>
    <w:r>
      <w:fldChar w:fldCharType="separate"/>
    </w:r>
    <w:r>
      <w:t>2</w:t>
    </w:r>
    <w:r>
      <w:rPr>
        <w:noProof/>
      </w:rPr>
      <w:fldChar w:fldCharType="end"/>
    </w:r>
    <w:r>
      <w:ptab w:relativeTo="margin" w:alignment="right" w:leader="none"/>
    </w:r>
    <w:r>
      <w:t>Annual Report 2025-26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F153A" w14:textId="77777777" w:rsidR="002326A8" w:rsidRPr="00104FD2" w:rsidRDefault="002326A8" w:rsidP="006E0242">
      <w:pPr>
        <w:pStyle w:val="Footer"/>
      </w:pPr>
      <w:r>
        <w:t>_________________________</w:t>
      </w:r>
    </w:p>
  </w:footnote>
  <w:footnote w:type="continuationSeparator" w:id="0">
    <w:p w14:paraId="233E4FE2" w14:textId="77777777" w:rsidR="002326A8" w:rsidRDefault="002326A8" w:rsidP="006E0242">
      <w:r>
        <w:continuationSeparator/>
      </w:r>
    </w:p>
  </w:footnote>
  <w:footnote w:type="continuationNotice" w:id="1">
    <w:p w14:paraId="02374EEA" w14:textId="77777777" w:rsidR="002326A8" w:rsidRDefault="002326A8" w:rsidP="006E0242"/>
  </w:footnote>
  <w:footnote w:id="2">
    <w:p w14:paraId="783DDD2E" w14:textId="77777777" w:rsidR="00FC337C" w:rsidRPr="00F0119D" w:rsidRDefault="00FC337C" w:rsidP="00FC337C">
      <w:pPr>
        <w:pStyle w:val="FootnoteText"/>
        <w:spacing w:after="140" w:line="280" w:lineRule="atLeast"/>
        <w:rPr>
          <w:rFonts w:ascii="Arial" w:hAnsi="Arial" w:cs="Arial"/>
          <w:sz w:val="18"/>
          <w:szCs w:val="18"/>
        </w:rPr>
      </w:pPr>
      <w:r w:rsidRPr="00F0119D">
        <w:rPr>
          <w:rStyle w:val="FootnoteReference"/>
          <w:rFonts w:ascii="Arial" w:hAnsi="Arial" w:cs="Arial"/>
          <w:sz w:val="18"/>
          <w:szCs w:val="18"/>
        </w:rPr>
        <w:footnoteRef/>
      </w:r>
      <w:r w:rsidRPr="00F0119D">
        <w:rPr>
          <w:rFonts w:ascii="Arial" w:hAnsi="Arial" w:cs="Arial"/>
          <w:sz w:val="18"/>
          <w:szCs w:val="18"/>
        </w:rPr>
        <w:t xml:space="preserve"> Finance Costs include $24.007m ($14.267m in 2024-25) unwinding of discount rate for the long service leave liability estimate (see Note 15 – </w:t>
      </w:r>
      <w:r w:rsidRPr="00F0119D">
        <w:rPr>
          <w:rFonts w:ascii="Arial" w:hAnsi="Arial" w:cs="Arial"/>
          <w:i/>
          <w:iCs/>
          <w:sz w:val="18"/>
          <w:szCs w:val="18"/>
        </w:rPr>
        <w:t>Provision for Long Service Leave Benefits</w:t>
      </w:r>
      <w:r w:rsidRPr="00F0119D">
        <w:rPr>
          <w:rFonts w:ascii="Arial" w:hAnsi="Arial" w:cs="Arial"/>
          <w:sz w:val="18"/>
          <w:szCs w:val="18"/>
        </w:rPr>
        <w:t xml:space="preserve">) and the remaining corresponds to interest expenses incurred for ACT Leave’s leases under AASB 16 </w:t>
      </w:r>
      <w:r w:rsidRPr="00F0119D">
        <w:rPr>
          <w:rFonts w:ascii="Arial" w:hAnsi="Arial" w:cs="Arial"/>
          <w:i/>
          <w:iCs/>
          <w:sz w:val="18"/>
          <w:szCs w:val="18"/>
        </w:rPr>
        <w:t>Leases.</w:t>
      </w:r>
    </w:p>
  </w:footnote>
  <w:footnote w:id="3">
    <w:p w14:paraId="785B1FAC" w14:textId="77777777" w:rsidR="00717BA5" w:rsidRPr="003A6B83" w:rsidRDefault="00717BA5" w:rsidP="00717BA5">
      <w:pPr>
        <w:pStyle w:val="Normal2"/>
        <w:spacing w:line="220" w:lineRule="atLeast"/>
        <w:rPr>
          <w:sz w:val="18"/>
          <w:szCs w:val="18"/>
        </w:rPr>
      </w:pPr>
      <w:r w:rsidRPr="00EC2643">
        <w:rPr>
          <w:sz w:val="18"/>
          <w:szCs w:val="18"/>
          <w:vertAlign w:val="superscript"/>
        </w:rPr>
        <w:footnoteRef/>
      </w:r>
      <w:r w:rsidRPr="00EC2643">
        <w:rPr>
          <w:sz w:val="18"/>
          <w:szCs w:val="18"/>
        </w:rPr>
        <w:t xml:space="preserve"> Community Sector Industry contributions increased compared to 2024-25 due to a higher number of active workers with service recorded in 2025-26 and baseline wage inflation.</w:t>
      </w:r>
    </w:p>
  </w:footnote>
  <w:footnote w:id="4">
    <w:p w14:paraId="5ADB1453" w14:textId="77777777" w:rsidR="00717BA5" w:rsidRPr="00B0475D" w:rsidRDefault="00717BA5" w:rsidP="00717BA5">
      <w:pPr>
        <w:pStyle w:val="FootnoteText"/>
        <w:spacing w:after="60" w:line="220" w:lineRule="atLeast"/>
        <w:rPr>
          <w:rFonts w:ascii="Arial" w:hAnsi="Arial" w:cs="Arial"/>
          <w:sz w:val="18"/>
          <w:szCs w:val="18"/>
        </w:rPr>
      </w:pPr>
      <w:r w:rsidRPr="00B0475D">
        <w:rPr>
          <w:rStyle w:val="FootnoteReference"/>
          <w:rFonts w:ascii="Arial" w:hAnsi="Arial" w:cs="Arial"/>
          <w:sz w:val="18"/>
          <w:szCs w:val="18"/>
        </w:rPr>
        <w:footnoteRef/>
      </w:r>
      <w:r w:rsidRPr="00B0475D">
        <w:rPr>
          <w:rFonts w:ascii="Arial" w:hAnsi="Arial" w:cs="Arial"/>
          <w:sz w:val="18"/>
          <w:szCs w:val="18"/>
        </w:rPr>
        <w:t xml:space="preserve"> ACT Leave achieved an average investment rate of return of 6.8% per annum in 2025-26 compared with 13.7% per annum in 2024-25. This contributed to lower Gains from Investments across all four schemes.</w:t>
      </w:r>
    </w:p>
  </w:footnote>
  <w:footnote w:id="5">
    <w:p w14:paraId="21A7A452" w14:textId="77777777" w:rsidR="00717BA5" w:rsidRPr="00B0475D" w:rsidRDefault="00717BA5" w:rsidP="00717BA5">
      <w:pPr>
        <w:pStyle w:val="FootnoteText"/>
        <w:spacing w:after="60" w:line="220" w:lineRule="atLeast"/>
        <w:rPr>
          <w:rFonts w:ascii="Arial" w:hAnsi="Arial" w:cs="Arial"/>
          <w:sz w:val="18"/>
          <w:szCs w:val="18"/>
        </w:rPr>
      </w:pPr>
      <w:r w:rsidRPr="00B0475D">
        <w:rPr>
          <w:rStyle w:val="FootnoteReference"/>
          <w:rFonts w:ascii="Arial" w:hAnsi="Arial" w:cs="Arial"/>
          <w:sz w:val="18"/>
          <w:szCs w:val="18"/>
        </w:rPr>
        <w:footnoteRef/>
      </w:r>
      <w:r w:rsidRPr="00B0475D">
        <w:rPr>
          <w:rFonts w:ascii="Arial" w:hAnsi="Arial" w:cs="Arial"/>
          <w:sz w:val="18"/>
          <w:szCs w:val="18"/>
        </w:rPr>
        <w:t xml:space="preserve"> Each scheme administered by ACT Leave can choose whether to take quarterly investment distributions in cash or as additional units. In 2025-26, ACT Leave opted to reinvest investment distributions and management fee rebates for additional units. Reinvestment does not result in cash inflows or outflows; therefore, it is not included in the Statement of Cash Flows. This income is reported as a non-cash item in Note 11 </w:t>
      </w:r>
      <w:r w:rsidRPr="00B0475D">
        <w:rPr>
          <w:rFonts w:ascii="Arial" w:hAnsi="Arial" w:cs="Arial"/>
          <w:i/>
          <w:sz w:val="18"/>
          <w:szCs w:val="18"/>
        </w:rPr>
        <w:t>Cash &amp; Investments.</w:t>
      </w:r>
    </w:p>
  </w:footnote>
  <w:footnote w:id="6">
    <w:p w14:paraId="3757B468" w14:textId="77777777" w:rsidR="00717BA5" w:rsidRPr="000956DB" w:rsidRDefault="00717BA5" w:rsidP="00717BA5">
      <w:pPr>
        <w:pStyle w:val="FootnoteText"/>
        <w:spacing w:after="60" w:line="220" w:lineRule="atLeast"/>
        <w:rPr>
          <w:rStyle w:val="FootnoteReference"/>
          <w:highlight w:val="yellow"/>
        </w:rPr>
      </w:pPr>
      <w:r w:rsidRPr="00B0475D">
        <w:rPr>
          <w:rStyle w:val="FootnoteReference"/>
          <w:rFonts w:ascii="Arial" w:hAnsi="Arial" w:cs="Arial"/>
          <w:sz w:val="18"/>
          <w:szCs w:val="18"/>
        </w:rPr>
        <w:footnoteRef/>
      </w:r>
      <w:r w:rsidRPr="00B0475D">
        <w:rPr>
          <w:rFonts w:ascii="Arial" w:hAnsi="Arial" w:cs="Arial"/>
          <w:sz w:val="18"/>
          <w:szCs w:val="18"/>
        </w:rPr>
        <w:t xml:space="preserve"> The increase in the 2025-26 Investment Revenue was mainly due to </w:t>
      </w:r>
      <w:r>
        <w:rPr>
          <w:rFonts w:ascii="Arial" w:hAnsi="Arial" w:cs="Arial"/>
          <w:sz w:val="18"/>
          <w:szCs w:val="18"/>
        </w:rPr>
        <w:t xml:space="preserve">the </w:t>
      </w:r>
      <w:r w:rsidRPr="00B0475D">
        <w:rPr>
          <w:rFonts w:ascii="Arial" w:hAnsi="Arial" w:cs="Arial"/>
          <w:sz w:val="18"/>
          <w:szCs w:val="18"/>
        </w:rPr>
        <w:t xml:space="preserve">higher quarterly investment distributions from ACT Leave’s </w:t>
      </w:r>
      <w:r w:rsidRPr="00B0475D">
        <w:rPr>
          <w:rFonts w:ascii="Arial" w:eastAsia="Times New Roman" w:hAnsi="Arial" w:cs="Arial"/>
          <w:sz w:val="18"/>
          <w:szCs w:val="18"/>
          <w:lang w:eastAsia="en-AU"/>
        </w:rPr>
        <w:t>underlying investment holdings of international fixed interest securities</w:t>
      </w:r>
      <w:r w:rsidRPr="00B0475D">
        <w:rPr>
          <w:rFonts w:ascii="Arial" w:hAnsi="Arial" w:cs="Arial"/>
          <w:sz w:val="18"/>
          <w:szCs w:val="18"/>
        </w:rPr>
        <w:t xml:space="preserve">. </w:t>
      </w:r>
      <w:r>
        <w:rPr>
          <w:rFonts w:ascii="Arial" w:hAnsi="Arial" w:cs="Arial"/>
          <w:sz w:val="18"/>
          <w:szCs w:val="18"/>
        </w:rPr>
        <w:t xml:space="preserve">The </w:t>
      </w:r>
      <w:r>
        <w:rPr>
          <w:rFonts w:ascii="Arial" w:eastAsia="Times New Roman" w:hAnsi="Arial" w:cs="Arial"/>
          <w:sz w:val="18"/>
          <w:szCs w:val="18"/>
          <w:lang w:eastAsia="en-AU"/>
        </w:rPr>
        <w:t>s</w:t>
      </w:r>
      <w:r w:rsidRPr="00B0475D">
        <w:rPr>
          <w:rFonts w:ascii="Arial" w:eastAsia="Times New Roman" w:hAnsi="Arial" w:cs="Arial"/>
          <w:sz w:val="18"/>
          <w:szCs w:val="18"/>
          <w:lang w:eastAsia="en-AU"/>
        </w:rPr>
        <w:t>trengthening of Australian dollar against major currencies led to hedging gains, which</w:t>
      </w:r>
      <w:r w:rsidRPr="00B0475D">
        <w:rPr>
          <w:rStyle w:val="FootnoteReference"/>
          <w:rFonts w:ascii="Arial" w:hAnsi="Arial" w:cs="Arial"/>
        </w:rPr>
        <w:t xml:space="preserve"> </w:t>
      </w:r>
      <w:r w:rsidRPr="00B0475D">
        <w:rPr>
          <w:rFonts w:ascii="Arial" w:hAnsi="Arial" w:cs="Arial"/>
          <w:sz w:val="18"/>
          <w:szCs w:val="18"/>
        </w:rPr>
        <w:t>supported higher distributions.</w:t>
      </w:r>
    </w:p>
  </w:footnote>
  <w:footnote w:id="7">
    <w:p w14:paraId="3AB0D2B9" w14:textId="77777777" w:rsidR="00717BA5" w:rsidRPr="005A70D9" w:rsidRDefault="00717BA5" w:rsidP="00717BA5">
      <w:pPr>
        <w:pStyle w:val="FootnoteText"/>
        <w:spacing w:after="60" w:line="220" w:lineRule="atLeast"/>
        <w:jc w:val="both"/>
        <w:rPr>
          <w:rFonts w:ascii="Arial" w:hAnsi="Arial" w:cs="Arial"/>
          <w:sz w:val="18"/>
          <w:szCs w:val="18"/>
        </w:rPr>
      </w:pPr>
      <w:r w:rsidRPr="005A70D9">
        <w:rPr>
          <w:rStyle w:val="FootnoteReference"/>
          <w:rFonts w:ascii="Arial" w:hAnsi="Arial" w:cs="Arial"/>
          <w:sz w:val="18"/>
          <w:szCs w:val="18"/>
        </w:rPr>
        <w:footnoteRef/>
      </w:r>
      <w:r w:rsidRPr="005A70D9">
        <w:rPr>
          <w:rFonts w:ascii="Arial" w:hAnsi="Arial" w:cs="Arial"/>
          <w:sz w:val="18"/>
          <w:szCs w:val="18"/>
        </w:rPr>
        <w:t xml:space="preserve"> Higher employee expenses in 2025-26 are consistent with an increase in the number of Full-Time Equivalent Employees in preparation for the expansion of portable long service leave schemes to additional industries and to meet the management requirements of a larger workforce. Overall, in 2025-26 ACT Leave’s staffing level increased by 5.6 Full-Time Equivalent Employees (4.7 in 2024-25).</w:t>
      </w:r>
    </w:p>
  </w:footnote>
  <w:footnote w:id="8">
    <w:p w14:paraId="2C90CDFD" w14:textId="77777777" w:rsidR="00717BA5" w:rsidRPr="00DC219F" w:rsidRDefault="00717BA5" w:rsidP="00717BA5">
      <w:pPr>
        <w:pStyle w:val="FootnoteText"/>
        <w:rPr>
          <w:rFonts w:ascii="Arial" w:hAnsi="Arial" w:cs="Arial"/>
          <w:sz w:val="18"/>
          <w:szCs w:val="18"/>
        </w:rPr>
      </w:pPr>
      <w:r w:rsidRPr="00DC219F">
        <w:rPr>
          <w:rStyle w:val="FootnoteReference"/>
          <w:rFonts w:ascii="Arial" w:hAnsi="Arial" w:cs="Arial"/>
          <w:sz w:val="18"/>
          <w:szCs w:val="18"/>
        </w:rPr>
        <w:footnoteRef/>
      </w:r>
      <w:r w:rsidRPr="00DC219F">
        <w:rPr>
          <w:rFonts w:ascii="Arial" w:hAnsi="Arial" w:cs="Arial"/>
          <w:sz w:val="18"/>
          <w:szCs w:val="18"/>
        </w:rPr>
        <w:t xml:space="preserve"> ACT Leave entered into an agreement for the provision of a new system used for the administration of portable long service leave schemes which went live in December 2024.  No costs were incurred for this project in 2025-26.</w:t>
      </w:r>
    </w:p>
  </w:footnote>
  <w:footnote w:id="9">
    <w:p w14:paraId="4A3B2107" w14:textId="77777777" w:rsidR="00717BA5" w:rsidRDefault="00717BA5" w:rsidP="00717BA5">
      <w:pPr>
        <w:pStyle w:val="FootnoteText"/>
      </w:pPr>
      <w:r w:rsidRPr="00DC219F">
        <w:rPr>
          <w:rStyle w:val="FootnoteReference"/>
          <w:rFonts w:ascii="Arial" w:hAnsi="Arial" w:cs="Arial"/>
          <w:sz w:val="18"/>
          <w:szCs w:val="18"/>
        </w:rPr>
        <w:footnoteRef/>
      </w:r>
      <w:r w:rsidRPr="00DC219F">
        <w:rPr>
          <w:rFonts w:ascii="Arial" w:hAnsi="Arial" w:cs="Arial"/>
          <w:sz w:val="18"/>
          <w:szCs w:val="18"/>
        </w:rPr>
        <w:t xml:space="preserve"> In December 2025, ACT Leave commenced a project with Digital Canberra to migrate ACT Leave’s systems and data to the ACT Government’s Network. The migration to the ACT Government network was completed in March 2026.</w:t>
      </w:r>
    </w:p>
  </w:footnote>
  <w:footnote w:id="10">
    <w:p w14:paraId="596ED345" w14:textId="77777777" w:rsidR="00717BA5" w:rsidRPr="00DB47E1" w:rsidRDefault="00717BA5" w:rsidP="00717BA5">
      <w:pPr>
        <w:pStyle w:val="FootnoteText"/>
        <w:spacing w:after="60" w:line="220" w:lineRule="atLeast"/>
        <w:jc w:val="both"/>
        <w:rPr>
          <w:rFonts w:ascii="Arial" w:hAnsi="Arial" w:cs="Arial"/>
          <w:sz w:val="18"/>
          <w:szCs w:val="18"/>
        </w:rPr>
      </w:pPr>
      <w:r w:rsidRPr="00DB47E1">
        <w:rPr>
          <w:rStyle w:val="FootnoteReference"/>
          <w:rFonts w:ascii="Arial" w:hAnsi="Arial" w:cs="Arial"/>
          <w:sz w:val="18"/>
          <w:szCs w:val="18"/>
        </w:rPr>
        <w:footnoteRef/>
      </w:r>
      <w:r w:rsidRPr="00DB47E1">
        <w:rPr>
          <w:rFonts w:ascii="Arial" w:hAnsi="Arial" w:cs="Arial"/>
          <w:sz w:val="18"/>
          <w:szCs w:val="18"/>
        </w:rPr>
        <w:t xml:space="preserve"> Expected Credit Loss Expense increased in 2025-26 due to an increasing number of Building and Construction Industry employers being placed into administration or liquidation in recent years, resulting in debts that could not be recovered.</w:t>
      </w:r>
    </w:p>
  </w:footnote>
  <w:footnote w:id="11">
    <w:p w14:paraId="0BABF415" w14:textId="77777777" w:rsidR="00717BA5" w:rsidRPr="00DC219F" w:rsidRDefault="00717BA5" w:rsidP="00717BA5">
      <w:pPr>
        <w:pStyle w:val="FootnoteText"/>
        <w:rPr>
          <w:rFonts w:ascii="Arial" w:hAnsi="Arial" w:cs="Arial"/>
          <w:sz w:val="18"/>
          <w:szCs w:val="18"/>
        </w:rPr>
      </w:pPr>
      <w:r w:rsidRPr="00DC219F">
        <w:rPr>
          <w:rStyle w:val="FootnoteReference"/>
          <w:rFonts w:ascii="Arial" w:hAnsi="Arial" w:cs="Arial"/>
          <w:sz w:val="18"/>
          <w:szCs w:val="18"/>
        </w:rPr>
        <w:footnoteRef/>
      </w:r>
      <w:r w:rsidRPr="00DC219F">
        <w:rPr>
          <w:rFonts w:ascii="Arial" w:hAnsi="Arial" w:cs="Arial"/>
          <w:sz w:val="18"/>
          <w:szCs w:val="18"/>
        </w:rPr>
        <w:t xml:space="preserve"> Impairment of Property, Plant and Equipment increased in 2025-26 due to the disposal of IT equipment that became obsolete at the time ACT Leave migrated to the ACT Government network in March 2026.</w:t>
      </w:r>
    </w:p>
  </w:footnote>
  <w:footnote w:id="12">
    <w:p w14:paraId="5EBF8053" w14:textId="77777777" w:rsidR="00717BA5" w:rsidRPr="0093031D" w:rsidRDefault="00717BA5" w:rsidP="00717BA5">
      <w:pPr>
        <w:pStyle w:val="FootnoteText"/>
        <w:spacing w:after="60" w:line="220" w:lineRule="atLeast"/>
        <w:rPr>
          <w:rFonts w:ascii="Arial" w:hAnsi="Arial" w:cs="Arial"/>
        </w:rPr>
      </w:pPr>
      <w:r w:rsidRPr="0093031D">
        <w:rPr>
          <w:rStyle w:val="FootnoteReference"/>
          <w:rFonts w:ascii="Arial" w:hAnsi="Arial" w:cs="Arial"/>
        </w:rPr>
        <w:footnoteRef/>
      </w:r>
      <w:r w:rsidRPr="0093031D">
        <w:rPr>
          <w:rFonts w:ascii="Arial" w:hAnsi="Arial" w:cs="Arial"/>
          <w:sz w:val="18"/>
          <w:szCs w:val="18"/>
        </w:rPr>
        <w:t xml:space="preserve"> Higher Cash balances at 30 June 2026 were required to pay higher long service leave claims owing to registered scheme participants.</w:t>
      </w:r>
    </w:p>
  </w:footnote>
  <w:footnote w:id="13">
    <w:p w14:paraId="73AAE0EB" w14:textId="77777777" w:rsidR="00717BA5" w:rsidRPr="00AC2CC6" w:rsidRDefault="00717BA5" w:rsidP="00717BA5">
      <w:pPr>
        <w:pStyle w:val="FootnoteText"/>
        <w:spacing w:after="60" w:line="220" w:lineRule="atLeast"/>
        <w:jc w:val="both"/>
        <w:rPr>
          <w:sz w:val="18"/>
          <w:szCs w:val="18"/>
        </w:rPr>
      </w:pPr>
      <w:r w:rsidRPr="0093031D">
        <w:rPr>
          <w:rStyle w:val="FootnoteReference"/>
          <w:rFonts w:ascii="Arial" w:hAnsi="Arial" w:cs="Arial"/>
          <w:sz w:val="18"/>
          <w:szCs w:val="18"/>
        </w:rPr>
        <w:footnoteRef/>
      </w:r>
      <w:r w:rsidRPr="0093031D">
        <w:rPr>
          <w:rFonts w:ascii="Arial" w:hAnsi="Arial" w:cs="Arial"/>
        </w:rPr>
        <w:t xml:space="preserve"> </w:t>
      </w:r>
      <w:r w:rsidRPr="0093031D">
        <w:rPr>
          <w:rFonts w:ascii="Arial" w:hAnsi="Arial" w:cs="Arial"/>
          <w:sz w:val="18"/>
          <w:szCs w:val="18"/>
        </w:rPr>
        <w:t>The Investments balance increased from 2024-25 due to a positive return on investments and new investments purchased during the year, including reinvestment of distributions and management fee rebates.</w:t>
      </w:r>
    </w:p>
  </w:footnote>
  <w:footnote w:id="14">
    <w:p w14:paraId="7D837F5E" w14:textId="77777777" w:rsidR="00717BA5" w:rsidRPr="004A66AB" w:rsidRDefault="00717BA5" w:rsidP="00717BA5">
      <w:pPr>
        <w:pStyle w:val="FootnoteText"/>
        <w:spacing w:after="60" w:line="220" w:lineRule="atLeast"/>
        <w:jc w:val="both"/>
        <w:rPr>
          <w:rFonts w:ascii="Arial" w:hAnsi="Arial" w:cs="Arial"/>
          <w:sz w:val="18"/>
          <w:szCs w:val="18"/>
        </w:rPr>
      </w:pPr>
      <w:r w:rsidRPr="004A66AB">
        <w:rPr>
          <w:rStyle w:val="FootnoteReference"/>
          <w:rFonts w:ascii="Arial" w:hAnsi="Arial" w:cs="Arial"/>
          <w:sz w:val="18"/>
          <w:szCs w:val="18"/>
        </w:rPr>
        <w:footnoteRef/>
      </w:r>
      <w:r w:rsidRPr="004A66AB">
        <w:rPr>
          <w:rFonts w:ascii="Arial" w:hAnsi="Arial" w:cs="Arial"/>
        </w:rPr>
        <w:t xml:space="preserve"> </w:t>
      </w:r>
      <w:r w:rsidRPr="004A66AB">
        <w:rPr>
          <w:rFonts w:ascii="Arial" w:hAnsi="Arial" w:cs="Arial"/>
          <w:sz w:val="18"/>
          <w:szCs w:val="18"/>
        </w:rPr>
        <w:t>Increase in Accrued Industry Contributions is in line with higher Contributions from Employers and Contractors in 2025-26.</w:t>
      </w:r>
    </w:p>
  </w:footnote>
  <w:footnote w:id="15">
    <w:p w14:paraId="38BA3DD9" w14:textId="77777777" w:rsidR="00717BA5" w:rsidRPr="00FF3E75" w:rsidRDefault="00717BA5" w:rsidP="00717BA5">
      <w:pPr>
        <w:pStyle w:val="FootnoteText"/>
        <w:spacing w:after="60" w:line="220" w:lineRule="atLeast"/>
        <w:jc w:val="both"/>
        <w:rPr>
          <w:sz w:val="18"/>
          <w:szCs w:val="18"/>
        </w:rPr>
      </w:pPr>
      <w:r w:rsidRPr="004A66AB">
        <w:rPr>
          <w:rStyle w:val="FootnoteReference"/>
          <w:rFonts w:ascii="Arial" w:hAnsi="Arial" w:cs="Arial"/>
          <w:sz w:val="18"/>
          <w:szCs w:val="18"/>
        </w:rPr>
        <w:footnoteRef/>
      </w:r>
      <w:r w:rsidRPr="004A66AB">
        <w:rPr>
          <w:rFonts w:ascii="Arial" w:hAnsi="Arial" w:cs="Arial"/>
          <w:sz w:val="18"/>
          <w:szCs w:val="18"/>
        </w:rPr>
        <w:t xml:space="preserve"> Increase in Accrued Investment Income is consistent with higher Investment Distributions for the fourth quarter of 2025-26 compared to 2024-25.</w:t>
      </w:r>
    </w:p>
  </w:footnote>
  <w:footnote w:id="16">
    <w:p w14:paraId="5BE37BAE" w14:textId="77777777" w:rsidR="00717BA5" w:rsidRPr="00754AAF" w:rsidRDefault="00717BA5" w:rsidP="00717BA5">
      <w:pPr>
        <w:pStyle w:val="FootnoteText"/>
        <w:rPr>
          <w:rFonts w:ascii="Arial" w:hAnsi="Arial" w:cs="Arial"/>
          <w:sz w:val="18"/>
          <w:szCs w:val="18"/>
        </w:rPr>
      </w:pPr>
      <w:r w:rsidRPr="00754AAF">
        <w:rPr>
          <w:rStyle w:val="FootnoteReference"/>
          <w:rFonts w:ascii="Arial" w:hAnsi="Arial" w:cs="Arial"/>
          <w:sz w:val="18"/>
          <w:szCs w:val="18"/>
        </w:rPr>
        <w:footnoteRef/>
      </w:r>
      <w:r w:rsidRPr="00754AAF">
        <w:rPr>
          <w:rFonts w:ascii="Arial" w:hAnsi="Arial" w:cs="Arial"/>
          <w:sz w:val="18"/>
          <w:szCs w:val="18"/>
        </w:rPr>
        <w:t xml:space="preserve"> Intangible Assets include software and ACT Leave’s website.</w:t>
      </w:r>
    </w:p>
  </w:footnote>
  <w:footnote w:id="17">
    <w:p w14:paraId="410CB7D9" w14:textId="77777777" w:rsidR="00717BA5" w:rsidRPr="0067736E" w:rsidRDefault="00717BA5" w:rsidP="00717BA5">
      <w:pPr>
        <w:pStyle w:val="FootnoteText"/>
        <w:spacing w:after="60" w:line="220" w:lineRule="atLeast"/>
        <w:rPr>
          <w:rFonts w:ascii="Arial" w:hAnsi="Arial" w:cs="Arial"/>
          <w:highlight w:val="yellow"/>
        </w:rPr>
      </w:pPr>
      <w:r w:rsidRPr="0067736E">
        <w:rPr>
          <w:rStyle w:val="FootnoteReference"/>
          <w:rFonts w:ascii="Arial" w:hAnsi="Arial" w:cs="Arial"/>
        </w:rPr>
        <w:footnoteRef/>
      </w:r>
      <w:r w:rsidRPr="0067736E">
        <w:rPr>
          <w:rFonts w:ascii="Arial" w:hAnsi="Arial" w:cs="Arial"/>
        </w:rPr>
        <w:t xml:space="preserve"> </w:t>
      </w:r>
      <w:r w:rsidRPr="0067736E">
        <w:rPr>
          <w:rFonts w:ascii="Arial" w:hAnsi="Arial" w:cs="Arial"/>
          <w:sz w:val="18"/>
          <w:szCs w:val="18"/>
        </w:rPr>
        <w:t xml:space="preserve">Long Service Leave Claims Owing to Registered Scheme Participants were higher in 2026 due to higher number of claims received but not paid than in 2025. On 30 June 2026 there were 329 claims received and not paid compared to 249 claims on 30 June 2025. </w:t>
      </w:r>
    </w:p>
  </w:footnote>
  <w:footnote w:id="18">
    <w:p w14:paraId="1FF5E06B" w14:textId="77777777" w:rsidR="00717BA5" w:rsidRPr="004251B5" w:rsidRDefault="00717BA5" w:rsidP="00717BA5">
      <w:pPr>
        <w:pStyle w:val="FootnoteText"/>
        <w:spacing w:after="60" w:line="220" w:lineRule="atLeast"/>
        <w:jc w:val="both"/>
        <w:rPr>
          <w:rFonts w:ascii="Arial" w:hAnsi="Arial" w:cs="Arial"/>
          <w:color w:val="FF0000"/>
          <w:sz w:val="18"/>
          <w:szCs w:val="18"/>
          <w:lang w:val="en-US"/>
        </w:rPr>
      </w:pPr>
      <w:r w:rsidRPr="004251B5">
        <w:rPr>
          <w:rStyle w:val="FootnoteReference"/>
          <w:rFonts w:ascii="Arial" w:hAnsi="Arial" w:cs="Arial"/>
          <w:sz w:val="18"/>
          <w:szCs w:val="18"/>
        </w:rPr>
        <w:footnoteRef/>
      </w:r>
      <w:r w:rsidRPr="004251B5">
        <w:rPr>
          <w:rStyle w:val="FootnoteReference"/>
          <w:rFonts w:ascii="Arial" w:hAnsi="Arial" w:cs="Arial"/>
        </w:rPr>
        <w:t xml:space="preserve"> </w:t>
      </w:r>
      <w:r w:rsidRPr="004251B5">
        <w:rPr>
          <w:rFonts w:ascii="Arial" w:hAnsi="Arial" w:cs="Arial"/>
          <w:spacing w:val="-1"/>
          <w:sz w:val="18"/>
          <w:szCs w:val="18"/>
          <w:lang w:val="en-US"/>
        </w:rPr>
        <w:t xml:space="preserve">As a discount rate is applied to a future cash payment to arrive at a present value at the reporting date, it is a requirement to unwind the discount rate applied for each successive year until ACT Leave eventually arrives at the date of payment. </w:t>
      </w:r>
    </w:p>
  </w:footnote>
  <w:footnote w:id="19">
    <w:p w14:paraId="36AF2185" w14:textId="77777777" w:rsidR="00717BA5" w:rsidRPr="004251B5" w:rsidRDefault="00717BA5" w:rsidP="00717BA5">
      <w:pPr>
        <w:pStyle w:val="FootnoteText"/>
        <w:spacing w:after="60" w:line="220" w:lineRule="atLeast"/>
        <w:jc w:val="both"/>
        <w:rPr>
          <w:rFonts w:ascii="Arial" w:hAnsi="Arial" w:cs="Arial"/>
          <w:sz w:val="18"/>
          <w:szCs w:val="18"/>
        </w:rPr>
      </w:pPr>
      <w:r w:rsidRPr="004251B5">
        <w:rPr>
          <w:rStyle w:val="FootnoteReference"/>
          <w:rFonts w:ascii="Arial" w:hAnsi="Arial" w:cs="Arial"/>
          <w:sz w:val="18"/>
          <w:szCs w:val="18"/>
        </w:rPr>
        <w:footnoteRef/>
      </w:r>
      <w:r w:rsidRPr="004251B5">
        <w:rPr>
          <w:rFonts w:ascii="Arial" w:hAnsi="Arial" w:cs="Arial"/>
          <w:sz w:val="18"/>
          <w:szCs w:val="18"/>
        </w:rPr>
        <w:t xml:space="preserve"> The change in the provision due to unwinding of the discount rate and change in discount rate ($24.0</w:t>
      </w:r>
      <w:r>
        <w:rPr>
          <w:rFonts w:ascii="Arial" w:hAnsi="Arial" w:cs="Arial"/>
          <w:sz w:val="18"/>
          <w:szCs w:val="18"/>
        </w:rPr>
        <w:t>07</w:t>
      </w:r>
      <w:r w:rsidRPr="004251B5">
        <w:rPr>
          <w:rFonts w:ascii="Arial" w:hAnsi="Arial" w:cs="Arial"/>
          <w:sz w:val="18"/>
          <w:szCs w:val="18"/>
        </w:rPr>
        <w:t>m in total) is classified as a Finance Cost in the Operating Statement, while other movements ($38.768m in total) are classified as a long service leave benefit expense. The discount rate was reduced from 6.0% to 5.6% in the 2025-26 financial year following the review of the expected long-term return on investments, which contributed to higher Finance Cost in 2025-26.</w:t>
      </w:r>
    </w:p>
    <w:p w14:paraId="77A5AB14" w14:textId="77777777" w:rsidR="00717BA5" w:rsidRPr="00B76836" w:rsidRDefault="00717BA5" w:rsidP="00717BA5">
      <w:pPr>
        <w:pStyle w:val="FootnoteText"/>
        <w:jc w:val="both"/>
        <w:rPr>
          <w:sz w:val="18"/>
          <w:szCs w:val="18"/>
        </w:rPr>
      </w:pPr>
    </w:p>
  </w:footnote>
  <w:footnote w:id="20">
    <w:p w14:paraId="29A10E36" w14:textId="77777777" w:rsidR="00717BA5" w:rsidRPr="004B2DEF" w:rsidRDefault="00717BA5" w:rsidP="00717BA5">
      <w:pPr>
        <w:pStyle w:val="FootnoteText"/>
        <w:rPr>
          <w:rFonts w:ascii="Arial" w:hAnsi="Arial" w:cs="Arial"/>
        </w:rPr>
      </w:pPr>
      <w:r w:rsidRPr="004B2DEF">
        <w:rPr>
          <w:rStyle w:val="FootnoteReference"/>
          <w:rFonts w:ascii="Arial" w:hAnsi="Arial" w:cs="Arial"/>
          <w:sz w:val="18"/>
          <w:szCs w:val="18"/>
        </w:rPr>
        <w:footnoteRef/>
      </w:r>
      <w:r w:rsidRPr="004B2DEF">
        <w:rPr>
          <w:rFonts w:ascii="Arial" w:hAnsi="Arial" w:cs="Arial"/>
          <w:sz w:val="18"/>
          <w:szCs w:val="18"/>
        </w:rPr>
        <w:t xml:space="preserve"> Higher Employee Benefits are consistent with increase in FTE staff at 30 June 2026 compared to 30 June 2025.</w:t>
      </w:r>
    </w:p>
  </w:footnote>
  <w:footnote w:id="21">
    <w:p w14:paraId="22AAEF7B" w14:textId="77777777" w:rsidR="00717BA5" w:rsidRPr="00E03875" w:rsidRDefault="00717BA5" w:rsidP="00717BA5">
      <w:pPr>
        <w:pStyle w:val="FootnoteText"/>
        <w:spacing w:after="60" w:line="220" w:lineRule="atLeast"/>
        <w:rPr>
          <w:rFonts w:ascii="Arial" w:hAnsi="Arial" w:cs="Arial"/>
          <w:sz w:val="18"/>
          <w:szCs w:val="18"/>
        </w:rPr>
      </w:pPr>
      <w:r w:rsidRPr="00E03875">
        <w:rPr>
          <w:rStyle w:val="FootnoteReference"/>
          <w:rFonts w:ascii="Arial" w:hAnsi="Arial" w:cs="Arial"/>
          <w:sz w:val="18"/>
          <w:szCs w:val="18"/>
        </w:rPr>
        <w:footnoteRef/>
      </w:r>
      <w:r w:rsidRPr="00E03875">
        <w:rPr>
          <w:rFonts w:ascii="Arial" w:hAnsi="Arial" w:cs="Arial"/>
          <w:sz w:val="18"/>
          <w:szCs w:val="18"/>
        </w:rPr>
        <w:t xml:space="preserve"> Payables do not include </w:t>
      </w:r>
      <w:r w:rsidRPr="00E03875">
        <w:rPr>
          <w:rFonts w:ascii="Arial" w:eastAsia="Times New Roman" w:hAnsi="Arial" w:cs="Arial"/>
          <w:sz w:val="18"/>
          <w:szCs w:val="18"/>
          <w:lang w:eastAsia="en-AU"/>
        </w:rPr>
        <w:t>Long Service Leave Claims Owing to Registered Scheme Participants and PAYG withholding tax owing to the Australian Taxation Office as these have their source in legislation and therefore are not contractual obligations.</w:t>
      </w:r>
    </w:p>
  </w:footnote>
  <w:footnote w:id="22">
    <w:p w14:paraId="12B20E90" w14:textId="77777777" w:rsidR="00717BA5" w:rsidRPr="004734D9" w:rsidRDefault="00717BA5" w:rsidP="00717BA5">
      <w:pPr>
        <w:pStyle w:val="FootnoteText"/>
        <w:spacing w:after="60"/>
        <w:jc w:val="both"/>
        <w:rPr>
          <w:rFonts w:ascii="Arial" w:hAnsi="Arial" w:cs="Arial"/>
          <w:sz w:val="18"/>
          <w:szCs w:val="18"/>
        </w:rPr>
      </w:pPr>
      <w:r w:rsidRPr="004734D9">
        <w:rPr>
          <w:rStyle w:val="FootnoteReference"/>
          <w:rFonts w:ascii="Arial" w:hAnsi="Arial" w:cs="Arial"/>
          <w:sz w:val="18"/>
          <w:szCs w:val="18"/>
        </w:rPr>
        <w:footnoteRef/>
      </w:r>
      <w:r w:rsidRPr="004734D9">
        <w:rPr>
          <w:rFonts w:ascii="Arial" w:hAnsi="Arial" w:cs="Arial"/>
        </w:rPr>
        <w:t xml:space="preserve"> </w:t>
      </w:r>
      <w:r w:rsidRPr="004734D9">
        <w:rPr>
          <w:rFonts w:ascii="Arial" w:hAnsi="Arial" w:cs="Arial"/>
          <w:sz w:val="18"/>
          <w:szCs w:val="18"/>
        </w:rPr>
        <w:t>Commitments increased compared to 2024-25 mainly due to entering into an agreement with Digital Canberra for supply of ICT services and equipment following the migration to the ACT Government network.</w:t>
      </w:r>
    </w:p>
  </w:footnote>
  <w:footnote w:id="23">
    <w:p w14:paraId="53E56BB9" w14:textId="77777777" w:rsidR="00717BA5" w:rsidRPr="002C71D0" w:rsidRDefault="00717BA5" w:rsidP="00717BA5">
      <w:pPr>
        <w:pStyle w:val="FootnoteText"/>
        <w:spacing w:after="60" w:line="220" w:lineRule="atLeast"/>
        <w:jc w:val="both"/>
        <w:rPr>
          <w:rFonts w:ascii="Arial" w:hAnsi="Arial" w:cs="Arial"/>
        </w:rPr>
      </w:pPr>
      <w:r w:rsidRPr="002C71D0">
        <w:rPr>
          <w:rStyle w:val="FootnoteReference"/>
          <w:rFonts w:ascii="Arial" w:hAnsi="Arial" w:cs="Arial"/>
          <w:sz w:val="18"/>
          <w:szCs w:val="18"/>
        </w:rPr>
        <w:footnoteRef/>
      </w:r>
      <w:r w:rsidRPr="002C71D0">
        <w:rPr>
          <w:rFonts w:ascii="Arial" w:hAnsi="Arial" w:cs="Arial"/>
          <w:sz w:val="18"/>
          <w:szCs w:val="18"/>
        </w:rPr>
        <w:t xml:space="preserve"> Original Budget refers to the amounts presented to the Legislative Assembly in the original budgeted financial statements in respect of the reporting period (2025-26 Statement of Intent).</w:t>
      </w:r>
    </w:p>
  </w:footnote>
  <w:footnote w:id="24">
    <w:p w14:paraId="23628801" w14:textId="77777777" w:rsidR="00717BA5" w:rsidRPr="00F23B3C" w:rsidRDefault="00717BA5" w:rsidP="00717BA5">
      <w:pPr>
        <w:pStyle w:val="FootnoteText"/>
        <w:spacing w:after="60" w:line="220" w:lineRule="atLeast"/>
        <w:jc w:val="both"/>
        <w:rPr>
          <w:rFonts w:ascii="Arial" w:hAnsi="Arial" w:cs="Arial"/>
        </w:rPr>
      </w:pPr>
      <w:r w:rsidRPr="00F23B3C">
        <w:rPr>
          <w:rStyle w:val="FootnoteReference"/>
          <w:rFonts w:ascii="Arial" w:hAnsi="Arial" w:cs="Arial"/>
          <w:sz w:val="18"/>
          <w:szCs w:val="18"/>
        </w:rPr>
        <w:footnoteRef/>
      </w:r>
      <w:r w:rsidRPr="00F23B3C">
        <w:rPr>
          <w:rFonts w:ascii="Arial" w:hAnsi="Arial" w:cs="Arial"/>
          <w:sz w:val="18"/>
          <w:szCs w:val="18"/>
        </w:rPr>
        <w:t xml:space="preserve"> Original Budget refers to the amounts presented to the Legislative Assembly in the original budgeted financial statements in respect of the reporting period (2025-26 Statement of Intent).</w:t>
      </w:r>
    </w:p>
  </w:footnote>
  <w:footnote w:id="25">
    <w:p w14:paraId="23EBF12D" w14:textId="77777777" w:rsidR="00021A9B" w:rsidRPr="00FB3FA1" w:rsidRDefault="00021A9B" w:rsidP="00021A9B">
      <w:pPr>
        <w:pStyle w:val="FootnoteText"/>
        <w:rPr>
          <w:rFonts w:cs="Arial"/>
          <w:sz w:val="18"/>
          <w:szCs w:val="18"/>
        </w:rPr>
      </w:pPr>
      <w:r w:rsidRPr="00FB3FA1">
        <w:rPr>
          <w:rStyle w:val="FootnoteReference"/>
          <w:rFonts w:cs="Arial"/>
          <w:sz w:val="18"/>
          <w:szCs w:val="18"/>
        </w:rPr>
        <w:footnoteRef/>
      </w:r>
      <w:r w:rsidRPr="00FB3FA1">
        <w:rPr>
          <w:rFonts w:cs="Arial"/>
          <w:sz w:val="18"/>
          <w:szCs w:val="18"/>
        </w:rPr>
        <w:t xml:space="preserve"> The measure of AWOTE used is Australian Average Weekly Ordinary Time Earnings published by </w:t>
      </w:r>
      <w:r>
        <w:rPr>
          <w:rFonts w:cs="Arial"/>
          <w:sz w:val="18"/>
          <w:szCs w:val="18"/>
        </w:rPr>
        <w:t xml:space="preserve">the </w:t>
      </w:r>
      <w:r w:rsidRPr="00FB3FA1">
        <w:rPr>
          <w:rFonts w:cs="Arial"/>
          <w:sz w:val="18"/>
          <w:szCs w:val="18"/>
        </w:rPr>
        <w:t>Australian Bureau of Statistics averaged over five years for each scheme.</w:t>
      </w:r>
    </w:p>
  </w:footnote>
  <w:footnote w:id="26">
    <w:p w14:paraId="2D902078" w14:textId="77777777" w:rsidR="00021A9B" w:rsidRDefault="00021A9B" w:rsidP="00021A9B">
      <w:pPr>
        <w:pStyle w:val="FootnoteText"/>
      </w:pPr>
      <w:r w:rsidRPr="00FB3FA1">
        <w:rPr>
          <w:rStyle w:val="FootnoteReference"/>
          <w:rFonts w:cs="Arial"/>
          <w:sz w:val="18"/>
          <w:szCs w:val="18"/>
        </w:rPr>
        <w:footnoteRef/>
      </w:r>
      <w:r w:rsidRPr="00FB3FA1">
        <w:rPr>
          <w:rFonts w:cs="Arial"/>
          <w:sz w:val="18"/>
          <w:szCs w:val="18"/>
        </w:rPr>
        <w:t xml:space="preserve"> </w:t>
      </w:r>
      <w:r>
        <w:rPr>
          <w:rFonts w:cs="Arial"/>
          <w:sz w:val="18"/>
          <w:szCs w:val="18"/>
        </w:rPr>
        <w:t>An e</w:t>
      </w:r>
      <w:r w:rsidRPr="00FB3FA1">
        <w:rPr>
          <w:rFonts w:cs="Arial"/>
          <w:sz w:val="18"/>
          <w:szCs w:val="18"/>
        </w:rPr>
        <w:t>mployer</w:t>
      </w:r>
      <w:r>
        <w:rPr>
          <w:rFonts w:cs="Arial"/>
          <w:sz w:val="18"/>
          <w:szCs w:val="18"/>
        </w:rPr>
        <w:t>’</w:t>
      </w:r>
      <w:r w:rsidRPr="00FB3FA1">
        <w:rPr>
          <w:rFonts w:cs="Arial"/>
          <w:sz w:val="18"/>
          <w:szCs w:val="18"/>
        </w:rPr>
        <w:t xml:space="preserve">s registration </w:t>
      </w:r>
      <w:r>
        <w:rPr>
          <w:rFonts w:cs="Arial"/>
          <w:sz w:val="18"/>
          <w:szCs w:val="18"/>
        </w:rPr>
        <w:t>may have been</w:t>
      </w:r>
      <w:r w:rsidRPr="00FB3FA1">
        <w:rPr>
          <w:rFonts w:cs="Arial"/>
          <w:sz w:val="18"/>
          <w:szCs w:val="18"/>
        </w:rPr>
        <w:t xml:space="preserve"> stopped temporarily due to having no employees and re-registered again when operations resume with eligible employees.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DF86" w14:textId="77777777" w:rsidR="00FC0A57" w:rsidRDefault="00FC0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85"/>
      <w:gridCol w:w="3385"/>
      <w:gridCol w:w="3385"/>
    </w:tblGrid>
    <w:tr w:rsidR="00057430" w14:paraId="3A2A5B9E" w14:textId="77777777" w:rsidTr="007D04DA">
      <w:trPr>
        <w:trHeight w:val="300"/>
      </w:trPr>
      <w:tc>
        <w:tcPr>
          <w:tcW w:w="3385" w:type="dxa"/>
        </w:tcPr>
        <w:p w14:paraId="53554331" w14:textId="4D2C83A0" w:rsidR="00057430" w:rsidRDefault="00057430" w:rsidP="006E0242">
          <w:pPr>
            <w:pStyle w:val="Header"/>
          </w:pPr>
        </w:p>
      </w:tc>
      <w:tc>
        <w:tcPr>
          <w:tcW w:w="3385" w:type="dxa"/>
        </w:tcPr>
        <w:p w14:paraId="08FF9A7A" w14:textId="77777777" w:rsidR="00057430" w:rsidRDefault="00057430" w:rsidP="006E0242">
          <w:pPr>
            <w:pStyle w:val="Header"/>
          </w:pPr>
        </w:p>
      </w:tc>
      <w:tc>
        <w:tcPr>
          <w:tcW w:w="3385" w:type="dxa"/>
        </w:tcPr>
        <w:p w14:paraId="50D5EE78" w14:textId="77777777" w:rsidR="00057430" w:rsidRDefault="00057430" w:rsidP="006E0242">
          <w:pPr>
            <w:pStyle w:val="Header"/>
          </w:pPr>
        </w:p>
      </w:tc>
    </w:tr>
  </w:tbl>
  <w:p w14:paraId="06099711" w14:textId="77777777" w:rsidR="00057430" w:rsidRDefault="00057430" w:rsidP="006E02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7A31" w14:textId="77777777" w:rsidR="0066767D" w:rsidRPr="002E2DCE" w:rsidRDefault="0066767D" w:rsidP="006E0242">
    <w:r w:rsidRPr="002E2DCE">
      <w:t>LONG SERVICE LEAVE AUTHORITY</w:t>
    </w:r>
  </w:p>
  <w:p w14:paraId="456B92ED" w14:textId="77777777" w:rsidR="0066767D" w:rsidRPr="002E2DCE" w:rsidRDefault="0066767D" w:rsidP="006E0242">
    <w:r w:rsidRPr="002E2DCE">
      <w:t>NOTES TO AND FORMING PART OF THE FINANCIAL STATEMENTS</w:t>
    </w:r>
  </w:p>
  <w:p w14:paraId="4AF061F1" w14:textId="77777777" w:rsidR="0066767D" w:rsidRPr="002E2DCE" w:rsidRDefault="0066767D" w:rsidP="006E0242">
    <w:r w:rsidRPr="002E2DCE">
      <w:t>FOR THE YEAR ENDED 30 JUNE 2025</w:t>
    </w:r>
  </w:p>
  <w:p w14:paraId="51CE2CD7" w14:textId="77777777" w:rsidR="0066767D" w:rsidRDefault="0066767D" w:rsidP="006E02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85"/>
      <w:gridCol w:w="3385"/>
      <w:gridCol w:w="3385"/>
    </w:tblGrid>
    <w:tr w:rsidR="00A53CD9" w14:paraId="1D2CBD9D" w14:textId="77777777" w:rsidTr="00F0752D">
      <w:trPr>
        <w:trHeight w:val="300"/>
      </w:trPr>
      <w:tc>
        <w:tcPr>
          <w:tcW w:w="3385" w:type="dxa"/>
        </w:tcPr>
        <w:p w14:paraId="16084224" w14:textId="77777777" w:rsidR="00A53CD9" w:rsidRDefault="00A53CD9" w:rsidP="00F0752D">
          <w:pPr>
            <w:pStyle w:val="Header"/>
            <w:ind w:left="-115"/>
          </w:pPr>
        </w:p>
      </w:tc>
      <w:tc>
        <w:tcPr>
          <w:tcW w:w="3385" w:type="dxa"/>
        </w:tcPr>
        <w:p w14:paraId="55DE2642" w14:textId="77777777" w:rsidR="00A53CD9" w:rsidRDefault="00A53CD9" w:rsidP="00F0752D">
          <w:pPr>
            <w:pStyle w:val="Header"/>
            <w:jc w:val="center"/>
          </w:pPr>
        </w:p>
      </w:tc>
      <w:tc>
        <w:tcPr>
          <w:tcW w:w="3385" w:type="dxa"/>
        </w:tcPr>
        <w:p w14:paraId="466EA13F" w14:textId="77777777" w:rsidR="00A53CD9" w:rsidRDefault="00A53CD9" w:rsidP="00F0752D">
          <w:pPr>
            <w:pStyle w:val="Header"/>
            <w:ind w:right="-115"/>
            <w:jc w:val="right"/>
          </w:pPr>
        </w:p>
      </w:tc>
    </w:tr>
  </w:tbl>
  <w:p w14:paraId="5872EDB3" w14:textId="77777777" w:rsidR="00A53CD9" w:rsidRDefault="00A53CD9" w:rsidP="00F0752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A562F" w14:textId="77777777" w:rsidR="003F38ED" w:rsidRDefault="003F38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20B0" w14:textId="77777777" w:rsidR="00717BA5" w:rsidRPr="0002479F" w:rsidRDefault="00717BA5" w:rsidP="00F0752D">
    <w:pPr>
      <w:tabs>
        <w:tab w:val="left" w:pos="3544"/>
      </w:tabs>
      <w:spacing w:after="40"/>
      <w:ind w:firstLine="720"/>
      <w:jc w:val="center"/>
      <w:rPr>
        <w:rFonts w:ascii="Arial" w:eastAsia="Times New Roman" w:hAnsi="Arial" w:cs="Arial"/>
        <w:b/>
        <w:bCs/>
        <w:sz w:val="24"/>
        <w:szCs w:val="24"/>
      </w:rPr>
    </w:pPr>
    <w:bookmarkStart w:id="97" w:name="_Hlk104966000"/>
    <w:bookmarkStart w:id="98" w:name="_Hlk104966001"/>
    <w:r w:rsidRPr="0002479F">
      <w:rPr>
        <w:rFonts w:ascii="Arial" w:eastAsia="Times New Roman" w:hAnsi="Arial" w:cs="Arial"/>
        <w:b/>
        <w:bCs/>
        <w:sz w:val="24"/>
        <w:szCs w:val="24"/>
      </w:rPr>
      <w:t>LONG SERVICE LEAVE AUTHORITY</w:t>
    </w:r>
  </w:p>
  <w:p w14:paraId="08E2C7DF" w14:textId="77777777" w:rsidR="00717BA5" w:rsidRPr="0002479F" w:rsidRDefault="00717BA5" w:rsidP="00F0752D">
    <w:pPr>
      <w:tabs>
        <w:tab w:val="left" w:pos="3544"/>
      </w:tabs>
      <w:spacing w:after="40"/>
      <w:ind w:firstLine="720"/>
      <w:jc w:val="center"/>
      <w:rPr>
        <w:rFonts w:ascii="Arial" w:eastAsia="Times New Roman" w:hAnsi="Arial" w:cs="Arial"/>
        <w:b/>
        <w:bCs/>
        <w:sz w:val="24"/>
        <w:szCs w:val="24"/>
      </w:rPr>
    </w:pPr>
    <w:r w:rsidRPr="0002479F">
      <w:rPr>
        <w:rFonts w:ascii="Arial" w:eastAsia="Times New Roman" w:hAnsi="Arial" w:cs="Arial"/>
        <w:b/>
        <w:bCs/>
        <w:sz w:val="24"/>
        <w:szCs w:val="24"/>
      </w:rPr>
      <w:t>NOTES TO AND FORMING PART OF THE FINANCIAL STATEMENTS</w:t>
    </w:r>
  </w:p>
  <w:p w14:paraId="7F1A77DF" w14:textId="77777777" w:rsidR="00717BA5" w:rsidRPr="0002479F" w:rsidRDefault="00717BA5" w:rsidP="00F0752D">
    <w:pPr>
      <w:tabs>
        <w:tab w:val="left" w:pos="3544"/>
      </w:tabs>
      <w:spacing w:after="120"/>
      <w:ind w:firstLine="720"/>
      <w:jc w:val="center"/>
      <w:rPr>
        <w:rFonts w:ascii="Arial" w:eastAsia="Times New Roman" w:hAnsi="Arial" w:cs="Arial"/>
        <w:b/>
        <w:bCs/>
        <w:sz w:val="24"/>
        <w:szCs w:val="24"/>
      </w:rPr>
    </w:pPr>
    <w:r w:rsidRPr="0002479F">
      <w:rPr>
        <w:rFonts w:ascii="Arial" w:eastAsia="Times New Roman" w:hAnsi="Arial" w:cs="Arial"/>
        <w:b/>
        <w:bCs/>
        <w:sz w:val="24"/>
        <w:szCs w:val="24"/>
      </w:rPr>
      <w:t>FOR THE YEAR ENDED</w:t>
    </w:r>
    <w:bookmarkEnd w:id="97"/>
    <w:bookmarkEnd w:id="98"/>
    <w:r w:rsidRPr="0002479F">
      <w:rPr>
        <w:rFonts w:ascii="Arial" w:eastAsia="Times New Roman" w:hAnsi="Arial" w:cs="Arial"/>
        <w:b/>
        <w:bCs/>
        <w:sz w:val="24"/>
        <w:szCs w:val="24"/>
      </w:rPr>
      <w:t xml:space="preserve"> 30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4258" w14:textId="77777777" w:rsidR="00717BA5" w:rsidRPr="002E2DCE" w:rsidRDefault="00717BA5" w:rsidP="00F0752D">
    <w:pPr>
      <w:tabs>
        <w:tab w:val="left" w:pos="3544"/>
      </w:tabs>
      <w:spacing w:after="40"/>
      <w:ind w:firstLine="720"/>
      <w:jc w:val="center"/>
      <w:rPr>
        <w:rFonts w:eastAsia="Times New Roman" w:cs="Calibri"/>
        <w:b/>
        <w:bCs/>
        <w:sz w:val="28"/>
        <w:szCs w:val="28"/>
      </w:rPr>
    </w:pPr>
    <w:r w:rsidRPr="002E2DCE">
      <w:rPr>
        <w:rFonts w:eastAsia="Times New Roman" w:cs="Calibri"/>
        <w:b/>
        <w:bCs/>
        <w:sz w:val="28"/>
        <w:szCs w:val="28"/>
      </w:rPr>
      <w:t>LONG SERVICE LEAVE AUTHORITY</w:t>
    </w:r>
  </w:p>
  <w:p w14:paraId="59E4DC9F" w14:textId="77777777" w:rsidR="00717BA5" w:rsidRPr="002E2DCE" w:rsidRDefault="00717BA5" w:rsidP="00F0752D">
    <w:pPr>
      <w:tabs>
        <w:tab w:val="left" w:pos="3544"/>
      </w:tabs>
      <w:spacing w:after="40"/>
      <w:ind w:firstLine="720"/>
      <w:jc w:val="center"/>
      <w:rPr>
        <w:rFonts w:eastAsia="Times New Roman" w:cs="Calibri"/>
        <w:b/>
        <w:bCs/>
        <w:sz w:val="28"/>
        <w:szCs w:val="28"/>
      </w:rPr>
    </w:pPr>
    <w:r w:rsidRPr="002E2DCE">
      <w:rPr>
        <w:rFonts w:eastAsia="Times New Roman" w:cs="Calibri"/>
        <w:b/>
        <w:bCs/>
        <w:sz w:val="28"/>
        <w:szCs w:val="28"/>
      </w:rPr>
      <w:t>NOTES TO AND FORMING PART OF THE FINANCIAL STATEMENTS</w:t>
    </w:r>
  </w:p>
  <w:p w14:paraId="3BF0A881" w14:textId="77777777" w:rsidR="00717BA5" w:rsidRPr="002E2DCE" w:rsidRDefault="00717BA5" w:rsidP="00F0752D">
    <w:pPr>
      <w:tabs>
        <w:tab w:val="left" w:pos="3544"/>
      </w:tabs>
      <w:spacing w:after="40"/>
      <w:ind w:firstLine="720"/>
      <w:jc w:val="center"/>
      <w:rPr>
        <w:rFonts w:eastAsia="Times New Roman" w:cs="Calibri"/>
        <w:b/>
        <w:bCs/>
        <w:sz w:val="28"/>
        <w:szCs w:val="28"/>
      </w:rPr>
    </w:pPr>
    <w:r w:rsidRPr="3DC71F16">
      <w:rPr>
        <w:rFonts w:eastAsia="Times New Roman" w:cs="Calibri"/>
        <w:b/>
        <w:bCs/>
        <w:sz w:val="28"/>
        <w:szCs w:val="28"/>
      </w:rPr>
      <w:t>FOR THE YEAR ENDED 30 JUNE 2026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3A0B" w14:textId="77777777" w:rsidR="00B1666C" w:rsidRPr="002E2DCE" w:rsidRDefault="00B1666C" w:rsidP="00F0752D">
    <w:pPr>
      <w:tabs>
        <w:tab w:val="left" w:pos="3544"/>
      </w:tabs>
      <w:spacing w:after="40"/>
      <w:ind w:firstLine="720"/>
      <w:jc w:val="center"/>
      <w:rPr>
        <w:rFonts w:eastAsia="Times New Roman" w:cs="Calibri"/>
        <w:b/>
        <w:bCs/>
        <w:sz w:val="28"/>
        <w:szCs w:val="28"/>
      </w:rPr>
    </w:pPr>
    <w:r w:rsidRPr="002E2DCE">
      <w:rPr>
        <w:rFonts w:eastAsia="Times New Roman" w:cs="Calibri"/>
        <w:b/>
        <w:bCs/>
        <w:sz w:val="28"/>
        <w:szCs w:val="28"/>
      </w:rPr>
      <w:t>LONG SERVICE LEAVE AUTHORITY</w:t>
    </w:r>
  </w:p>
  <w:p w14:paraId="25629DD3" w14:textId="77777777" w:rsidR="00B1666C" w:rsidRPr="002E2DCE" w:rsidRDefault="00B1666C" w:rsidP="00F0752D">
    <w:pPr>
      <w:tabs>
        <w:tab w:val="left" w:pos="3544"/>
      </w:tabs>
      <w:spacing w:after="40"/>
      <w:ind w:firstLine="720"/>
      <w:jc w:val="center"/>
      <w:rPr>
        <w:rFonts w:eastAsia="Times New Roman" w:cs="Calibri"/>
        <w:b/>
        <w:bCs/>
        <w:sz w:val="28"/>
        <w:szCs w:val="28"/>
      </w:rPr>
    </w:pPr>
    <w:r w:rsidRPr="002E2DCE">
      <w:rPr>
        <w:rFonts w:eastAsia="Times New Roman" w:cs="Calibri"/>
        <w:b/>
        <w:bCs/>
        <w:sz w:val="28"/>
        <w:szCs w:val="28"/>
      </w:rPr>
      <w:t>NOTES TO AND FORMING PART OF THE FINANCIAL STATEMENTS</w:t>
    </w:r>
  </w:p>
  <w:p w14:paraId="534D7BB9" w14:textId="77777777" w:rsidR="00B1666C" w:rsidRPr="002E2DCE" w:rsidRDefault="00B1666C" w:rsidP="00F0752D">
    <w:pPr>
      <w:tabs>
        <w:tab w:val="left" w:pos="3544"/>
      </w:tabs>
      <w:spacing w:after="40"/>
      <w:ind w:firstLine="720"/>
      <w:jc w:val="center"/>
      <w:rPr>
        <w:rFonts w:eastAsia="Times New Roman" w:cs="Calibri"/>
        <w:b/>
        <w:bCs/>
        <w:sz w:val="28"/>
        <w:szCs w:val="28"/>
      </w:rPr>
    </w:pPr>
    <w:r w:rsidRPr="3DC71F16">
      <w:rPr>
        <w:rFonts w:eastAsia="Times New Roman" w:cs="Calibri"/>
        <w:b/>
        <w:bCs/>
        <w:sz w:val="28"/>
        <w:szCs w:val="28"/>
      </w:rPr>
      <w:t>FOR THE YEAR ENDED 30 JUNE 2026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59A0" w14:textId="59290F57" w:rsidR="006D71F6" w:rsidRPr="006D71F6" w:rsidRDefault="006D71F6" w:rsidP="006E024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D6A4" w14:textId="77777777" w:rsidR="00225853" w:rsidRDefault="00225853" w:rsidP="006E024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2E83" w14:textId="77777777" w:rsidR="00237F61" w:rsidRDefault="00237F61" w:rsidP="006E0242"/>
  <w:p w14:paraId="29FF947B" w14:textId="3FC276E1" w:rsidR="00522DB6" w:rsidRPr="006D71F6" w:rsidRDefault="00522DB6" w:rsidP="006E024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AB19" w14:textId="77777777" w:rsidR="00522DB6" w:rsidRDefault="00522DB6" w:rsidP="006E024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3547" w14:textId="77777777" w:rsidR="009D0E65" w:rsidRPr="006D71F6" w:rsidRDefault="009D0E65" w:rsidP="006E024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CCD81" w14:textId="77777777" w:rsidR="00F8545B" w:rsidRPr="006D71F6" w:rsidRDefault="00F8545B" w:rsidP="006E024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84227" w14:textId="0054C719" w:rsidR="00462E38" w:rsidRPr="00526E1D" w:rsidRDefault="00462E38" w:rsidP="006E024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109E38"/>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020B286"/>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CFF21948"/>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C4CC70EC"/>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8"/>
    <w:multiLevelType w:val="singleLevel"/>
    <w:tmpl w:val="1E4A7444"/>
    <w:lvl w:ilvl="0">
      <w:start w:val="1"/>
      <w:numFmt w:val="decimal"/>
      <w:lvlText w:val="%1."/>
      <w:lvlJc w:val="left"/>
      <w:pPr>
        <w:tabs>
          <w:tab w:val="num" w:pos="360"/>
        </w:tabs>
        <w:ind w:left="360" w:hanging="360"/>
      </w:pPr>
    </w:lvl>
  </w:abstractNum>
  <w:abstractNum w:abstractNumId="5" w15:restartNumberingAfterBreak="0">
    <w:nsid w:val="016354D5"/>
    <w:multiLevelType w:val="hybridMultilevel"/>
    <w:tmpl w:val="71207C14"/>
    <w:lvl w:ilvl="0" w:tplc="6CF0C946">
      <w:start w:val="1"/>
      <w:numFmt w:val="bullet"/>
      <w:lvlText w:val=""/>
      <w:lvlJc w:val="left"/>
      <w:pPr>
        <w:ind w:left="1280" w:hanging="360"/>
      </w:pPr>
      <w:rPr>
        <w:rFonts w:ascii="Symbol" w:hAnsi="Symbol"/>
      </w:rPr>
    </w:lvl>
    <w:lvl w:ilvl="1" w:tplc="0B3663B0">
      <w:start w:val="1"/>
      <w:numFmt w:val="bullet"/>
      <w:lvlText w:val=""/>
      <w:lvlJc w:val="left"/>
      <w:pPr>
        <w:ind w:left="1280" w:hanging="360"/>
      </w:pPr>
      <w:rPr>
        <w:rFonts w:ascii="Symbol" w:hAnsi="Symbol"/>
      </w:rPr>
    </w:lvl>
    <w:lvl w:ilvl="2" w:tplc="E4505B6C">
      <w:start w:val="1"/>
      <w:numFmt w:val="bullet"/>
      <w:lvlText w:val=""/>
      <w:lvlJc w:val="left"/>
      <w:pPr>
        <w:ind w:left="1280" w:hanging="360"/>
      </w:pPr>
      <w:rPr>
        <w:rFonts w:ascii="Symbol" w:hAnsi="Symbol"/>
      </w:rPr>
    </w:lvl>
    <w:lvl w:ilvl="3" w:tplc="A42E12BE">
      <w:start w:val="1"/>
      <w:numFmt w:val="bullet"/>
      <w:lvlText w:val=""/>
      <w:lvlJc w:val="left"/>
      <w:pPr>
        <w:ind w:left="1280" w:hanging="360"/>
      </w:pPr>
      <w:rPr>
        <w:rFonts w:ascii="Symbol" w:hAnsi="Symbol"/>
      </w:rPr>
    </w:lvl>
    <w:lvl w:ilvl="4" w:tplc="7BD4F938">
      <w:start w:val="1"/>
      <w:numFmt w:val="bullet"/>
      <w:lvlText w:val=""/>
      <w:lvlJc w:val="left"/>
      <w:pPr>
        <w:ind w:left="1280" w:hanging="360"/>
      </w:pPr>
      <w:rPr>
        <w:rFonts w:ascii="Symbol" w:hAnsi="Symbol"/>
      </w:rPr>
    </w:lvl>
    <w:lvl w:ilvl="5" w:tplc="853A8F4A">
      <w:start w:val="1"/>
      <w:numFmt w:val="bullet"/>
      <w:lvlText w:val=""/>
      <w:lvlJc w:val="left"/>
      <w:pPr>
        <w:ind w:left="1280" w:hanging="360"/>
      </w:pPr>
      <w:rPr>
        <w:rFonts w:ascii="Symbol" w:hAnsi="Symbol"/>
      </w:rPr>
    </w:lvl>
    <w:lvl w:ilvl="6" w:tplc="B6BCC2F6">
      <w:start w:val="1"/>
      <w:numFmt w:val="bullet"/>
      <w:lvlText w:val=""/>
      <w:lvlJc w:val="left"/>
      <w:pPr>
        <w:ind w:left="1280" w:hanging="360"/>
      </w:pPr>
      <w:rPr>
        <w:rFonts w:ascii="Symbol" w:hAnsi="Symbol"/>
      </w:rPr>
    </w:lvl>
    <w:lvl w:ilvl="7" w:tplc="E2BE3978">
      <w:start w:val="1"/>
      <w:numFmt w:val="bullet"/>
      <w:lvlText w:val=""/>
      <w:lvlJc w:val="left"/>
      <w:pPr>
        <w:ind w:left="1280" w:hanging="360"/>
      </w:pPr>
      <w:rPr>
        <w:rFonts w:ascii="Symbol" w:hAnsi="Symbol"/>
      </w:rPr>
    </w:lvl>
    <w:lvl w:ilvl="8" w:tplc="1E10AC7C">
      <w:start w:val="1"/>
      <w:numFmt w:val="bullet"/>
      <w:lvlText w:val=""/>
      <w:lvlJc w:val="left"/>
      <w:pPr>
        <w:ind w:left="1280" w:hanging="360"/>
      </w:pPr>
      <w:rPr>
        <w:rFonts w:ascii="Symbol" w:hAnsi="Symbol"/>
      </w:rPr>
    </w:lvl>
  </w:abstractNum>
  <w:abstractNum w:abstractNumId="6" w15:restartNumberingAfterBreak="0">
    <w:nsid w:val="032308BA"/>
    <w:multiLevelType w:val="multilevel"/>
    <w:tmpl w:val="F5EC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3254DAE"/>
    <w:multiLevelType w:val="multilevel"/>
    <w:tmpl w:val="800E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3A03314"/>
    <w:multiLevelType w:val="hybridMultilevel"/>
    <w:tmpl w:val="A114E49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9" w15:restartNumberingAfterBreak="0">
    <w:nsid w:val="07A9053D"/>
    <w:multiLevelType w:val="hybridMultilevel"/>
    <w:tmpl w:val="235AA98A"/>
    <w:lvl w:ilvl="0" w:tplc="0FDCF276">
      <w:start w:val="1"/>
      <w:numFmt w:val="bullet"/>
      <w:pStyle w:val="TableBullet"/>
      <w:lvlText w:val="•"/>
      <w:lvlJc w:val="left"/>
      <w:pPr>
        <w:ind w:left="360" w:hanging="360"/>
      </w:pPr>
      <w:rPr>
        <w:rFonts w:ascii="Arial" w:hAnsi="Arial" w:hint="default"/>
        <w:b w:val="0"/>
        <w:bCs w:val="0"/>
        <w:i w:val="0"/>
        <w:iCs w:val="0"/>
        <w:caps w:val="0"/>
        <w:strike w:val="0"/>
        <w:dstrike w:val="0"/>
        <w:vanish w:val="0"/>
        <w:color w:val="E7E6E6" w:themeColor="background2"/>
        <w:spacing w:val="0"/>
        <w:kern w:val="0"/>
        <w:position w:val="0"/>
        <w:sz w:val="20"/>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7FF705C"/>
    <w:multiLevelType w:val="hybridMultilevel"/>
    <w:tmpl w:val="F3CEDEC8"/>
    <w:lvl w:ilvl="0" w:tplc="FFFFFFFF">
      <w:start w:val="1"/>
      <w:numFmt w:val="lowerRoman"/>
      <w:lvlText w:val="(%1)"/>
      <w:lvlJc w:val="left"/>
      <w:pPr>
        <w:ind w:left="322" w:hanging="211"/>
      </w:pPr>
      <w:rPr>
        <w:rFonts w:ascii="Calibri" w:eastAsia="Calibri" w:hAnsi="Calibri" w:hint="default"/>
        <w:i/>
        <w:spacing w:val="-1"/>
        <w:w w:val="99"/>
        <w:sz w:val="20"/>
        <w:szCs w:val="20"/>
      </w:rPr>
    </w:lvl>
    <w:lvl w:ilvl="1" w:tplc="FFFFFFFF">
      <w:start w:val="1"/>
      <w:numFmt w:val="bullet"/>
      <w:lvlText w:val="•"/>
      <w:lvlJc w:val="left"/>
      <w:pPr>
        <w:ind w:left="1306" w:hanging="211"/>
      </w:pPr>
      <w:rPr>
        <w:rFonts w:hint="default"/>
      </w:rPr>
    </w:lvl>
    <w:lvl w:ilvl="2" w:tplc="FFFFFFFF">
      <w:start w:val="1"/>
      <w:numFmt w:val="bullet"/>
      <w:lvlText w:val="•"/>
      <w:lvlJc w:val="left"/>
      <w:pPr>
        <w:ind w:left="2291" w:hanging="211"/>
      </w:pPr>
      <w:rPr>
        <w:rFonts w:hint="default"/>
      </w:rPr>
    </w:lvl>
    <w:lvl w:ilvl="3" w:tplc="FFFFFFFF">
      <w:start w:val="1"/>
      <w:numFmt w:val="bullet"/>
      <w:lvlText w:val="•"/>
      <w:lvlJc w:val="left"/>
      <w:pPr>
        <w:ind w:left="3275" w:hanging="211"/>
      </w:pPr>
      <w:rPr>
        <w:rFonts w:hint="default"/>
      </w:rPr>
    </w:lvl>
    <w:lvl w:ilvl="4" w:tplc="FFFFFFFF">
      <w:start w:val="1"/>
      <w:numFmt w:val="bullet"/>
      <w:lvlText w:val="•"/>
      <w:lvlJc w:val="left"/>
      <w:pPr>
        <w:ind w:left="4260" w:hanging="211"/>
      </w:pPr>
      <w:rPr>
        <w:rFonts w:hint="default"/>
      </w:rPr>
    </w:lvl>
    <w:lvl w:ilvl="5" w:tplc="FFFFFFFF">
      <w:start w:val="1"/>
      <w:numFmt w:val="bullet"/>
      <w:lvlText w:val="•"/>
      <w:lvlJc w:val="left"/>
      <w:pPr>
        <w:ind w:left="5244" w:hanging="211"/>
      </w:pPr>
      <w:rPr>
        <w:rFonts w:hint="default"/>
      </w:rPr>
    </w:lvl>
    <w:lvl w:ilvl="6" w:tplc="FFFFFFFF">
      <w:start w:val="1"/>
      <w:numFmt w:val="bullet"/>
      <w:lvlText w:val="•"/>
      <w:lvlJc w:val="left"/>
      <w:pPr>
        <w:ind w:left="6228" w:hanging="211"/>
      </w:pPr>
      <w:rPr>
        <w:rFonts w:hint="default"/>
      </w:rPr>
    </w:lvl>
    <w:lvl w:ilvl="7" w:tplc="FFFFFFFF">
      <w:start w:val="1"/>
      <w:numFmt w:val="bullet"/>
      <w:lvlText w:val="•"/>
      <w:lvlJc w:val="left"/>
      <w:pPr>
        <w:ind w:left="7213" w:hanging="211"/>
      </w:pPr>
      <w:rPr>
        <w:rFonts w:hint="default"/>
      </w:rPr>
    </w:lvl>
    <w:lvl w:ilvl="8" w:tplc="FFFFFFFF">
      <w:start w:val="1"/>
      <w:numFmt w:val="bullet"/>
      <w:lvlText w:val="•"/>
      <w:lvlJc w:val="left"/>
      <w:pPr>
        <w:ind w:left="8197" w:hanging="211"/>
      </w:pPr>
      <w:rPr>
        <w:rFonts w:hint="default"/>
      </w:rPr>
    </w:lvl>
  </w:abstractNum>
  <w:abstractNum w:abstractNumId="11" w15:restartNumberingAfterBreak="0">
    <w:nsid w:val="08387161"/>
    <w:multiLevelType w:val="hybridMultilevel"/>
    <w:tmpl w:val="B8B2137E"/>
    <w:lvl w:ilvl="0" w:tplc="0FD0161A">
      <w:start w:val="1"/>
      <w:numFmt w:val="bullet"/>
      <w:lvlText w:val=""/>
      <w:lvlJc w:val="left"/>
      <w:pPr>
        <w:ind w:left="1280" w:hanging="360"/>
      </w:pPr>
      <w:rPr>
        <w:rFonts w:ascii="Symbol" w:hAnsi="Symbol"/>
      </w:rPr>
    </w:lvl>
    <w:lvl w:ilvl="1" w:tplc="44587726">
      <w:start w:val="1"/>
      <w:numFmt w:val="bullet"/>
      <w:lvlText w:val=""/>
      <w:lvlJc w:val="left"/>
      <w:pPr>
        <w:ind w:left="1280" w:hanging="360"/>
      </w:pPr>
      <w:rPr>
        <w:rFonts w:ascii="Symbol" w:hAnsi="Symbol"/>
      </w:rPr>
    </w:lvl>
    <w:lvl w:ilvl="2" w:tplc="5420E56A">
      <w:start w:val="1"/>
      <w:numFmt w:val="bullet"/>
      <w:lvlText w:val=""/>
      <w:lvlJc w:val="left"/>
      <w:pPr>
        <w:ind w:left="1280" w:hanging="360"/>
      </w:pPr>
      <w:rPr>
        <w:rFonts w:ascii="Symbol" w:hAnsi="Symbol"/>
      </w:rPr>
    </w:lvl>
    <w:lvl w:ilvl="3" w:tplc="C1A67A20">
      <w:start w:val="1"/>
      <w:numFmt w:val="bullet"/>
      <w:lvlText w:val=""/>
      <w:lvlJc w:val="left"/>
      <w:pPr>
        <w:ind w:left="1280" w:hanging="360"/>
      </w:pPr>
      <w:rPr>
        <w:rFonts w:ascii="Symbol" w:hAnsi="Symbol"/>
      </w:rPr>
    </w:lvl>
    <w:lvl w:ilvl="4" w:tplc="8BB06CD4">
      <w:start w:val="1"/>
      <w:numFmt w:val="bullet"/>
      <w:lvlText w:val=""/>
      <w:lvlJc w:val="left"/>
      <w:pPr>
        <w:ind w:left="1280" w:hanging="360"/>
      </w:pPr>
      <w:rPr>
        <w:rFonts w:ascii="Symbol" w:hAnsi="Symbol"/>
      </w:rPr>
    </w:lvl>
    <w:lvl w:ilvl="5" w:tplc="5A4A5078">
      <w:start w:val="1"/>
      <w:numFmt w:val="bullet"/>
      <w:lvlText w:val=""/>
      <w:lvlJc w:val="left"/>
      <w:pPr>
        <w:ind w:left="1280" w:hanging="360"/>
      </w:pPr>
      <w:rPr>
        <w:rFonts w:ascii="Symbol" w:hAnsi="Symbol"/>
      </w:rPr>
    </w:lvl>
    <w:lvl w:ilvl="6" w:tplc="9F948FF2">
      <w:start w:val="1"/>
      <w:numFmt w:val="bullet"/>
      <w:lvlText w:val=""/>
      <w:lvlJc w:val="left"/>
      <w:pPr>
        <w:ind w:left="1280" w:hanging="360"/>
      </w:pPr>
      <w:rPr>
        <w:rFonts w:ascii="Symbol" w:hAnsi="Symbol"/>
      </w:rPr>
    </w:lvl>
    <w:lvl w:ilvl="7" w:tplc="9A26106A">
      <w:start w:val="1"/>
      <w:numFmt w:val="bullet"/>
      <w:lvlText w:val=""/>
      <w:lvlJc w:val="left"/>
      <w:pPr>
        <w:ind w:left="1280" w:hanging="360"/>
      </w:pPr>
      <w:rPr>
        <w:rFonts w:ascii="Symbol" w:hAnsi="Symbol"/>
      </w:rPr>
    </w:lvl>
    <w:lvl w:ilvl="8" w:tplc="1D4A0880">
      <w:start w:val="1"/>
      <w:numFmt w:val="bullet"/>
      <w:lvlText w:val=""/>
      <w:lvlJc w:val="left"/>
      <w:pPr>
        <w:ind w:left="1280" w:hanging="360"/>
      </w:pPr>
      <w:rPr>
        <w:rFonts w:ascii="Symbol" w:hAnsi="Symbol"/>
      </w:rPr>
    </w:lvl>
  </w:abstractNum>
  <w:abstractNum w:abstractNumId="12" w15:restartNumberingAfterBreak="0">
    <w:nsid w:val="085377F8"/>
    <w:multiLevelType w:val="hybridMultilevel"/>
    <w:tmpl w:val="77F0B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CE032D"/>
    <w:multiLevelType w:val="hybridMultilevel"/>
    <w:tmpl w:val="758295E2"/>
    <w:lvl w:ilvl="0" w:tplc="89249C2A">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4" w15:restartNumberingAfterBreak="0">
    <w:nsid w:val="0C8D2EED"/>
    <w:multiLevelType w:val="hybridMultilevel"/>
    <w:tmpl w:val="D364276A"/>
    <w:lvl w:ilvl="0" w:tplc="736A1B3C">
      <w:start w:val="1"/>
      <w:numFmt w:val="bullet"/>
      <w:lvlText w:val=""/>
      <w:lvlJc w:val="left"/>
      <w:pPr>
        <w:ind w:left="1420" w:hanging="360"/>
      </w:pPr>
      <w:rPr>
        <w:rFonts w:ascii="Symbol" w:hAnsi="Symbol"/>
      </w:rPr>
    </w:lvl>
    <w:lvl w:ilvl="1" w:tplc="0EE24A92">
      <w:start w:val="1"/>
      <w:numFmt w:val="bullet"/>
      <w:lvlText w:val=""/>
      <w:lvlJc w:val="left"/>
      <w:pPr>
        <w:ind w:left="1420" w:hanging="360"/>
      </w:pPr>
      <w:rPr>
        <w:rFonts w:ascii="Symbol" w:hAnsi="Symbol"/>
      </w:rPr>
    </w:lvl>
    <w:lvl w:ilvl="2" w:tplc="55CE1126">
      <w:start w:val="1"/>
      <w:numFmt w:val="bullet"/>
      <w:lvlText w:val=""/>
      <w:lvlJc w:val="left"/>
      <w:pPr>
        <w:ind w:left="1420" w:hanging="360"/>
      </w:pPr>
      <w:rPr>
        <w:rFonts w:ascii="Symbol" w:hAnsi="Symbol"/>
      </w:rPr>
    </w:lvl>
    <w:lvl w:ilvl="3" w:tplc="4C282544">
      <w:start w:val="1"/>
      <w:numFmt w:val="bullet"/>
      <w:lvlText w:val=""/>
      <w:lvlJc w:val="left"/>
      <w:pPr>
        <w:ind w:left="1420" w:hanging="360"/>
      </w:pPr>
      <w:rPr>
        <w:rFonts w:ascii="Symbol" w:hAnsi="Symbol"/>
      </w:rPr>
    </w:lvl>
    <w:lvl w:ilvl="4" w:tplc="223A5C84">
      <w:start w:val="1"/>
      <w:numFmt w:val="bullet"/>
      <w:lvlText w:val=""/>
      <w:lvlJc w:val="left"/>
      <w:pPr>
        <w:ind w:left="1420" w:hanging="360"/>
      </w:pPr>
      <w:rPr>
        <w:rFonts w:ascii="Symbol" w:hAnsi="Symbol"/>
      </w:rPr>
    </w:lvl>
    <w:lvl w:ilvl="5" w:tplc="89FE47A8">
      <w:start w:val="1"/>
      <w:numFmt w:val="bullet"/>
      <w:lvlText w:val=""/>
      <w:lvlJc w:val="left"/>
      <w:pPr>
        <w:ind w:left="1420" w:hanging="360"/>
      </w:pPr>
      <w:rPr>
        <w:rFonts w:ascii="Symbol" w:hAnsi="Symbol"/>
      </w:rPr>
    </w:lvl>
    <w:lvl w:ilvl="6" w:tplc="4BE4DC6A">
      <w:start w:val="1"/>
      <w:numFmt w:val="bullet"/>
      <w:lvlText w:val=""/>
      <w:lvlJc w:val="left"/>
      <w:pPr>
        <w:ind w:left="1420" w:hanging="360"/>
      </w:pPr>
      <w:rPr>
        <w:rFonts w:ascii="Symbol" w:hAnsi="Symbol"/>
      </w:rPr>
    </w:lvl>
    <w:lvl w:ilvl="7" w:tplc="85F23826">
      <w:start w:val="1"/>
      <w:numFmt w:val="bullet"/>
      <w:lvlText w:val=""/>
      <w:lvlJc w:val="left"/>
      <w:pPr>
        <w:ind w:left="1420" w:hanging="360"/>
      </w:pPr>
      <w:rPr>
        <w:rFonts w:ascii="Symbol" w:hAnsi="Symbol"/>
      </w:rPr>
    </w:lvl>
    <w:lvl w:ilvl="8" w:tplc="7DB62220">
      <w:start w:val="1"/>
      <w:numFmt w:val="bullet"/>
      <w:lvlText w:val=""/>
      <w:lvlJc w:val="left"/>
      <w:pPr>
        <w:ind w:left="1420" w:hanging="360"/>
      </w:pPr>
      <w:rPr>
        <w:rFonts w:ascii="Symbol" w:hAnsi="Symbol"/>
      </w:rPr>
    </w:lvl>
  </w:abstractNum>
  <w:abstractNum w:abstractNumId="15" w15:restartNumberingAfterBreak="0">
    <w:nsid w:val="0DA94059"/>
    <w:multiLevelType w:val="hybridMultilevel"/>
    <w:tmpl w:val="0AD6FA24"/>
    <w:lvl w:ilvl="0" w:tplc="D05E557C">
      <w:start w:val="1"/>
      <w:numFmt w:val="lowerLetter"/>
      <w:lvlText w:val="(%1)"/>
      <w:lvlJc w:val="left"/>
      <w:pPr>
        <w:ind w:left="502"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DFA74DF"/>
    <w:multiLevelType w:val="multilevel"/>
    <w:tmpl w:val="CF54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E0B72D4"/>
    <w:multiLevelType w:val="hybridMultilevel"/>
    <w:tmpl w:val="1D7A5980"/>
    <w:lvl w:ilvl="0" w:tplc="ED18530A">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0F090B5C"/>
    <w:multiLevelType w:val="multilevel"/>
    <w:tmpl w:val="FFFFFFFF"/>
    <w:styleLink w:val="ATOBullets"/>
    <w:lvl w:ilvl="0">
      <w:start w:val="1"/>
      <w:numFmt w:val="bullet"/>
      <w:lvlText w:val=""/>
      <w:lvlJc w:val="left"/>
      <w:pPr>
        <w:ind w:left="340" w:hanging="340"/>
      </w:pPr>
      <w:rPr>
        <w:rFonts w:ascii="Wingdings" w:hAnsi="Wingdings" w:hint="default"/>
        <w:color w:val="156082"/>
      </w:rPr>
    </w:lvl>
    <w:lvl w:ilvl="1">
      <w:start w:val="1"/>
      <w:numFmt w:val="bullet"/>
      <w:lvlText w:val="–"/>
      <w:lvlJc w:val="left"/>
      <w:pPr>
        <w:ind w:left="680" w:hanging="340"/>
      </w:pPr>
      <w:rPr>
        <w:rFonts w:ascii="Arial" w:hAnsi="Arial" w:hint="default"/>
        <w:color w:val="156082"/>
      </w:rPr>
    </w:lvl>
    <w:lvl w:ilvl="2">
      <w:start w:val="1"/>
      <w:numFmt w:val="bullet"/>
      <w:lvlText w:val="○"/>
      <w:lvlJc w:val="left"/>
      <w:pPr>
        <w:ind w:left="1020" w:hanging="340"/>
      </w:pPr>
      <w:rPr>
        <w:rFonts w:ascii="Arial" w:hAnsi="Arial" w:hint="default"/>
        <w:color w:val="156082"/>
      </w:rPr>
    </w:lvl>
    <w:lvl w:ilvl="3">
      <w:start w:val="1"/>
      <w:numFmt w:val="bullet"/>
      <w:lvlText w:val=""/>
      <w:lvlJc w:val="left"/>
      <w:pPr>
        <w:tabs>
          <w:tab w:val="num" w:pos="1431"/>
        </w:tabs>
        <w:ind w:left="1360" w:hanging="340"/>
      </w:pPr>
      <w:rPr>
        <w:rFonts w:ascii="Symbol" w:hAnsi="Symbol" w:hint="default"/>
      </w:rPr>
    </w:lvl>
    <w:lvl w:ilvl="4">
      <w:start w:val="1"/>
      <w:numFmt w:val="bullet"/>
      <w:lvlText w:val="o"/>
      <w:lvlJc w:val="left"/>
      <w:pPr>
        <w:tabs>
          <w:tab w:val="num" w:pos="1788"/>
        </w:tabs>
        <w:ind w:left="1700" w:hanging="340"/>
      </w:pPr>
      <w:rPr>
        <w:rFonts w:ascii="Courier New" w:hAnsi="Courier New" w:hint="default"/>
      </w:rPr>
    </w:lvl>
    <w:lvl w:ilvl="5">
      <w:start w:val="1"/>
      <w:numFmt w:val="bullet"/>
      <w:lvlText w:val=""/>
      <w:lvlJc w:val="left"/>
      <w:pPr>
        <w:tabs>
          <w:tab w:val="num" w:pos="2145"/>
        </w:tabs>
        <w:ind w:left="2040" w:hanging="340"/>
      </w:pPr>
      <w:rPr>
        <w:rFonts w:ascii="Wingdings" w:hAnsi="Wingdings" w:hint="default"/>
      </w:rPr>
    </w:lvl>
    <w:lvl w:ilvl="6">
      <w:start w:val="1"/>
      <w:numFmt w:val="bullet"/>
      <w:lvlText w:val=""/>
      <w:lvlJc w:val="left"/>
      <w:pPr>
        <w:tabs>
          <w:tab w:val="num" w:pos="2502"/>
        </w:tabs>
        <w:ind w:left="2380" w:hanging="340"/>
      </w:pPr>
      <w:rPr>
        <w:rFonts w:ascii="Symbol" w:hAnsi="Symbol" w:hint="default"/>
      </w:rPr>
    </w:lvl>
    <w:lvl w:ilvl="7">
      <w:start w:val="1"/>
      <w:numFmt w:val="bullet"/>
      <w:lvlText w:val="o"/>
      <w:lvlJc w:val="left"/>
      <w:pPr>
        <w:tabs>
          <w:tab w:val="num" w:pos="2859"/>
        </w:tabs>
        <w:ind w:left="2720" w:hanging="340"/>
      </w:pPr>
      <w:rPr>
        <w:rFonts w:ascii="Courier New" w:hAnsi="Courier New" w:hint="default"/>
      </w:rPr>
    </w:lvl>
    <w:lvl w:ilvl="8">
      <w:start w:val="1"/>
      <w:numFmt w:val="bullet"/>
      <w:lvlText w:val=""/>
      <w:lvlJc w:val="left"/>
      <w:pPr>
        <w:tabs>
          <w:tab w:val="num" w:pos="3216"/>
        </w:tabs>
        <w:ind w:left="3060" w:hanging="340"/>
      </w:pPr>
      <w:rPr>
        <w:rFonts w:ascii="Wingdings" w:hAnsi="Wingdings" w:hint="default"/>
      </w:rPr>
    </w:lvl>
  </w:abstractNum>
  <w:abstractNum w:abstractNumId="19" w15:restartNumberingAfterBreak="0">
    <w:nsid w:val="0FAF612E"/>
    <w:multiLevelType w:val="multilevel"/>
    <w:tmpl w:val="0896AB76"/>
    <w:lvl w:ilvl="0">
      <w:start w:val="1"/>
      <w:numFmt w:val="bullet"/>
      <w:pStyle w:val="ListBullet"/>
      <w:lvlText w:val="•"/>
      <w:lvlJc w:val="left"/>
      <w:pPr>
        <w:ind w:left="360" w:hanging="360"/>
      </w:pPr>
      <w:rPr>
        <w:rFonts w:ascii="Arial" w:hAnsi="Arial" w:hint="default"/>
        <w:color w:val="081DA4" w:themeColor="accent1"/>
        <w:sz w:val="20"/>
      </w:rPr>
    </w:lvl>
    <w:lvl w:ilvl="1">
      <w:start w:val="1"/>
      <w:numFmt w:val="bullet"/>
      <w:lvlText w:val="–"/>
      <w:lvlJc w:val="left"/>
      <w:pPr>
        <w:ind w:left="680" w:hanging="340"/>
      </w:pPr>
      <w:rPr>
        <w:rFonts w:ascii="Arial" w:hAnsi="Arial" w:hint="default"/>
        <w:color w:val="081DA4" w:themeColor="accent1"/>
      </w:rPr>
    </w:lvl>
    <w:lvl w:ilvl="2">
      <w:start w:val="1"/>
      <w:numFmt w:val="bullet"/>
      <w:lvlText w:val="○"/>
      <w:lvlJc w:val="left"/>
      <w:pPr>
        <w:ind w:left="1020" w:hanging="340"/>
      </w:pPr>
      <w:rPr>
        <w:rFonts w:ascii="Arial" w:hAnsi="Arial" w:hint="default"/>
        <w:color w:val="081DA4" w:themeColor="accent1"/>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0" w15:restartNumberingAfterBreak="0">
    <w:nsid w:val="1053699F"/>
    <w:multiLevelType w:val="multilevel"/>
    <w:tmpl w:val="72B0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A23E84"/>
    <w:multiLevelType w:val="hybridMultilevel"/>
    <w:tmpl w:val="2C0E807A"/>
    <w:lvl w:ilvl="0" w:tplc="63D8E706">
      <w:start w:val="1"/>
      <w:numFmt w:val="lowerRoman"/>
      <w:lvlText w:val="%1."/>
      <w:lvlJc w:val="left"/>
      <w:pPr>
        <w:ind w:left="720" w:hanging="720"/>
      </w:pPr>
      <w:rPr>
        <w:rFonts w:ascii="Arial" w:hAnsi="Arial" w:cs="Arial" w:hint="default"/>
        <w:color w:val="081DA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11081DCD"/>
    <w:multiLevelType w:val="multilevel"/>
    <w:tmpl w:val="F580E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1465367"/>
    <w:multiLevelType w:val="multilevel"/>
    <w:tmpl w:val="CDFAA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30E3DA1"/>
    <w:multiLevelType w:val="hybridMultilevel"/>
    <w:tmpl w:val="6F405B60"/>
    <w:lvl w:ilvl="0" w:tplc="0FD6EB50">
      <w:start w:val="1"/>
      <w:numFmt w:val="lowerLetter"/>
      <w:pStyle w:val="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6404096"/>
    <w:multiLevelType w:val="multilevel"/>
    <w:tmpl w:val="D460206C"/>
    <w:lvl w:ilvl="0">
      <w:start w:val="1"/>
      <w:numFmt w:val="decimal"/>
      <w:lvlText w:val="%1."/>
      <w:lvlJc w:val="left"/>
      <w:pPr>
        <w:ind w:left="340" w:hanging="340"/>
      </w:pPr>
      <w:rPr>
        <w:rFonts w:ascii="Arial" w:hAnsi="Arial" w:hint="default"/>
        <w:color w:val="081DA4" w:themeColor="accent1"/>
        <w:sz w:val="20"/>
      </w:rPr>
    </w:lvl>
    <w:lvl w:ilvl="1">
      <w:start w:val="1"/>
      <w:numFmt w:val="lowerLetter"/>
      <w:pStyle w:val="ListNumber2"/>
      <w:lvlText w:val="%2."/>
      <w:lvlJc w:val="left"/>
      <w:pPr>
        <w:ind w:left="680" w:hanging="340"/>
      </w:pPr>
      <w:rPr>
        <w:rFonts w:asciiTheme="minorHAnsi" w:hAnsiTheme="minorHAnsi" w:hint="default"/>
        <w:color w:val="081DA4" w:themeColor="accent1"/>
      </w:rPr>
    </w:lvl>
    <w:lvl w:ilvl="2">
      <w:start w:val="1"/>
      <w:numFmt w:val="lowerRoman"/>
      <w:pStyle w:val="ListNumber3"/>
      <w:lvlText w:val="%3."/>
      <w:lvlJc w:val="left"/>
      <w:pPr>
        <w:ind w:left="1020" w:hanging="340"/>
      </w:pPr>
      <w:rPr>
        <w:rFonts w:asciiTheme="minorHAnsi" w:hAnsiTheme="minorHAnsi" w:hint="default"/>
        <w:color w:val="081DA4" w:themeColor="accent1"/>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6" w15:restartNumberingAfterBreak="0">
    <w:nsid w:val="16AB4EAB"/>
    <w:multiLevelType w:val="multilevel"/>
    <w:tmpl w:val="846E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7206E2E"/>
    <w:multiLevelType w:val="hybridMultilevel"/>
    <w:tmpl w:val="A6A0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78D20B7"/>
    <w:multiLevelType w:val="multilevel"/>
    <w:tmpl w:val="806E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7D45985"/>
    <w:multiLevelType w:val="hybridMultilevel"/>
    <w:tmpl w:val="1DD2597A"/>
    <w:lvl w:ilvl="0" w:tplc="307EA95C">
      <w:start w:val="4"/>
      <w:numFmt w:val="lowerRoman"/>
      <w:lvlText w:val="(%1)"/>
      <w:lvlJc w:val="left"/>
      <w:pPr>
        <w:ind w:left="729" w:hanging="257"/>
      </w:pPr>
      <w:rPr>
        <w:rFonts w:ascii="Calibri" w:eastAsia="Calibri" w:hAnsi="Calibri" w:hint="default"/>
        <w:i/>
        <w:spacing w:val="-1"/>
        <w:w w:val="99"/>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186E6B24"/>
    <w:multiLevelType w:val="hybridMultilevel"/>
    <w:tmpl w:val="D19CE1EA"/>
    <w:lvl w:ilvl="0" w:tplc="3B4640BE">
      <w:start w:val="1"/>
      <w:numFmt w:val="lowerLetter"/>
      <w:lvlText w:val="%1."/>
      <w:lvlJc w:val="left"/>
      <w:pPr>
        <w:ind w:left="360" w:hanging="360"/>
      </w:pPr>
      <w:rPr>
        <w:rFonts w:hint="default"/>
        <w:b/>
        <w:bCs/>
        <w:color w:val="081DA4"/>
        <w:sz w:val="20"/>
        <w:szCs w:val="2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187A47E1"/>
    <w:multiLevelType w:val="hybridMultilevel"/>
    <w:tmpl w:val="98A6C544"/>
    <w:lvl w:ilvl="0" w:tplc="1FE05DB6">
      <w:start w:val="1"/>
      <w:numFmt w:val="lowerRoman"/>
      <w:lvlText w:val="%1."/>
      <w:lvlJc w:val="left"/>
      <w:pPr>
        <w:ind w:left="322" w:hanging="211"/>
      </w:pPr>
      <w:rPr>
        <w:rFonts w:hint="default"/>
        <w:i/>
        <w:color w:val="081DA4"/>
        <w:spacing w:val="-1"/>
        <w:w w:val="99"/>
        <w:sz w:val="20"/>
        <w:szCs w:val="20"/>
      </w:rPr>
    </w:lvl>
    <w:lvl w:ilvl="1" w:tplc="FFFFFFFF">
      <w:start w:val="1"/>
      <w:numFmt w:val="bullet"/>
      <w:lvlText w:val="•"/>
      <w:lvlJc w:val="left"/>
      <w:pPr>
        <w:ind w:left="1306" w:hanging="211"/>
      </w:pPr>
      <w:rPr>
        <w:rFonts w:hint="default"/>
      </w:rPr>
    </w:lvl>
    <w:lvl w:ilvl="2" w:tplc="FFFFFFFF">
      <w:start w:val="1"/>
      <w:numFmt w:val="bullet"/>
      <w:lvlText w:val="•"/>
      <w:lvlJc w:val="left"/>
      <w:pPr>
        <w:ind w:left="2291" w:hanging="211"/>
      </w:pPr>
      <w:rPr>
        <w:rFonts w:hint="default"/>
      </w:rPr>
    </w:lvl>
    <w:lvl w:ilvl="3" w:tplc="FFFFFFFF">
      <w:start w:val="1"/>
      <w:numFmt w:val="bullet"/>
      <w:lvlText w:val="•"/>
      <w:lvlJc w:val="left"/>
      <w:pPr>
        <w:ind w:left="3275" w:hanging="211"/>
      </w:pPr>
      <w:rPr>
        <w:rFonts w:hint="default"/>
      </w:rPr>
    </w:lvl>
    <w:lvl w:ilvl="4" w:tplc="FFFFFFFF">
      <w:start w:val="1"/>
      <w:numFmt w:val="bullet"/>
      <w:lvlText w:val="•"/>
      <w:lvlJc w:val="left"/>
      <w:pPr>
        <w:ind w:left="4260" w:hanging="211"/>
      </w:pPr>
      <w:rPr>
        <w:rFonts w:hint="default"/>
      </w:rPr>
    </w:lvl>
    <w:lvl w:ilvl="5" w:tplc="FFFFFFFF">
      <w:start w:val="1"/>
      <w:numFmt w:val="bullet"/>
      <w:lvlText w:val="•"/>
      <w:lvlJc w:val="left"/>
      <w:pPr>
        <w:ind w:left="5244" w:hanging="211"/>
      </w:pPr>
      <w:rPr>
        <w:rFonts w:hint="default"/>
      </w:rPr>
    </w:lvl>
    <w:lvl w:ilvl="6" w:tplc="FFFFFFFF">
      <w:start w:val="1"/>
      <w:numFmt w:val="bullet"/>
      <w:lvlText w:val="•"/>
      <w:lvlJc w:val="left"/>
      <w:pPr>
        <w:ind w:left="6228" w:hanging="211"/>
      </w:pPr>
      <w:rPr>
        <w:rFonts w:hint="default"/>
      </w:rPr>
    </w:lvl>
    <w:lvl w:ilvl="7" w:tplc="FFFFFFFF">
      <w:start w:val="1"/>
      <w:numFmt w:val="bullet"/>
      <w:lvlText w:val="•"/>
      <w:lvlJc w:val="left"/>
      <w:pPr>
        <w:ind w:left="7213" w:hanging="211"/>
      </w:pPr>
      <w:rPr>
        <w:rFonts w:hint="default"/>
      </w:rPr>
    </w:lvl>
    <w:lvl w:ilvl="8" w:tplc="FFFFFFFF">
      <w:start w:val="1"/>
      <w:numFmt w:val="bullet"/>
      <w:lvlText w:val="•"/>
      <w:lvlJc w:val="left"/>
      <w:pPr>
        <w:ind w:left="8197" w:hanging="211"/>
      </w:pPr>
      <w:rPr>
        <w:rFonts w:hint="default"/>
      </w:rPr>
    </w:lvl>
  </w:abstractNum>
  <w:abstractNum w:abstractNumId="32" w15:restartNumberingAfterBreak="0">
    <w:nsid w:val="18B047D8"/>
    <w:multiLevelType w:val="hybridMultilevel"/>
    <w:tmpl w:val="44947592"/>
    <w:lvl w:ilvl="0" w:tplc="F8F2EFC8">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33" w15:restartNumberingAfterBreak="0">
    <w:nsid w:val="1CC73DD7"/>
    <w:multiLevelType w:val="multilevel"/>
    <w:tmpl w:val="682E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E2B148C"/>
    <w:multiLevelType w:val="hybridMultilevel"/>
    <w:tmpl w:val="D2F22A24"/>
    <w:lvl w:ilvl="0" w:tplc="1C7AF574">
      <w:start w:val="1"/>
      <w:numFmt w:val="bullet"/>
      <w:lvlText w:val=""/>
      <w:lvlJc w:val="left"/>
      <w:pPr>
        <w:ind w:left="1420" w:hanging="360"/>
      </w:pPr>
      <w:rPr>
        <w:rFonts w:ascii="Symbol" w:hAnsi="Symbol"/>
      </w:rPr>
    </w:lvl>
    <w:lvl w:ilvl="1" w:tplc="0F126F10">
      <w:start w:val="1"/>
      <w:numFmt w:val="bullet"/>
      <w:lvlText w:val=""/>
      <w:lvlJc w:val="left"/>
      <w:pPr>
        <w:ind w:left="1420" w:hanging="360"/>
      </w:pPr>
      <w:rPr>
        <w:rFonts w:ascii="Symbol" w:hAnsi="Symbol"/>
      </w:rPr>
    </w:lvl>
    <w:lvl w:ilvl="2" w:tplc="42807DEA">
      <w:start w:val="1"/>
      <w:numFmt w:val="bullet"/>
      <w:lvlText w:val=""/>
      <w:lvlJc w:val="left"/>
      <w:pPr>
        <w:ind w:left="1420" w:hanging="360"/>
      </w:pPr>
      <w:rPr>
        <w:rFonts w:ascii="Symbol" w:hAnsi="Symbol"/>
      </w:rPr>
    </w:lvl>
    <w:lvl w:ilvl="3" w:tplc="DEDE6F22">
      <w:start w:val="1"/>
      <w:numFmt w:val="bullet"/>
      <w:lvlText w:val=""/>
      <w:lvlJc w:val="left"/>
      <w:pPr>
        <w:ind w:left="1420" w:hanging="360"/>
      </w:pPr>
      <w:rPr>
        <w:rFonts w:ascii="Symbol" w:hAnsi="Symbol"/>
      </w:rPr>
    </w:lvl>
    <w:lvl w:ilvl="4" w:tplc="D2BE735A">
      <w:start w:val="1"/>
      <w:numFmt w:val="bullet"/>
      <w:lvlText w:val=""/>
      <w:lvlJc w:val="left"/>
      <w:pPr>
        <w:ind w:left="1420" w:hanging="360"/>
      </w:pPr>
      <w:rPr>
        <w:rFonts w:ascii="Symbol" w:hAnsi="Symbol"/>
      </w:rPr>
    </w:lvl>
    <w:lvl w:ilvl="5" w:tplc="CB04120C">
      <w:start w:val="1"/>
      <w:numFmt w:val="bullet"/>
      <w:lvlText w:val=""/>
      <w:lvlJc w:val="left"/>
      <w:pPr>
        <w:ind w:left="1420" w:hanging="360"/>
      </w:pPr>
      <w:rPr>
        <w:rFonts w:ascii="Symbol" w:hAnsi="Symbol"/>
      </w:rPr>
    </w:lvl>
    <w:lvl w:ilvl="6" w:tplc="AF8E818C">
      <w:start w:val="1"/>
      <w:numFmt w:val="bullet"/>
      <w:lvlText w:val=""/>
      <w:lvlJc w:val="left"/>
      <w:pPr>
        <w:ind w:left="1420" w:hanging="360"/>
      </w:pPr>
      <w:rPr>
        <w:rFonts w:ascii="Symbol" w:hAnsi="Symbol"/>
      </w:rPr>
    </w:lvl>
    <w:lvl w:ilvl="7" w:tplc="533CA3DC">
      <w:start w:val="1"/>
      <w:numFmt w:val="bullet"/>
      <w:lvlText w:val=""/>
      <w:lvlJc w:val="left"/>
      <w:pPr>
        <w:ind w:left="1420" w:hanging="360"/>
      </w:pPr>
      <w:rPr>
        <w:rFonts w:ascii="Symbol" w:hAnsi="Symbol"/>
      </w:rPr>
    </w:lvl>
    <w:lvl w:ilvl="8" w:tplc="CA5CDF2C">
      <w:start w:val="1"/>
      <w:numFmt w:val="bullet"/>
      <w:lvlText w:val=""/>
      <w:lvlJc w:val="left"/>
      <w:pPr>
        <w:ind w:left="1420" w:hanging="360"/>
      </w:pPr>
      <w:rPr>
        <w:rFonts w:ascii="Symbol" w:hAnsi="Symbol"/>
      </w:rPr>
    </w:lvl>
  </w:abstractNum>
  <w:abstractNum w:abstractNumId="35" w15:restartNumberingAfterBreak="0">
    <w:nsid w:val="1EA02962"/>
    <w:multiLevelType w:val="hybridMultilevel"/>
    <w:tmpl w:val="A432B2DA"/>
    <w:lvl w:ilvl="0" w:tplc="66B6A90A">
      <w:numFmt w:val="bullet"/>
      <w:lvlText w:val="•"/>
      <w:lvlJc w:val="left"/>
      <w:pPr>
        <w:ind w:left="1077" w:hanging="360"/>
      </w:pPr>
      <w:rPr>
        <w:rFonts w:ascii="Calibri" w:eastAsia="SimSun" w:hAnsi="Calibri" w:cs="Calibr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6" w15:restartNumberingAfterBreak="0">
    <w:nsid w:val="1F2D25F6"/>
    <w:multiLevelType w:val="multilevel"/>
    <w:tmpl w:val="EDE2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0BD322B"/>
    <w:multiLevelType w:val="multilevel"/>
    <w:tmpl w:val="A9A6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11A0F5F"/>
    <w:multiLevelType w:val="hybridMultilevel"/>
    <w:tmpl w:val="A5AE7A6E"/>
    <w:lvl w:ilvl="0" w:tplc="5D283FFE">
      <w:start w:val="1"/>
      <w:numFmt w:val="bullet"/>
      <w:lvlText w:val=""/>
      <w:lvlJc w:val="left"/>
      <w:pPr>
        <w:ind w:left="1280" w:hanging="360"/>
      </w:pPr>
      <w:rPr>
        <w:rFonts w:ascii="Symbol" w:hAnsi="Symbol"/>
      </w:rPr>
    </w:lvl>
    <w:lvl w:ilvl="1" w:tplc="75AA5A78">
      <w:start w:val="1"/>
      <w:numFmt w:val="bullet"/>
      <w:lvlText w:val=""/>
      <w:lvlJc w:val="left"/>
      <w:pPr>
        <w:ind w:left="1280" w:hanging="360"/>
      </w:pPr>
      <w:rPr>
        <w:rFonts w:ascii="Symbol" w:hAnsi="Symbol"/>
      </w:rPr>
    </w:lvl>
    <w:lvl w:ilvl="2" w:tplc="40544FF8">
      <w:start w:val="1"/>
      <w:numFmt w:val="bullet"/>
      <w:lvlText w:val=""/>
      <w:lvlJc w:val="left"/>
      <w:pPr>
        <w:ind w:left="1280" w:hanging="360"/>
      </w:pPr>
      <w:rPr>
        <w:rFonts w:ascii="Symbol" w:hAnsi="Symbol"/>
      </w:rPr>
    </w:lvl>
    <w:lvl w:ilvl="3" w:tplc="40F095CE">
      <w:start w:val="1"/>
      <w:numFmt w:val="bullet"/>
      <w:lvlText w:val=""/>
      <w:lvlJc w:val="left"/>
      <w:pPr>
        <w:ind w:left="1280" w:hanging="360"/>
      </w:pPr>
      <w:rPr>
        <w:rFonts w:ascii="Symbol" w:hAnsi="Symbol"/>
      </w:rPr>
    </w:lvl>
    <w:lvl w:ilvl="4" w:tplc="9F54C7A4">
      <w:start w:val="1"/>
      <w:numFmt w:val="bullet"/>
      <w:lvlText w:val=""/>
      <w:lvlJc w:val="left"/>
      <w:pPr>
        <w:ind w:left="1280" w:hanging="360"/>
      </w:pPr>
      <w:rPr>
        <w:rFonts w:ascii="Symbol" w:hAnsi="Symbol"/>
      </w:rPr>
    </w:lvl>
    <w:lvl w:ilvl="5" w:tplc="521C4E8C">
      <w:start w:val="1"/>
      <w:numFmt w:val="bullet"/>
      <w:lvlText w:val=""/>
      <w:lvlJc w:val="left"/>
      <w:pPr>
        <w:ind w:left="1280" w:hanging="360"/>
      </w:pPr>
      <w:rPr>
        <w:rFonts w:ascii="Symbol" w:hAnsi="Symbol"/>
      </w:rPr>
    </w:lvl>
    <w:lvl w:ilvl="6" w:tplc="A1DADB66">
      <w:start w:val="1"/>
      <w:numFmt w:val="bullet"/>
      <w:lvlText w:val=""/>
      <w:lvlJc w:val="left"/>
      <w:pPr>
        <w:ind w:left="1280" w:hanging="360"/>
      </w:pPr>
      <w:rPr>
        <w:rFonts w:ascii="Symbol" w:hAnsi="Symbol"/>
      </w:rPr>
    </w:lvl>
    <w:lvl w:ilvl="7" w:tplc="84E26E28">
      <w:start w:val="1"/>
      <w:numFmt w:val="bullet"/>
      <w:lvlText w:val=""/>
      <w:lvlJc w:val="left"/>
      <w:pPr>
        <w:ind w:left="1280" w:hanging="360"/>
      </w:pPr>
      <w:rPr>
        <w:rFonts w:ascii="Symbol" w:hAnsi="Symbol"/>
      </w:rPr>
    </w:lvl>
    <w:lvl w:ilvl="8" w:tplc="63AC20EA">
      <w:start w:val="1"/>
      <w:numFmt w:val="bullet"/>
      <w:lvlText w:val=""/>
      <w:lvlJc w:val="left"/>
      <w:pPr>
        <w:ind w:left="1280" w:hanging="360"/>
      </w:pPr>
      <w:rPr>
        <w:rFonts w:ascii="Symbol" w:hAnsi="Symbol"/>
      </w:rPr>
    </w:lvl>
  </w:abstractNum>
  <w:abstractNum w:abstractNumId="39" w15:restartNumberingAfterBreak="0">
    <w:nsid w:val="21420E48"/>
    <w:multiLevelType w:val="multilevel"/>
    <w:tmpl w:val="0B8C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1C0775E"/>
    <w:multiLevelType w:val="multilevel"/>
    <w:tmpl w:val="34E20C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22F5521B"/>
    <w:multiLevelType w:val="hybridMultilevel"/>
    <w:tmpl w:val="CC149EB8"/>
    <w:lvl w:ilvl="0" w:tplc="0F1E3216">
      <w:numFmt w:val="bullet"/>
      <w:lvlText w:val="-"/>
      <w:lvlJc w:val="left"/>
      <w:pPr>
        <w:ind w:left="405" w:hanging="360"/>
      </w:pPr>
      <w:rPr>
        <w:rFonts w:ascii="Calibri" w:eastAsia="Times New Roman" w:hAnsi="Calibri" w:cs="Calibr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42" w15:restartNumberingAfterBreak="0">
    <w:nsid w:val="23AE14B1"/>
    <w:multiLevelType w:val="hybridMultilevel"/>
    <w:tmpl w:val="2A74FAEA"/>
    <w:lvl w:ilvl="0" w:tplc="FFFFFFFF">
      <w:start w:val="1"/>
      <w:numFmt w:val="lowerRoman"/>
      <w:lvlText w:val="(%1)"/>
      <w:lvlJc w:val="left"/>
      <w:pPr>
        <w:ind w:left="414" w:hanging="257"/>
      </w:pPr>
      <w:rPr>
        <w:rFonts w:ascii="Calibri" w:eastAsia="Calibri" w:hAnsi="Calibri" w:hint="default"/>
        <w:i/>
        <w:spacing w:val="-1"/>
        <w:w w:val="99"/>
        <w:sz w:val="20"/>
        <w:szCs w:val="20"/>
      </w:rPr>
    </w:lvl>
    <w:lvl w:ilvl="1" w:tplc="FFFFFFFF">
      <w:start w:val="1"/>
      <w:numFmt w:val="bullet"/>
      <w:lvlText w:val=""/>
      <w:lvlJc w:val="left"/>
      <w:pPr>
        <w:ind w:left="832" w:hanging="360"/>
      </w:pPr>
      <w:rPr>
        <w:rFonts w:ascii="Symbol" w:eastAsia="Symbol" w:hAnsi="Symbol" w:hint="default"/>
        <w:w w:val="99"/>
        <w:sz w:val="20"/>
        <w:szCs w:val="20"/>
      </w:rPr>
    </w:lvl>
    <w:lvl w:ilvl="2" w:tplc="FFFFFFFF">
      <w:start w:val="1"/>
      <w:numFmt w:val="bullet"/>
      <w:lvlText w:val="o"/>
      <w:lvlJc w:val="left"/>
      <w:pPr>
        <w:ind w:left="1192" w:hanging="360"/>
      </w:pPr>
      <w:rPr>
        <w:rFonts w:ascii="Courier New" w:eastAsia="Courier New" w:hAnsi="Courier New" w:hint="default"/>
        <w:w w:val="99"/>
        <w:sz w:val="20"/>
        <w:szCs w:val="20"/>
      </w:rPr>
    </w:lvl>
    <w:lvl w:ilvl="3" w:tplc="FFFFFFFF">
      <w:start w:val="1"/>
      <w:numFmt w:val="bullet"/>
      <w:lvlText w:val="•"/>
      <w:lvlJc w:val="left"/>
      <w:pPr>
        <w:ind w:left="1190" w:hanging="360"/>
      </w:pPr>
      <w:rPr>
        <w:rFonts w:hint="default"/>
      </w:rPr>
    </w:lvl>
    <w:lvl w:ilvl="4" w:tplc="FFFFFFFF">
      <w:start w:val="1"/>
      <w:numFmt w:val="bullet"/>
      <w:lvlText w:val="•"/>
      <w:lvlJc w:val="left"/>
      <w:pPr>
        <w:ind w:left="1192" w:hanging="360"/>
      </w:pPr>
      <w:rPr>
        <w:rFonts w:hint="default"/>
      </w:rPr>
    </w:lvl>
    <w:lvl w:ilvl="5" w:tplc="FFFFFFFF">
      <w:start w:val="1"/>
      <w:numFmt w:val="bullet"/>
      <w:lvlText w:val="•"/>
      <w:lvlJc w:val="left"/>
      <w:pPr>
        <w:ind w:left="1552" w:hanging="360"/>
      </w:pPr>
      <w:rPr>
        <w:rFonts w:hint="default"/>
      </w:rPr>
    </w:lvl>
    <w:lvl w:ilvl="6" w:tplc="FFFFFFFF">
      <w:start w:val="1"/>
      <w:numFmt w:val="bullet"/>
      <w:lvlText w:val="•"/>
      <w:lvlJc w:val="left"/>
      <w:pPr>
        <w:ind w:left="3275" w:hanging="360"/>
      </w:pPr>
      <w:rPr>
        <w:rFonts w:hint="default"/>
      </w:rPr>
    </w:lvl>
    <w:lvl w:ilvl="7" w:tplc="FFFFFFFF">
      <w:start w:val="1"/>
      <w:numFmt w:val="bullet"/>
      <w:lvlText w:val="•"/>
      <w:lvlJc w:val="left"/>
      <w:pPr>
        <w:ind w:left="4998" w:hanging="360"/>
      </w:pPr>
      <w:rPr>
        <w:rFonts w:hint="default"/>
      </w:rPr>
    </w:lvl>
    <w:lvl w:ilvl="8" w:tplc="FFFFFFFF">
      <w:start w:val="1"/>
      <w:numFmt w:val="bullet"/>
      <w:lvlText w:val="•"/>
      <w:lvlJc w:val="left"/>
      <w:pPr>
        <w:ind w:left="6720" w:hanging="360"/>
      </w:pPr>
      <w:rPr>
        <w:rFonts w:hint="default"/>
      </w:rPr>
    </w:lvl>
  </w:abstractNum>
  <w:abstractNum w:abstractNumId="43" w15:restartNumberingAfterBreak="0">
    <w:nsid w:val="25060547"/>
    <w:multiLevelType w:val="hybridMultilevel"/>
    <w:tmpl w:val="242E7D54"/>
    <w:lvl w:ilvl="0" w:tplc="5DD646F0">
      <w:start w:val="1"/>
      <w:numFmt w:val="bullet"/>
      <w:lvlText w:val=""/>
      <w:lvlJc w:val="left"/>
      <w:pPr>
        <w:ind w:left="1420" w:hanging="360"/>
      </w:pPr>
      <w:rPr>
        <w:rFonts w:ascii="Symbol" w:hAnsi="Symbol"/>
      </w:rPr>
    </w:lvl>
    <w:lvl w:ilvl="1" w:tplc="DC44BB1A">
      <w:start w:val="1"/>
      <w:numFmt w:val="bullet"/>
      <w:lvlText w:val=""/>
      <w:lvlJc w:val="left"/>
      <w:pPr>
        <w:ind w:left="1420" w:hanging="360"/>
      </w:pPr>
      <w:rPr>
        <w:rFonts w:ascii="Symbol" w:hAnsi="Symbol"/>
      </w:rPr>
    </w:lvl>
    <w:lvl w:ilvl="2" w:tplc="470ACAC0">
      <w:start w:val="1"/>
      <w:numFmt w:val="bullet"/>
      <w:lvlText w:val=""/>
      <w:lvlJc w:val="left"/>
      <w:pPr>
        <w:ind w:left="1420" w:hanging="360"/>
      </w:pPr>
      <w:rPr>
        <w:rFonts w:ascii="Symbol" w:hAnsi="Symbol"/>
      </w:rPr>
    </w:lvl>
    <w:lvl w:ilvl="3" w:tplc="9C7490F2">
      <w:start w:val="1"/>
      <w:numFmt w:val="bullet"/>
      <w:lvlText w:val=""/>
      <w:lvlJc w:val="left"/>
      <w:pPr>
        <w:ind w:left="1420" w:hanging="360"/>
      </w:pPr>
      <w:rPr>
        <w:rFonts w:ascii="Symbol" w:hAnsi="Symbol"/>
      </w:rPr>
    </w:lvl>
    <w:lvl w:ilvl="4" w:tplc="3C144292">
      <w:start w:val="1"/>
      <w:numFmt w:val="bullet"/>
      <w:lvlText w:val=""/>
      <w:lvlJc w:val="left"/>
      <w:pPr>
        <w:ind w:left="1420" w:hanging="360"/>
      </w:pPr>
      <w:rPr>
        <w:rFonts w:ascii="Symbol" w:hAnsi="Symbol"/>
      </w:rPr>
    </w:lvl>
    <w:lvl w:ilvl="5" w:tplc="2D1A8408">
      <w:start w:val="1"/>
      <w:numFmt w:val="bullet"/>
      <w:lvlText w:val=""/>
      <w:lvlJc w:val="left"/>
      <w:pPr>
        <w:ind w:left="1420" w:hanging="360"/>
      </w:pPr>
      <w:rPr>
        <w:rFonts w:ascii="Symbol" w:hAnsi="Symbol"/>
      </w:rPr>
    </w:lvl>
    <w:lvl w:ilvl="6" w:tplc="CA7EE19A">
      <w:start w:val="1"/>
      <w:numFmt w:val="bullet"/>
      <w:lvlText w:val=""/>
      <w:lvlJc w:val="left"/>
      <w:pPr>
        <w:ind w:left="1420" w:hanging="360"/>
      </w:pPr>
      <w:rPr>
        <w:rFonts w:ascii="Symbol" w:hAnsi="Symbol"/>
      </w:rPr>
    </w:lvl>
    <w:lvl w:ilvl="7" w:tplc="74D46A2C">
      <w:start w:val="1"/>
      <w:numFmt w:val="bullet"/>
      <w:lvlText w:val=""/>
      <w:lvlJc w:val="left"/>
      <w:pPr>
        <w:ind w:left="1420" w:hanging="360"/>
      </w:pPr>
      <w:rPr>
        <w:rFonts w:ascii="Symbol" w:hAnsi="Symbol"/>
      </w:rPr>
    </w:lvl>
    <w:lvl w:ilvl="8" w:tplc="AF18C880">
      <w:start w:val="1"/>
      <w:numFmt w:val="bullet"/>
      <w:lvlText w:val=""/>
      <w:lvlJc w:val="left"/>
      <w:pPr>
        <w:ind w:left="1420" w:hanging="360"/>
      </w:pPr>
      <w:rPr>
        <w:rFonts w:ascii="Symbol" w:hAnsi="Symbol"/>
      </w:rPr>
    </w:lvl>
  </w:abstractNum>
  <w:abstractNum w:abstractNumId="44" w15:restartNumberingAfterBreak="0">
    <w:nsid w:val="25740863"/>
    <w:multiLevelType w:val="hybridMultilevel"/>
    <w:tmpl w:val="119E386E"/>
    <w:lvl w:ilvl="0" w:tplc="9192050C">
      <w:start w:val="2025"/>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58765D1"/>
    <w:multiLevelType w:val="multilevel"/>
    <w:tmpl w:val="AC00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6F07268"/>
    <w:multiLevelType w:val="multilevel"/>
    <w:tmpl w:val="C17C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85919B2"/>
    <w:multiLevelType w:val="hybridMultilevel"/>
    <w:tmpl w:val="9EC0DC04"/>
    <w:lvl w:ilvl="0" w:tplc="3B4640BE">
      <w:start w:val="1"/>
      <w:numFmt w:val="lowerLetter"/>
      <w:lvlText w:val="%1."/>
      <w:lvlJc w:val="left"/>
      <w:pPr>
        <w:ind w:left="785" w:hanging="360"/>
      </w:pPr>
      <w:rPr>
        <w:rFonts w:hint="default"/>
        <w:b/>
        <w:bCs/>
        <w:color w:val="081DA4"/>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2B0E6AF2"/>
    <w:multiLevelType w:val="hybridMultilevel"/>
    <w:tmpl w:val="5EC05948"/>
    <w:lvl w:ilvl="0" w:tplc="A9BC32DA">
      <w:start w:val="1"/>
      <w:numFmt w:val="lowerRoman"/>
      <w:lvlText w:val="%1."/>
      <w:lvlJc w:val="left"/>
      <w:pPr>
        <w:ind w:left="720" w:hanging="720"/>
      </w:pPr>
      <w:rPr>
        <w:rFonts w:ascii="Arial" w:hAnsi="Arial" w:cs="Arial" w:hint="default"/>
        <w:color w:val="081DA4"/>
      </w:rPr>
    </w:lvl>
    <w:lvl w:ilvl="1" w:tplc="CEC4B1BC">
      <w:start w:val="1"/>
      <w:numFmt w:val="lowerLetter"/>
      <w:lvlText w:val="(%2)"/>
      <w:lvlJc w:val="left"/>
      <w:pPr>
        <w:ind w:left="1440" w:hanging="720"/>
      </w:pPr>
      <w:rPr>
        <w:rFonts w:hint="default"/>
      </w:rPr>
    </w:lvl>
    <w:lvl w:ilvl="2" w:tplc="828CAAA8">
      <w:start w:val="1"/>
      <w:numFmt w:val="upperLetter"/>
      <w:lvlText w:val="(%3)"/>
      <w:lvlJc w:val="left"/>
      <w:pPr>
        <w:ind w:left="1980" w:hanging="36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2CF610B7"/>
    <w:multiLevelType w:val="hybridMultilevel"/>
    <w:tmpl w:val="00924A7A"/>
    <w:lvl w:ilvl="0" w:tplc="9BC8F1C4">
      <w:start w:val="1"/>
      <w:numFmt w:val="bullet"/>
      <w:lvlText w:val=""/>
      <w:lvlJc w:val="left"/>
      <w:pPr>
        <w:ind w:left="1420" w:hanging="360"/>
      </w:pPr>
      <w:rPr>
        <w:rFonts w:ascii="Symbol" w:hAnsi="Symbol"/>
      </w:rPr>
    </w:lvl>
    <w:lvl w:ilvl="1" w:tplc="87B6FC5E">
      <w:start w:val="1"/>
      <w:numFmt w:val="bullet"/>
      <w:lvlText w:val=""/>
      <w:lvlJc w:val="left"/>
      <w:pPr>
        <w:ind w:left="1420" w:hanging="360"/>
      </w:pPr>
      <w:rPr>
        <w:rFonts w:ascii="Symbol" w:hAnsi="Symbol"/>
      </w:rPr>
    </w:lvl>
    <w:lvl w:ilvl="2" w:tplc="596E264C">
      <w:start w:val="1"/>
      <w:numFmt w:val="bullet"/>
      <w:lvlText w:val=""/>
      <w:lvlJc w:val="left"/>
      <w:pPr>
        <w:ind w:left="1420" w:hanging="360"/>
      </w:pPr>
      <w:rPr>
        <w:rFonts w:ascii="Symbol" w:hAnsi="Symbol"/>
      </w:rPr>
    </w:lvl>
    <w:lvl w:ilvl="3" w:tplc="774C334C">
      <w:start w:val="1"/>
      <w:numFmt w:val="bullet"/>
      <w:lvlText w:val=""/>
      <w:lvlJc w:val="left"/>
      <w:pPr>
        <w:ind w:left="1420" w:hanging="360"/>
      </w:pPr>
      <w:rPr>
        <w:rFonts w:ascii="Symbol" w:hAnsi="Symbol"/>
      </w:rPr>
    </w:lvl>
    <w:lvl w:ilvl="4" w:tplc="33D8597C">
      <w:start w:val="1"/>
      <w:numFmt w:val="bullet"/>
      <w:lvlText w:val=""/>
      <w:lvlJc w:val="left"/>
      <w:pPr>
        <w:ind w:left="1420" w:hanging="360"/>
      </w:pPr>
      <w:rPr>
        <w:rFonts w:ascii="Symbol" w:hAnsi="Symbol"/>
      </w:rPr>
    </w:lvl>
    <w:lvl w:ilvl="5" w:tplc="7706AF2A">
      <w:start w:val="1"/>
      <w:numFmt w:val="bullet"/>
      <w:lvlText w:val=""/>
      <w:lvlJc w:val="left"/>
      <w:pPr>
        <w:ind w:left="1420" w:hanging="360"/>
      </w:pPr>
      <w:rPr>
        <w:rFonts w:ascii="Symbol" w:hAnsi="Symbol"/>
      </w:rPr>
    </w:lvl>
    <w:lvl w:ilvl="6" w:tplc="6FE04730">
      <w:start w:val="1"/>
      <w:numFmt w:val="bullet"/>
      <w:lvlText w:val=""/>
      <w:lvlJc w:val="left"/>
      <w:pPr>
        <w:ind w:left="1420" w:hanging="360"/>
      </w:pPr>
      <w:rPr>
        <w:rFonts w:ascii="Symbol" w:hAnsi="Symbol"/>
      </w:rPr>
    </w:lvl>
    <w:lvl w:ilvl="7" w:tplc="66289584">
      <w:start w:val="1"/>
      <w:numFmt w:val="bullet"/>
      <w:lvlText w:val=""/>
      <w:lvlJc w:val="left"/>
      <w:pPr>
        <w:ind w:left="1420" w:hanging="360"/>
      </w:pPr>
      <w:rPr>
        <w:rFonts w:ascii="Symbol" w:hAnsi="Symbol"/>
      </w:rPr>
    </w:lvl>
    <w:lvl w:ilvl="8" w:tplc="7CD2EDBA">
      <w:start w:val="1"/>
      <w:numFmt w:val="bullet"/>
      <w:lvlText w:val=""/>
      <w:lvlJc w:val="left"/>
      <w:pPr>
        <w:ind w:left="1420" w:hanging="360"/>
      </w:pPr>
      <w:rPr>
        <w:rFonts w:ascii="Symbol" w:hAnsi="Symbol"/>
      </w:rPr>
    </w:lvl>
  </w:abstractNum>
  <w:abstractNum w:abstractNumId="50" w15:restartNumberingAfterBreak="0">
    <w:nsid w:val="2E2467C0"/>
    <w:multiLevelType w:val="hybridMultilevel"/>
    <w:tmpl w:val="D802620A"/>
    <w:lvl w:ilvl="0" w:tplc="B44688DC">
      <w:start w:val="1"/>
      <w:numFmt w:val="bullet"/>
      <w:lvlText w:val=""/>
      <w:lvlJc w:val="left"/>
      <w:pPr>
        <w:ind w:left="1280" w:hanging="360"/>
      </w:pPr>
      <w:rPr>
        <w:rFonts w:ascii="Symbol" w:hAnsi="Symbol"/>
      </w:rPr>
    </w:lvl>
    <w:lvl w:ilvl="1" w:tplc="E12E253A">
      <w:start w:val="1"/>
      <w:numFmt w:val="bullet"/>
      <w:lvlText w:val=""/>
      <w:lvlJc w:val="left"/>
      <w:pPr>
        <w:ind w:left="1280" w:hanging="360"/>
      </w:pPr>
      <w:rPr>
        <w:rFonts w:ascii="Symbol" w:hAnsi="Symbol"/>
      </w:rPr>
    </w:lvl>
    <w:lvl w:ilvl="2" w:tplc="6EE85722">
      <w:start w:val="1"/>
      <w:numFmt w:val="bullet"/>
      <w:lvlText w:val=""/>
      <w:lvlJc w:val="left"/>
      <w:pPr>
        <w:ind w:left="1280" w:hanging="360"/>
      </w:pPr>
      <w:rPr>
        <w:rFonts w:ascii="Symbol" w:hAnsi="Symbol"/>
      </w:rPr>
    </w:lvl>
    <w:lvl w:ilvl="3" w:tplc="1BB43D2C">
      <w:start w:val="1"/>
      <w:numFmt w:val="bullet"/>
      <w:lvlText w:val=""/>
      <w:lvlJc w:val="left"/>
      <w:pPr>
        <w:ind w:left="1280" w:hanging="360"/>
      </w:pPr>
      <w:rPr>
        <w:rFonts w:ascii="Symbol" w:hAnsi="Symbol"/>
      </w:rPr>
    </w:lvl>
    <w:lvl w:ilvl="4" w:tplc="12024432">
      <w:start w:val="1"/>
      <w:numFmt w:val="bullet"/>
      <w:lvlText w:val=""/>
      <w:lvlJc w:val="left"/>
      <w:pPr>
        <w:ind w:left="1280" w:hanging="360"/>
      </w:pPr>
      <w:rPr>
        <w:rFonts w:ascii="Symbol" w:hAnsi="Symbol"/>
      </w:rPr>
    </w:lvl>
    <w:lvl w:ilvl="5" w:tplc="BBAEBD38">
      <w:start w:val="1"/>
      <w:numFmt w:val="bullet"/>
      <w:lvlText w:val=""/>
      <w:lvlJc w:val="left"/>
      <w:pPr>
        <w:ind w:left="1280" w:hanging="360"/>
      </w:pPr>
      <w:rPr>
        <w:rFonts w:ascii="Symbol" w:hAnsi="Symbol"/>
      </w:rPr>
    </w:lvl>
    <w:lvl w:ilvl="6" w:tplc="B074F3E4">
      <w:start w:val="1"/>
      <w:numFmt w:val="bullet"/>
      <w:lvlText w:val=""/>
      <w:lvlJc w:val="left"/>
      <w:pPr>
        <w:ind w:left="1280" w:hanging="360"/>
      </w:pPr>
      <w:rPr>
        <w:rFonts w:ascii="Symbol" w:hAnsi="Symbol"/>
      </w:rPr>
    </w:lvl>
    <w:lvl w:ilvl="7" w:tplc="11B0DF5E">
      <w:start w:val="1"/>
      <w:numFmt w:val="bullet"/>
      <w:lvlText w:val=""/>
      <w:lvlJc w:val="left"/>
      <w:pPr>
        <w:ind w:left="1280" w:hanging="360"/>
      </w:pPr>
      <w:rPr>
        <w:rFonts w:ascii="Symbol" w:hAnsi="Symbol"/>
      </w:rPr>
    </w:lvl>
    <w:lvl w:ilvl="8" w:tplc="9662A15A">
      <w:start w:val="1"/>
      <w:numFmt w:val="bullet"/>
      <w:lvlText w:val=""/>
      <w:lvlJc w:val="left"/>
      <w:pPr>
        <w:ind w:left="1280" w:hanging="360"/>
      </w:pPr>
      <w:rPr>
        <w:rFonts w:ascii="Symbol" w:hAnsi="Symbol"/>
      </w:rPr>
    </w:lvl>
  </w:abstractNum>
  <w:abstractNum w:abstractNumId="51" w15:restartNumberingAfterBreak="0">
    <w:nsid w:val="2ECF662A"/>
    <w:multiLevelType w:val="multilevel"/>
    <w:tmpl w:val="3210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F970346"/>
    <w:multiLevelType w:val="hybridMultilevel"/>
    <w:tmpl w:val="AC2C8A40"/>
    <w:lvl w:ilvl="0" w:tplc="1FE05DB6">
      <w:start w:val="1"/>
      <w:numFmt w:val="lowerRoman"/>
      <w:lvlText w:val="%1."/>
      <w:lvlJc w:val="left"/>
      <w:pPr>
        <w:ind w:left="322" w:hanging="211"/>
      </w:pPr>
      <w:rPr>
        <w:rFonts w:hint="default"/>
        <w:i/>
        <w:color w:val="081DA4"/>
        <w:spacing w:val="-1"/>
        <w:w w:val="99"/>
        <w:sz w:val="20"/>
        <w:szCs w:val="20"/>
      </w:rPr>
    </w:lvl>
    <w:lvl w:ilvl="1" w:tplc="FFFFFFFF">
      <w:start w:val="1"/>
      <w:numFmt w:val="bullet"/>
      <w:lvlText w:val="•"/>
      <w:lvlJc w:val="left"/>
      <w:pPr>
        <w:ind w:left="1306" w:hanging="211"/>
      </w:pPr>
      <w:rPr>
        <w:rFonts w:hint="default"/>
      </w:rPr>
    </w:lvl>
    <w:lvl w:ilvl="2" w:tplc="FFFFFFFF">
      <w:start w:val="1"/>
      <w:numFmt w:val="bullet"/>
      <w:lvlText w:val="•"/>
      <w:lvlJc w:val="left"/>
      <w:pPr>
        <w:ind w:left="2291" w:hanging="211"/>
      </w:pPr>
      <w:rPr>
        <w:rFonts w:hint="default"/>
      </w:rPr>
    </w:lvl>
    <w:lvl w:ilvl="3" w:tplc="FFFFFFFF">
      <w:start w:val="1"/>
      <w:numFmt w:val="bullet"/>
      <w:lvlText w:val="•"/>
      <w:lvlJc w:val="left"/>
      <w:pPr>
        <w:ind w:left="3275" w:hanging="211"/>
      </w:pPr>
      <w:rPr>
        <w:rFonts w:hint="default"/>
      </w:rPr>
    </w:lvl>
    <w:lvl w:ilvl="4" w:tplc="FFFFFFFF">
      <w:start w:val="1"/>
      <w:numFmt w:val="bullet"/>
      <w:lvlText w:val="•"/>
      <w:lvlJc w:val="left"/>
      <w:pPr>
        <w:ind w:left="4260" w:hanging="211"/>
      </w:pPr>
      <w:rPr>
        <w:rFonts w:hint="default"/>
      </w:rPr>
    </w:lvl>
    <w:lvl w:ilvl="5" w:tplc="FFFFFFFF">
      <w:start w:val="1"/>
      <w:numFmt w:val="bullet"/>
      <w:lvlText w:val="•"/>
      <w:lvlJc w:val="left"/>
      <w:pPr>
        <w:ind w:left="5244" w:hanging="211"/>
      </w:pPr>
      <w:rPr>
        <w:rFonts w:hint="default"/>
      </w:rPr>
    </w:lvl>
    <w:lvl w:ilvl="6" w:tplc="FFFFFFFF">
      <w:start w:val="1"/>
      <w:numFmt w:val="bullet"/>
      <w:lvlText w:val="•"/>
      <w:lvlJc w:val="left"/>
      <w:pPr>
        <w:ind w:left="6228" w:hanging="211"/>
      </w:pPr>
      <w:rPr>
        <w:rFonts w:hint="default"/>
      </w:rPr>
    </w:lvl>
    <w:lvl w:ilvl="7" w:tplc="FFFFFFFF">
      <w:start w:val="1"/>
      <w:numFmt w:val="bullet"/>
      <w:lvlText w:val="•"/>
      <w:lvlJc w:val="left"/>
      <w:pPr>
        <w:ind w:left="7213" w:hanging="211"/>
      </w:pPr>
      <w:rPr>
        <w:rFonts w:hint="default"/>
      </w:rPr>
    </w:lvl>
    <w:lvl w:ilvl="8" w:tplc="FFFFFFFF">
      <w:start w:val="1"/>
      <w:numFmt w:val="bullet"/>
      <w:lvlText w:val="•"/>
      <w:lvlJc w:val="left"/>
      <w:pPr>
        <w:ind w:left="8197" w:hanging="211"/>
      </w:pPr>
      <w:rPr>
        <w:rFonts w:hint="default"/>
      </w:rPr>
    </w:lvl>
  </w:abstractNum>
  <w:abstractNum w:abstractNumId="53" w15:restartNumberingAfterBreak="0">
    <w:nsid w:val="31292093"/>
    <w:multiLevelType w:val="multilevel"/>
    <w:tmpl w:val="AE0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29C3547"/>
    <w:multiLevelType w:val="hybridMultilevel"/>
    <w:tmpl w:val="3516FC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335872B8"/>
    <w:multiLevelType w:val="hybridMultilevel"/>
    <w:tmpl w:val="A9A83FE0"/>
    <w:lvl w:ilvl="0" w:tplc="6DBAF65E">
      <w:start w:val="1"/>
      <w:numFmt w:val="decimal"/>
      <w:pStyle w:val="CS-Paragraphnumbering"/>
      <w:lvlText w:val="%1."/>
      <w:lvlJc w:val="left"/>
      <w:pPr>
        <w:ind w:left="720" w:hanging="360"/>
      </w:pPr>
      <w:rPr>
        <w:sz w:val="24"/>
        <w:szCs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6" w15:restartNumberingAfterBreak="0">
    <w:nsid w:val="33B60B3C"/>
    <w:multiLevelType w:val="hybridMultilevel"/>
    <w:tmpl w:val="6AAA75BE"/>
    <w:lvl w:ilvl="0" w:tplc="04090003">
      <w:start w:val="1"/>
      <w:numFmt w:val="bullet"/>
      <w:lvlText w:val="o"/>
      <w:lvlJc w:val="left"/>
      <w:pPr>
        <w:tabs>
          <w:tab w:val="num" w:pos="360"/>
        </w:tabs>
        <w:ind w:left="360" w:hanging="360"/>
      </w:pPr>
      <w:rPr>
        <w:rFonts w:ascii="Courier New" w:hAnsi="Courier New" w:hint="default"/>
      </w:rPr>
    </w:lvl>
    <w:lvl w:ilvl="1" w:tplc="681EDC4E">
      <w:start w:val="3"/>
      <w:numFmt w:val="bullet"/>
      <w:lvlText w:val="-"/>
      <w:lvlJc w:val="left"/>
      <w:pPr>
        <w:tabs>
          <w:tab w:val="num" w:pos="1080"/>
        </w:tabs>
        <w:ind w:left="1080" w:hanging="360"/>
      </w:pPr>
      <w:rPr>
        <w:rFonts w:ascii="Times New Roman" w:eastAsia="Times New Roman" w:hAnsi="Times New Roman" w:cs="Times New Roman"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33C704D3"/>
    <w:multiLevelType w:val="hybridMultilevel"/>
    <w:tmpl w:val="644885BC"/>
    <w:lvl w:ilvl="0" w:tplc="F070B5E8">
      <w:start w:val="1"/>
      <w:numFmt w:val="bullet"/>
      <w:pStyle w:val="Bullet1"/>
      <w:lvlText w:val=""/>
      <w:lvlJc w:val="left"/>
      <w:pPr>
        <w:ind w:left="720" w:hanging="360"/>
      </w:pPr>
      <w:rPr>
        <w:rFonts w:ascii="Symbol" w:hAnsi="Symbol" w:hint="default"/>
        <w:color w:val="081DA4" w:themeColor="accent1"/>
        <w:u w:color="081DA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34AB3C0B"/>
    <w:multiLevelType w:val="hybridMultilevel"/>
    <w:tmpl w:val="7700CC80"/>
    <w:lvl w:ilvl="0" w:tplc="D8781A3C">
      <w:start w:val="1"/>
      <w:numFmt w:val="bullet"/>
      <w:lvlText w:val=""/>
      <w:lvlJc w:val="left"/>
      <w:pPr>
        <w:ind w:left="1280" w:hanging="360"/>
      </w:pPr>
      <w:rPr>
        <w:rFonts w:ascii="Symbol" w:hAnsi="Symbol"/>
      </w:rPr>
    </w:lvl>
    <w:lvl w:ilvl="1" w:tplc="DA965302">
      <w:start w:val="1"/>
      <w:numFmt w:val="bullet"/>
      <w:lvlText w:val=""/>
      <w:lvlJc w:val="left"/>
      <w:pPr>
        <w:ind w:left="1280" w:hanging="360"/>
      </w:pPr>
      <w:rPr>
        <w:rFonts w:ascii="Symbol" w:hAnsi="Symbol"/>
      </w:rPr>
    </w:lvl>
    <w:lvl w:ilvl="2" w:tplc="CE00852A">
      <w:start w:val="1"/>
      <w:numFmt w:val="bullet"/>
      <w:lvlText w:val=""/>
      <w:lvlJc w:val="left"/>
      <w:pPr>
        <w:ind w:left="1280" w:hanging="360"/>
      </w:pPr>
      <w:rPr>
        <w:rFonts w:ascii="Symbol" w:hAnsi="Symbol"/>
      </w:rPr>
    </w:lvl>
    <w:lvl w:ilvl="3" w:tplc="FB1AAE1C">
      <w:start w:val="1"/>
      <w:numFmt w:val="bullet"/>
      <w:lvlText w:val=""/>
      <w:lvlJc w:val="left"/>
      <w:pPr>
        <w:ind w:left="1280" w:hanging="360"/>
      </w:pPr>
      <w:rPr>
        <w:rFonts w:ascii="Symbol" w:hAnsi="Symbol"/>
      </w:rPr>
    </w:lvl>
    <w:lvl w:ilvl="4" w:tplc="EF66A4E4">
      <w:start w:val="1"/>
      <w:numFmt w:val="bullet"/>
      <w:lvlText w:val=""/>
      <w:lvlJc w:val="left"/>
      <w:pPr>
        <w:ind w:left="1280" w:hanging="360"/>
      </w:pPr>
      <w:rPr>
        <w:rFonts w:ascii="Symbol" w:hAnsi="Symbol"/>
      </w:rPr>
    </w:lvl>
    <w:lvl w:ilvl="5" w:tplc="69403220">
      <w:start w:val="1"/>
      <w:numFmt w:val="bullet"/>
      <w:lvlText w:val=""/>
      <w:lvlJc w:val="left"/>
      <w:pPr>
        <w:ind w:left="1280" w:hanging="360"/>
      </w:pPr>
      <w:rPr>
        <w:rFonts w:ascii="Symbol" w:hAnsi="Symbol"/>
      </w:rPr>
    </w:lvl>
    <w:lvl w:ilvl="6" w:tplc="6BB434C4">
      <w:start w:val="1"/>
      <w:numFmt w:val="bullet"/>
      <w:lvlText w:val=""/>
      <w:lvlJc w:val="left"/>
      <w:pPr>
        <w:ind w:left="1280" w:hanging="360"/>
      </w:pPr>
      <w:rPr>
        <w:rFonts w:ascii="Symbol" w:hAnsi="Symbol"/>
      </w:rPr>
    </w:lvl>
    <w:lvl w:ilvl="7" w:tplc="925411FC">
      <w:start w:val="1"/>
      <w:numFmt w:val="bullet"/>
      <w:lvlText w:val=""/>
      <w:lvlJc w:val="left"/>
      <w:pPr>
        <w:ind w:left="1280" w:hanging="360"/>
      </w:pPr>
      <w:rPr>
        <w:rFonts w:ascii="Symbol" w:hAnsi="Symbol"/>
      </w:rPr>
    </w:lvl>
    <w:lvl w:ilvl="8" w:tplc="466E7AEC">
      <w:start w:val="1"/>
      <w:numFmt w:val="bullet"/>
      <w:lvlText w:val=""/>
      <w:lvlJc w:val="left"/>
      <w:pPr>
        <w:ind w:left="1280" w:hanging="360"/>
      </w:pPr>
      <w:rPr>
        <w:rFonts w:ascii="Symbol" w:hAnsi="Symbol"/>
      </w:rPr>
    </w:lvl>
  </w:abstractNum>
  <w:abstractNum w:abstractNumId="59" w15:restartNumberingAfterBreak="0">
    <w:nsid w:val="35BC1C6D"/>
    <w:multiLevelType w:val="hybridMultilevel"/>
    <w:tmpl w:val="06809E66"/>
    <w:styleLink w:val="ACTLeaveIntroBullets"/>
    <w:lvl w:ilvl="0" w:tplc="4C62CEC6">
      <w:start w:val="1"/>
      <w:numFmt w:val="lowerRoman"/>
      <w:lvlText w:val="(%1)"/>
      <w:lvlJc w:val="left"/>
      <w:pPr>
        <w:ind w:left="322" w:hanging="211"/>
      </w:pPr>
      <w:rPr>
        <w:rFonts w:ascii="Calibri" w:eastAsia="Calibri" w:hAnsi="Calibri" w:hint="default"/>
        <w:i/>
        <w:spacing w:val="-1"/>
        <w:w w:val="99"/>
        <w:sz w:val="20"/>
        <w:szCs w:val="20"/>
      </w:rPr>
    </w:lvl>
    <w:lvl w:ilvl="1" w:tplc="505A1BE4">
      <w:start w:val="1"/>
      <w:numFmt w:val="bullet"/>
      <w:lvlText w:val="•"/>
      <w:lvlJc w:val="left"/>
      <w:pPr>
        <w:ind w:left="1306" w:hanging="211"/>
      </w:pPr>
      <w:rPr>
        <w:rFonts w:hint="default"/>
      </w:rPr>
    </w:lvl>
    <w:lvl w:ilvl="2" w:tplc="84D6A1A8">
      <w:start w:val="1"/>
      <w:numFmt w:val="bullet"/>
      <w:lvlText w:val="•"/>
      <w:lvlJc w:val="left"/>
      <w:pPr>
        <w:ind w:left="2291" w:hanging="211"/>
      </w:pPr>
      <w:rPr>
        <w:rFonts w:hint="default"/>
      </w:rPr>
    </w:lvl>
    <w:lvl w:ilvl="3" w:tplc="3C9A61BE">
      <w:start w:val="1"/>
      <w:numFmt w:val="bullet"/>
      <w:lvlText w:val="•"/>
      <w:lvlJc w:val="left"/>
      <w:pPr>
        <w:ind w:left="3275" w:hanging="211"/>
      </w:pPr>
      <w:rPr>
        <w:rFonts w:hint="default"/>
      </w:rPr>
    </w:lvl>
    <w:lvl w:ilvl="4" w:tplc="27ECE332">
      <w:start w:val="1"/>
      <w:numFmt w:val="bullet"/>
      <w:lvlText w:val="•"/>
      <w:lvlJc w:val="left"/>
      <w:pPr>
        <w:ind w:left="4260" w:hanging="211"/>
      </w:pPr>
      <w:rPr>
        <w:rFonts w:hint="default"/>
      </w:rPr>
    </w:lvl>
    <w:lvl w:ilvl="5" w:tplc="A0626B0A">
      <w:start w:val="1"/>
      <w:numFmt w:val="bullet"/>
      <w:lvlText w:val="•"/>
      <w:lvlJc w:val="left"/>
      <w:pPr>
        <w:ind w:left="5244" w:hanging="211"/>
      </w:pPr>
      <w:rPr>
        <w:rFonts w:hint="default"/>
      </w:rPr>
    </w:lvl>
    <w:lvl w:ilvl="6" w:tplc="EFD8D51E">
      <w:start w:val="1"/>
      <w:numFmt w:val="bullet"/>
      <w:lvlText w:val="•"/>
      <w:lvlJc w:val="left"/>
      <w:pPr>
        <w:ind w:left="6228" w:hanging="211"/>
      </w:pPr>
      <w:rPr>
        <w:rFonts w:hint="default"/>
      </w:rPr>
    </w:lvl>
    <w:lvl w:ilvl="7" w:tplc="601EBE62">
      <w:start w:val="1"/>
      <w:numFmt w:val="bullet"/>
      <w:lvlText w:val="•"/>
      <w:lvlJc w:val="left"/>
      <w:pPr>
        <w:ind w:left="7213" w:hanging="211"/>
      </w:pPr>
      <w:rPr>
        <w:rFonts w:hint="default"/>
      </w:rPr>
    </w:lvl>
    <w:lvl w:ilvl="8" w:tplc="45065DB6">
      <w:start w:val="1"/>
      <w:numFmt w:val="bullet"/>
      <w:lvlText w:val="•"/>
      <w:lvlJc w:val="left"/>
      <w:pPr>
        <w:ind w:left="8197" w:hanging="211"/>
      </w:pPr>
      <w:rPr>
        <w:rFonts w:hint="default"/>
      </w:rPr>
    </w:lvl>
  </w:abstractNum>
  <w:abstractNum w:abstractNumId="60" w15:restartNumberingAfterBreak="0">
    <w:nsid w:val="35D205F1"/>
    <w:multiLevelType w:val="hybridMultilevel"/>
    <w:tmpl w:val="772A2AEE"/>
    <w:lvl w:ilvl="0" w:tplc="FFFFFFFF">
      <w:start w:val="1"/>
      <w:numFmt w:val="lowerRoman"/>
      <w:lvlText w:val="(%1)"/>
      <w:lvlJc w:val="left"/>
      <w:pPr>
        <w:ind w:left="414" w:hanging="257"/>
      </w:pPr>
      <w:rPr>
        <w:rFonts w:ascii="Calibri" w:eastAsia="Calibri" w:hAnsi="Calibri" w:hint="default"/>
        <w:i/>
        <w:spacing w:val="-1"/>
        <w:w w:val="99"/>
        <w:sz w:val="20"/>
        <w:szCs w:val="20"/>
      </w:rPr>
    </w:lvl>
    <w:lvl w:ilvl="1" w:tplc="B3707FFA">
      <w:start w:val="1"/>
      <w:numFmt w:val="bullet"/>
      <w:lvlText w:val=""/>
      <w:lvlJc w:val="left"/>
      <w:pPr>
        <w:ind w:left="1191" w:hanging="358"/>
      </w:pPr>
      <w:rPr>
        <w:rFonts w:ascii="Symbol" w:eastAsia="Symbol" w:hAnsi="Symbol" w:hint="default"/>
        <w:w w:val="99"/>
        <w:sz w:val="20"/>
        <w:szCs w:val="20"/>
      </w:rPr>
    </w:lvl>
    <w:lvl w:ilvl="2" w:tplc="FFFFFFFF">
      <w:start w:val="1"/>
      <w:numFmt w:val="bullet"/>
      <w:lvlText w:val="o"/>
      <w:lvlJc w:val="left"/>
      <w:pPr>
        <w:ind w:left="1192" w:hanging="360"/>
      </w:pPr>
      <w:rPr>
        <w:rFonts w:ascii="Courier New" w:eastAsia="Courier New" w:hAnsi="Courier New" w:hint="default"/>
        <w:w w:val="99"/>
        <w:sz w:val="20"/>
        <w:szCs w:val="20"/>
      </w:rPr>
    </w:lvl>
    <w:lvl w:ilvl="3" w:tplc="FFFFFFFF">
      <w:start w:val="1"/>
      <w:numFmt w:val="bullet"/>
      <w:lvlText w:val="•"/>
      <w:lvlJc w:val="left"/>
      <w:pPr>
        <w:ind w:left="1190" w:hanging="360"/>
      </w:pPr>
      <w:rPr>
        <w:rFonts w:hint="default"/>
      </w:rPr>
    </w:lvl>
    <w:lvl w:ilvl="4" w:tplc="FFFFFFFF">
      <w:start w:val="1"/>
      <w:numFmt w:val="bullet"/>
      <w:lvlText w:val="•"/>
      <w:lvlJc w:val="left"/>
      <w:pPr>
        <w:ind w:left="1192" w:hanging="360"/>
      </w:pPr>
      <w:rPr>
        <w:rFonts w:hint="default"/>
      </w:rPr>
    </w:lvl>
    <w:lvl w:ilvl="5" w:tplc="FFFFFFFF">
      <w:start w:val="1"/>
      <w:numFmt w:val="bullet"/>
      <w:lvlText w:val="•"/>
      <w:lvlJc w:val="left"/>
      <w:pPr>
        <w:ind w:left="1552" w:hanging="360"/>
      </w:pPr>
      <w:rPr>
        <w:rFonts w:hint="default"/>
      </w:rPr>
    </w:lvl>
    <w:lvl w:ilvl="6" w:tplc="FFFFFFFF">
      <w:start w:val="1"/>
      <w:numFmt w:val="bullet"/>
      <w:lvlText w:val="•"/>
      <w:lvlJc w:val="left"/>
      <w:pPr>
        <w:ind w:left="3275" w:hanging="360"/>
      </w:pPr>
      <w:rPr>
        <w:rFonts w:hint="default"/>
      </w:rPr>
    </w:lvl>
    <w:lvl w:ilvl="7" w:tplc="FFFFFFFF">
      <w:start w:val="1"/>
      <w:numFmt w:val="bullet"/>
      <w:lvlText w:val="•"/>
      <w:lvlJc w:val="left"/>
      <w:pPr>
        <w:ind w:left="4998" w:hanging="360"/>
      </w:pPr>
      <w:rPr>
        <w:rFonts w:hint="default"/>
      </w:rPr>
    </w:lvl>
    <w:lvl w:ilvl="8" w:tplc="FFFFFFFF">
      <w:start w:val="1"/>
      <w:numFmt w:val="bullet"/>
      <w:lvlText w:val="•"/>
      <w:lvlJc w:val="left"/>
      <w:pPr>
        <w:ind w:left="6720" w:hanging="360"/>
      </w:pPr>
      <w:rPr>
        <w:rFonts w:hint="default"/>
      </w:rPr>
    </w:lvl>
  </w:abstractNum>
  <w:abstractNum w:abstractNumId="61" w15:restartNumberingAfterBreak="0">
    <w:nsid w:val="36D30B40"/>
    <w:multiLevelType w:val="multilevel"/>
    <w:tmpl w:val="6C2097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2" w15:restartNumberingAfterBreak="0">
    <w:nsid w:val="399E23D8"/>
    <w:multiLevelType w:val="hybridMultilevel"/>
    <w:tmpl w:val="634276D0"/>
    <w:lvl w:ilvl="0" w:tplc="A2C849BE">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3AA801E8"/>
    <w:multiLevelType w:val="hybridMultilevel"/>
    <w:tmpl w:val="ABF2E966"/>
    <w:lvl w:ilvl="0" w:tplc="FFFFFFFF">
      <w:start w:val="1"/>
      <w:numFmt w:val="lowerRoman"/>
      <w:lvlText w:val="(%1)"/>
      <w:lvlJc w:val="left"/>
      <w:pPr>
        <w:ind w:left="414" w:hanging="257"/>
      </w:pPr>
      <w:rPr>
        <w:rFonts w:ascii="Calibri" w:eastAsia="Calibri" w:hAnsi="Calibri" w:hint="default"/>
        <w:i/>
        <w:spacing w:val="-1"/>
        <w:w w:val="99"/>
        <w:sz w:val="20"/>
        <w:szCs w:val="20"/>
      </w:rPr>
    </w:lvl>
    <w:lvl w:ilvl="1" w:tplc="FFFFFFFF">
      <w:start w:val="1"/>
      <w:numFmt w:val="bullet"/>
      <w:lvlText w:val=""/>
      <w:lvlJc w:val="left"/>
      <w:pPr>
        <w:ind w:left="832" w:hanging="360"/>
      </w:pPr>
      <w:rPr>
        <w:rFonts w:ascii="Symbol" w:eastAsia="Symbol" w:hAnsi="Symbol" w:hint="default"/>
        <w:w w:val="99"/>
        <w:sz w:val="20"/>
        <w:szCs w:val="20"/>
      </w:rPr>
    </w:lvl>
    <w:lvl w:ilvl="2" w:tplc="FFFFFFFF">
      <w:start w:val="1"/>
      <w:numFmt w:val="bullet"/>
      <w:lvlText w:val="o"/>
      <w:lvlJc w:val="left"/>
      <w:pPr>
        <w:ind w:left="1192" w:hanging="360"/>
      </w:pPr>
      <w:rPr>
        <w:rFonts w:ascii="Courier New" w:eastAsia="Courier New" w:hAnsi="Courier New" w:hint="default"/>
        <w:w w:val="99"/>
        <w:sz w:val="20"/>
        <w:szCs w:val="20"/>
      </w:rPr>
    </w:lvl>
    <w:lvl w:ilvl="3" w:tplc="FFFFFFFF">
      <w:start w:val="1"/>
      <w:numFmt w:val="bullet"/>
      <w:lvlText w:val="•"/>
      <w:lvlJc w:val="left"/>
      <w:pPr>
        <w:ind w:left="1190" w:hanging="360"/>
      </w:pPr>
      <w:rPr>
        <w:rFonts w:hint="default"/>
      </w:rPr>
    </w:lvl>
    <w:lvl w:ilvl="4" w:tplc="FFFFFFFF">
      <w:start w:val="1"/>
      <w:numFmt w:val="bullet"/>
      <w:lvlText w:val="•"/>
      <w:lvlJc w:val="left"/>
      <w:pPr>
        <w:ind w:left="1192" w:hanging="360"/>
      </w:pPr>
      <w:rPr>
        <w:rFonts w:hint="default"/>
      </w:rPr>
    </w:lvl>
    <w:lvl w:ilvl="5" w:tplc="FFFFFFFF">
      <w:start w:val="1"/>
      <w:numFmt w:val="bullet"/>
      <w:lvlText w:val="•"/>
      <w:lvlJc w:val="left"/>
      <w:pPr>
        <w:ind w:left="1552" w:hanging="360"/>
      </w:pPr>
      <w:rPr>
        <w:rFonts w:hint="default"/>
      </w:rPr>
    </w:lvl>
    <w:lvl w:ilvl="6" w:tplc="FFFFFFFF">
      <w:start w:val="1"/>
      <w:numFmt w:val="bullet"/>
      <w:lvlText w:val="•"/>
      <w:lvlJc w:val="left"/>
      <w:pPr>
        <w:ind w:left="3275" w:hanging="360"/>
      </w:pPr>
      <w:rPr>
        <w:rFonts w:hint="default"/>
      </w:rPr>
    </w:lvl>
    <w:lvl w:ilvl="7" w:tplc="FFFFFFFF">
      <w:start w:val="1"/>
      <w:numFmt w:val="bullet"/>
      <w:lvlText w:val="•"/>
      <w:lvlJc w:val="left"/>
      <w:pPr>
        <w:ind w:left="4998" w:hanging="360"/>
      </w:pPr>
      <w:rPr>
        <w:rFonts w:hint="default"/>
      </w:rPr>
    </w:lvl>
    <w:lvl w:ilvl="8" w:tplc="FFFFFFFF">
      <w:start w:val="1"/>
      <w:numFmt w:val="bullet"/>
      <w:lvlText w:val="•"/>
      <w:lvlJc w:val="left"/>
      <w:pPr>
        <w:ind w:left="6720" w:hanging="360"/>
      </w:pPr>
      <w:rPr>
        <w:rFonts w:hint="default"/>
      </w:rPr>
    </w:lvl>
  </w:abstractNum>
  <w:abstractNum w:abstractNumId="64" w15:restartNumberingAfterBreak="0">
    <w:nsid w:val="3EE9414C"/>
    <w:multiLevelType w:val="hybridMultilevel"/>
    <w:tmpl w:val="992E018E"/>
    <w:lvl w:ilvl="0" w:tplc="F0046C6A">
      <w:start w:val="1"/>
      <w:numFmt w:val="lowerLetter"/>
      <w:lvlText w:val="%1."/>
      <w:lvlJc w:val="left"/>
      <w:pPr>
        <w:ind w:left="360" w:hanging="360"/>
      </w:pPr>
      <w:rPr>
        <w:color w:val="081DA4"/>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5" w15:restartNumberingAfterBreak="0">
    <w:nsid w:val="3F295790"/>
    <w:multiLevelType w:val="hybridMultilevel"/>
    <w:tmpl w:val="ABF2E966"/>
    <w:styleLink w:val="ACTLeaveHeadings"/>
    <w:lvl w:ilvl="0" w:tplc="7292C6C2">
      <w:start w:val="1"/>
      <w:numFmt w:val="lowerRoman"/>
      <w:lvlText w:val="(%1)"/>
      <w:lvlJc w:val="left"/>
      <w:pPr>
        <w:ind w:left="257" w:hanging="257"/>
      </w:pPr>
      <w:rPr>
        <w:rFonts w:ascii="Calibri" w:eastAsia="Calibri" w:hAnsi="Calibri" w:hint="default"/>
        <w:i/>
        <w:spacing w:val="-1"/>
        <w:w w:val="99"/>
        <w:sz w:val="20"/>
        <w:szCs w:val="20"/>
      </w:rPr>
    </w:lvl>
    <w:lvl w:ilvl="1" w:tplc="B8368D76">
      <w:start w:val="1"/>
      <w:numFmt w:val="bullet"/>
      <w:lvlText w:val=""/>
      <w:lvlJc w:val="left"/>
      <w:pPr>
        <w:ind w:left="675" w:hanging="360"/>
      </w:pPr>
      <w:rPr>
        <w:rFonts w:ascii="Symbol" w:eastAsia="Symbol" w:hAnsi="Symbol" w:hint="default"/>
        <w:w w:val="99"/>
        <w:sz w:val="20"/>
        <w:szCs w:val="20"/>
      </w:rPr>
    </w:lvl>
    <w:lvl w:ilvl="2" w:tplc="8E421742">
      <w:start w:val="1"/>
      <w:numFmt w:val="bullet"/>
      <w:lvlText w:val="o"/>
      <w:lvlJc w:val="left"/>
      <w:pPr>
        <w:ind w:left="1035" w:hanging="360"/>
      </w:pPr>
      <w:rPr>
        <w:rFonts w:ascii="Courier New" w:eastAsia="Courier New" w:hAnsi="Courier New" w:hint="default"/>
        <w:w w:val="99"/>
        <w:sz w:val="20"/>
        <w:szCs w:val="20"/>
      </w:rPr>
    </w:lvl>
    <w:lvl w:ilvl="3" w:tplc="BCE2C232">
      <w:start w:val="1"/>
      <w:numFmt w:val="bullet"/>
      <w:lvlText w:val="•"/>
      <w:lvlJc w:val="left"/>
      <w:pPr>
        <w:ind w:left="1033" w:hanging="360"/>
      </w:pPr>
      <w:rPr>
        <w:rFonts w:hint="default"/>
      </w:rPr>
    </w:lvl>
    <w:lvl w:ilvl="4" w:tplc="741CE324">
      <w:start w:val="1"/>
      <w:numFmt w:val="bullet"/>
      <w:lvlText w:val="•"/>
      <w:lvlJc w:val="left"/>
      <w:pPr>
        <w:ind w:left="1035" w:hanging="360"/>
      </w:pPr>
      <w:rPr>
        <w:rFonts w:hint="default"/>
      </w:rPr>
    </w:lvl>
    <w:lvl w:ilvl="5" w:tplc="694AD694">
      <w:start w:val="1"/>
      <w:numFmt w:val="bullet"/>
      <w:lvlText w:val="•"/>
      <w:lvlJc w:val="left"/>
      <w:pPr>
        <w:ind w:left="1395" w:hanging="360"/>
      </w:pPr>
      <w:rPr>
        <w:rFonts w:hint="default"/>
      </w:rPr>
    </w:lvl>
    <w:lvl w:ilvl="6" w:tplc="786090F4">
      <w:start w:val="1"/>
      <w:numFmt w:val="bullet"/>
      <w:lvlText w:val="•"/>
      <w:lvlJc w:val="left"/>
      <w:pPr>
        <w:ind w:left="3118" w:hanging="360"/>
      </w:pPr>
      <w:rPr>
        <w:rFonts w:hint="default"/>
      </w:rPr>
    </w:lvl>
    <w:lvl w:ilvl="7" w:tplc="47527E1A">
      <w:start w:val="1"/>
      <w:numFmt w:val="bullet"/>
      <w:lvlText w:val="•"/>
      <w:lvlJc w:val="left"/>
      <w:pPr>
        <w:ind w:left="4841" w:hanging="360"/>
      </w:pPr>
      <w:rPr>
        <w:rFonts w:hint="default"/>
      </w:rPr>
    </w:lvl>
    <w:lvl w:ilvl="8" w:tplc="2284A4EC">
      <w:start w:val="1"/>
      <w:numFmt w:val="bullet"/>
      <w:lvlText w:val="•"/>
      <w:lvlJc w:val="left"/>
      <w:pPr>
        <w:ind w:left="6563" w:hanging="360"/>
      </w:pPr>
      <w:rPr>
        <w:rFonts w:hint="default"/>
      </w:rPr>
    </w:lvl>
  </w:abstractNum>
  <w:abstractNum w:abstractNumId="66" w15:restartNumberingAfterBreak="0">
    <w:nsid w:val="3F7A5E3A"/>
    <w:multiLevelType w:val="hybridMultilevel"/>
    <w:tmpl w:val="9782FDDC"/>
    <w:lvl w:ilvl="0" w:tplc="7A22F764">
      <w:start w:val="1"/>
      <w:numFmt w:val="bullet"/>
      <w:lvlText w:val="•"/>
      <w:lvlJc w:val="left"/>
      <w:pPr>
        <w:ind w:left="360" w:hanging="360"/>
      </w:pPr>
      <w:rPr>
        <w:rFonts w:ascii="Arial" w:hAnsi="Arial" w:hint="default"/>
        <w:color w:val="081DA4" w:themeColor="accent1"/>
        <w:sz w:val="20"/>
      </w:rPr>
    </w:lvl>
    <w:lvl w:ilvl="1" w:tplc="829893D4">
      <w:start w:val="1"/>
      <w:numFmt w:val="bullet"/>
      <w:pStyle w:val="ListBullet2"/>
      <w:lvlText w:val="-"/>
      <w:lvlJc w:val="left"/>
      <w:pPr>
        <w:ind w:left="1080" w:hanging="360"/>
      </w:pPr>
      <w:rPr>
        <w:rFonts w:ascii="Arial" w:hAnsi="Arial" w:hint="default"/>
        <w:color w:val="081DA4" w:themeColor="accent1"/>
        <w:sz w:val="20"/>
      </w:rPr>
    </w:lvl>
    <w:lvl w:ilvl="2" w:tplc="8FBC8412">
      <w:start w:val="1"/>
      <w:numFmt w:val="bullet"/>
      <w:pStyle w:val="ListBullet3"/>
      <w:lvlText w:val="o"/>
      <w:lvlJc w:val="left"/>
      <w:pPr>
        <w:ind w:left="1800" w:hanging="360"/>
      </w:pPr>
      <w:rPr>
        <w:rFonts w:ascii="Courier New" w:hAnsi="Courier New" w:hint="default"/>
        <w:color w:val="081DA4" w:themeColor="accent1"/>
      </w:rPr>
    </w:lvl>
    <w:lvl w:ilvl="3" w:tplc="0C090001" w:tentative="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401400D2"/>
    <w:multiLevelType w:val="multilevel"/>
    <w:tmpl w:val="727C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1F52392"/>
    <w:multiLevelType w:val="hybridMultilevel"/>
    <w:tmpl w:val="9C4EF180"/>
    <w:lvl w:ilvl="0" w:tplc="4086C842">
      <w:start w:val="1"/>
      <w:numFmt w:val="bullet"/>
      <w:lvlText w:val=""/>
      <w:lvlJc w:val="left"/>
      <w:pPr>
        <w:ind w:left="1420" w:hanging="360"/>
      </w:pPr>
      <w:rPr>
        <w:rFonts w:ascii="Symbol" w:hAnsi="Symbol"/>
      </w:rPr>
    </w:lvl>
    <w:lvl w:ilvl="1" w:tplc="2018799E">
      <w:start w:val="1"/>
      <w:numFmt w:val="bullet"/>
      <w:lvlText w:val=""/>
      <w:lvlJc w:val="left"/>
      <w:pPr>
        <w:ind w:left="1420" w:hanging="360"/>
      </w:pPr>
      <w:rPr>
        <w:rFonts w:ascii="Symbol" w:hAnsi="Symbol"/>
      </w:rPr>
    </w:lvl>
    <w:lvl w:ilvl="2" w:tplc="1B0887D6">
      <w:start w:val="1"/>
      <w:numFmt w:val="bullet"/>
      <w:lvlText w:val=""/>
      <w:lvlJc w:val="left"/>
      <w:pPr>
        <w:ind w:left="1420" w:hanging="360"/>
      </w:pPr>
      <w:rPr>
        <w:rFonts w:ascii="Symbol" w:hAnsi="Symbol"/>
      </w:rPr>
    </w:lvl>
    <w:lvl w:ilvl="3" w:tplc="A872C40E">
      <w:start w:val="1"/>
      <w:numFmt w:val="bullet"/>
      <w:lvlText w:val=""/>
      <w:lvlJc w:val="left"/>
      <w:pPr>
        <w:ind w:left="1420" w:hanging="360"/>
      </w:pPr>
      <w:rPr>
        <w:rFonts w:ascii="Symbol" w:hAnsi="Symbol"/>
      </w:rPr>
    </w:lvl>
    <w:lvl w:ilvl="4" w:tplc="CE042946">
      <w:start w:val="1"/>
      <w:numFmt w:val="bullet"/>
      <w:lvlText w:val=""/>
      <w:lvlJc w:val="left"/>
      <w:pPr>
        <w:ind w:left="1420" w:hanging="360"/>
      </w:pPr>
      <w:rPr>
        <w:rFonts w:ascii="Symbol" w:hAnsi="Symbol"/>
      </w:rPr>
    </w:lvl>
    <w:lvl w:ilvl="5" w:tplc="BA68AFF2">
      <w:start w:val="1"/>
      <w:numFmt w:val="bullet"/>
      <w:lvlText w:val=""/>
      <w:lvlJc w:val="left"/>
      <w:pPr>
        <w:ind w:left="1420" w:hanging="360"/>
      </w:pPr>
      <w:rPr>
        <w:rFonts w:ascii="Symbol" w:hAnsi="Symbol"/>
      </w:rPr>
    </w:lvl>
    <w:lvl w:ilvl="6" w:tplc="57E46178">
      <w:start w:val="1"/>
      <w:numFmt w:val="bullet"/>
      <w:lvlText w:val=""/>
      <w:lvlJc w:val="left"/>
      <w:pPr>
        <w:ind w:left="1420" w:hanging="360"/>
      </w:pPr>
      <w:rPr>
        <w:rFonts w:ascii="Symbol" w:hAnsi="Symbol"/>
      </w:rPr>
    </w:lvl>
    <w:lvl w:ilvl="7" w:tplc="CFB295D8">
      <w:start w:val="1"/>
      <w:numFmt w:val="bullet"/>
      <w:lvlText w:val=""/>
      <w:lvlJc w:val="left"/>
      <w:pPr>
        <w:ind w:left="1420" w:hanging="360"/>
      </w:pPr>
      <w:rPr>
        <w:rFonts w:ascii="Symbol" w:hAnsi="Symbol"/>
      </w:rPr>
    </w:lvl>
    <w:lvl w:ilvl="8" w:tplc="20E0B2CA">
      <w:start w:val="1"/>
      <w:numFmt w:val="bullet"/>
      <w:lvlText w:val=""/>
      <w:lvlJc w:val="left"/>
      <w:pPr>
        <w:ind w:left="1420" w:hanging="360"/>
      </w:pPr>
      <w:rPr>
        <w:rFonts w:ascii="Symbol" w:hAnsi="Symbol"/>
      </w:rPr>
    </w:lvl>
  </w:abstractNum>
  <w:abstractNum w:abstractNumId="69" w15:restartNumberingAfterBreak="0">
    <w:nsid w:val="43EC7397"/>
    <w:multiLevelType w:val="hybridMultilevel"/>
    <w:tmpl w:val="4DA41AD2"/>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70" w15:restartNumberingAfterBreak="0">
    <w:nsid w:val="48135609"/>
    <w:multiLevelType w:val="multilevel"/>
    <w:tmpl w:val="C92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B0703F2"/>
    <w:multiLevelType w:val="hybridMultilevel"/>
    <w:tmpl w:val="24CC2F0C"/>
    <w:lvl w:ilvl="0" w:tplc="27101C56">
      <w:start w:val="1"/>
      <w:numFmt w:val="bullet"/>
      <w:lvlText w:val=""/>
      <w:lvlJc w:val="left"/>
      <w:pPr>
        <w:ind w:left="1420" w:hanging="360"/>
      </w:pPr>
      <w:rPr>
        <w:rFonts w:ascii="Symbol" w:hAnsi="Symbol"/>
      </w:rPr>
    </w:lvl>
    <w:lvl w:ilvl="1" w:tplc="80B4DF08">
      <w:start w:val="1"/>
      <w:numFmt w:val="bullet"/>
      <w:lvlText w:val=""/>
      <w:lvlJc w:val="left"/>
      <w:pPr>
        <w:ind w:left="1420" w:hanging="360"/>
      </w:pPr>
      <w:rPr>
        <w:rFonts w:ascii="Symbol" w:hAnsi="Symbol"/>
      </w:rPr>
    </w:lvl>
    <w:lvl w:ilvl="2" w:tplc="B36CDB8E">
      <w:start w:val="1"/>
      <w:numFmt w:val="bullet"/>
      <w:lvlText w:val=""/>
      <w:lvlJc w:val="left"/>
      <w:pPr>
        <w:ind w:left="1420" w:hanging="360"/>
      </w:pPr>
      <w:rPr>
        <w:rFonts w:ascii="Symbol" w:hAnsi="Symbol"/>
      </w:rPr>
    </w:lvl>
    <w:lvl w:ilvl="3" w:tplc="5C500312">
      <w:start w:val="1"/>
      <w:numFmt w:val="bullet"/>
      <w:lvlText w:val=""/>
      <w:lvlJc w:val="left"/>
      <w:pPr>
        <w:ind w:left="1420" w:hanging="360"/>
      </w:pPr>
      <w:rPr>
        <w:rFonts w:ascii="Symbol" w:hAnsi="Symbol"/>
      </w:rPr>
    </w:lvl>
    <w:lvl w:ilvl="4" w:tplc="1E086DC6">
      <w:start w:val="1"/>
      <w:numFmt w:val="bullet"/>
      <w:lvlText w:val=""/>
      <w:lvlJc w:val="left"/>
      <w:pPr>
        <w:ind w:left="1420" w:hanging="360"/>
      </w:pPr>
      <w:rPr>
        <w:rFonts w:ascii="Symbol" w:hAnsi="Symbol"/>
      </w:rPr>
    </w:lvl>
    <w:lvl w:ilvl="5" w:tplc="C1E87E78">
      <w:start w:val="1"/>
      <w:numFmt w:val="bullet"/>
      <w:lvlText w:val=""/>
      <w:lvlJc w:val="left"/>
      <w:pPr>
        <w:ind w:left="1420" w:hanging="360"/>
      </w:pPr>
      <w:rPr>
        <w:rFonts w:ascii="Symbol" w:hAnsi="Symbol"/>
      </w:rPr>
    </w:lvl>
    <w:lvl w:ilvl="6" w:tplc="57B88FA2">
      <w:start w:val="1"/>
      <w:numFmt w:val="bullet"/>
      <w:lvlText w:val=""/>
      <w:lvlJc w:val="left"/>
      <w:pPr>
        <w:ind w:left="1420" w:hanging="360"/>
      </w:pPr>
      <w:rPr>
        <w:rFonts w:ascii="Symbol" w:hAnsi="Symbol"/>
      </w:rPr>
    </w:lvl>
    <w:lvl w:ilvl="7" w:tplc="C9D45C30">
      <w:start w:val="1"/>
      <w:numFmt w:val="bullet"/>
      <w:lvlText w:val=""/>
      <w:lvlJc w:val="left"/>
      <w:pPr>
        <w:ind w:left="1420" w:hanging="360"/>
      </w:pPr>
      <w:rPr>
        <w:rFonts w:ascii="Symbol" w:hAnsi="Symbol"/>
      </w:rPr>
    </w:lvl>
    <w:lvl w:ilvl="8" w:tplc="2EF26F70">
      <w:start w:val="1"/>
      <w:numFmt w:val="bullet"/>
      <w:lvlText w:val=""/>
      <w:lvlJc w:val="left"/>
      <w:pPr>
        <w:ind w:left="1420" w:hanging="360"/>
      </w:pPr>
      <w:rPr>
        <w:rFonts w:ascii="Symbol" w:hAnsi="Symbol"/>
      </w:rPr>
    </w:lvl>
  </w:abstractNum>
  <w:abstractNum w:abstractNumId="72" w15:restartNumberingAfterBreak="0">
    <w:nsid w:val="4B205230"/>
    <w:multiLevelType w:val="hybridMultilevel"/>
    <w:tmpl w:val="936AAD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4B2C206F"/>
    <w:multiLevelType w:val="multilevel"/>
    <w:tmpl w:val="D2443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BD57D52"/>
    <w:multiLevelType w:val="multilevel"/>
    <w:tmpl w:val="1DA80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E170301"/>
    <w:multiLevelType w:val="hybridMultilevel"/>
    <w:tmpl w:val="F4560B72"/>
    <w:lvl w:ilvl="0" w:tplc="7CCAD7C4">
      <w:start w:val="1"/>
      <w:numFmt w:val="bullet"/>
      <w:lvlText w:val=""/>
      <w:lvlJc w:val="left"/>
      <w:pPr>
        <w:ind w:left="1280" w:hanging="360"/>
      </w:pPr>
      <w:rPr>
        <w:rFonts w:ascii="Symbol" w:hAnsi="Symbol"/>
      </w:rPr>
    </w:lvl>
    <w:lvl w:ilvl="1" w:tplc="2572F7F2">
      <w:start w:val="1"/>
      <w:numFmt w:val="bullet"/>
      <w:lvlText w:val=""/>
      <w:lvlJc w:val="left"/>
      <w:pPr>
        <w:ind w:left="1280" w:hanging="360"/>
      </w:pPr>
      <w:rPr>
        <w:rFonts w:ascii="Symbol" w:hAnsi="Symbol"/>
      </w:rPr>
    </w:lvl>
    <w:lvl w:ilvl="2" w:tplc="CACA44D6">
      <w:start w:val="1"/>
      <w:numFmt w:val="bullet"/>
      <w:lvlText w:val=""/>
      <w:lvlJc w:val="left"/>
      <w:pPr>
        <w:ind w:left="1280" w:hanging="360"/>
      </w:pPr>
      <w:rPr>
        <w:rFonts w:ascii="Symbol" w:hAnsi="Symbol"/>
      </w:rPr>
    </w:lvl>
    <w:lvl w:ilvl="3" w:tplc="2A626ABE">
      <w:start w:val="1"/>
      <w:numFmt w:val="bullet"/>
      <w:lvlText w:val=""/>
      <w:lvlJc w:val="left"/>
      <w:pPr>
        <w:ind w:left="1280" w:hanging="360"/>
      </w:pPr>
      <w:rPr>
        <w:rFonts w:ascii="Symbol" w:hAnsi="Symbol"/>
      </w:rPr>
    </w:lvl>
    <w:lvl w:ilvl="4" w:tplc="559CD9AE">
      <w:start w:val="1"/>
      <w:numFmt w:val="bullet"/>
      <w:lvlText w:val=""/>
      <w:lvlJc w:val="left"/>
      <w:pPr>
        <w:ind w:left="1280" w:hanging="360"/>
      </w:pPr>
      <w:rPr>
        <w:rFonts w:ascii="Symbol" w:hAnsi="Symbol"/>
      </w:rPr>
    </w:lvl>
    <w:lvl w:ilvl="5" w:tplc="626078AA">
      <w:start w:val="1"/>
      <w:numFmt w:val="bullet"/>
      <w:lvlText w:val=""/>
      <w:lvlJc w:val="left"/>
      <w:pPr>
        <w:ind w:left="1280" w:hanging="360"/>
      </w:pPr>
      <w:rPr>
        <w:rFonts w:ascii="Symbol" w:hAnsi="Symbol"/>
      </w:rPr>
    </w:lvl>
    <w:lvl w:ilvl="6" w:tplc="853246D8">
      <w:start w:val="1"/>
      <w:numFmt w:val="bullet"/>
      <w:lvlText w:val=""/>
      <w:lvlJc w:val="left"/>
      <w:pPr>
        <w:ind w:left="1280" w:hanging="360"/>
      </w:pPr>
      <w:rPr>
        <w:rFonts w:ascii="Symbol" w:hAnsi="Symbol"/>
      </w:rPr>
    </w:lvl>
    <w:lvl w:ilvl="7" w:tplc="26E23216">
      <w:start w:val="1"/>
      <w:numFmt w:val="bullet"/>
      <w:lvlText w:val=""/>
      <w:lvlJc w:val="left"/>
      <w:pPr>
        <w:ind w:left="1280" w:hanging="360"/>
      </w:pPr>
      <w:rPr>
        <w:rFonts w:ascii="Symbol" w:hAnsi="Symbol"/>
      </w:rPr>
    </w:lvl>
    <w:lvl w:ilvl="8" w:tplc="C06433F4">
      <w:start w:val="1"/>
      <w:numFmt w:val="bullet"/>
      <w:lvlText w:val=""/>
      <w:lvlJc w:val="left"/>
      <w:pPr>
        <w:ind w:left="1280" w:hanging="360"/>
      </w:pPr>
      <w:rPr>
        <w:rFonts w:ascii="Symbol" w:hAnsi="Symbol"/>
      </w:rPr>
    </w:lvl>
  </w:abstractNum>
  <w:abstractNum w:abstractNumId="76" w15:restartNumberingAfterBreak="0">
    <w:nsid w:val="512F4F9B"/>
    <w:multiLevelType w:val="hybridMultilevel"/>
    <w:tmpl w:val="9E4AF492"/>
    <w:lvl w:ilvl="0" w:tplc="FFFFFFFF">
      <w:start w:val="1"/>
      <w:numFmt w:val="lowerRoman"/>
      <w:lvlText w:val="%1."/>
      <w:lvlJc w:val="left"/>
      <w:pPr>
        <w:ind w:left="720" w:hanging="720"/>
      </w:pPr>
      <w:rPr>
        <w:rFonts w:hint="default"/>
        <w:color w:val="081DA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52C22DC7"/>
    <w:multiLevelType w:val="hybridMultilevel"/>
    <w:tmpl w:val="DC16D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545A5515"/>
    <w:multiLevelType w:val="hybridMultilevel"/>
    <w:tmpl w:val="B40E32BC"/>
    <w:lvl w:ilvl="0" w:tplc="B75CCAD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54EA5752"/>
    <w:multiLevelType w:val="hybridMultilevel"/>
    <w:tmpl w:val="F872F57E"/>
    <w:lvl w:ilvl="0" w:tplc="BD2E03A0">
      <w:start w:val="1"/>
      <w:numFmt w:val="bullet"/>
      <w:pStyle w:val="ListBullettable"/>
      <w:lvlText w:val=""/>
      <w:lvlJc w:val="left"/>
      <w:pPr>
        <w:tabs>
          <w:tab w:val="num" w:pos="530"/>
        </w:tabs>
        <w:ind w:left="510" w:hanging="340"/>
      </w:pPr>
      <w:rPr>
        <w:rFonts w:ascii="Wingdings" w:hAnsi="Wingdings" w:hint="default"/>
        <w:sz w:val="22"/>
      </w:rPr>
    </w:lvl>
    <w:lvl w:ilvl="1" w:tplc="FFFFFFFF">
      <w:start w:val="1"/>
      <w:numFmt w:val="bullet"/>
      <w:lvlText w:val=""/>
      <w:legacy w:legacy="1" w:legacySpace="360" w:legacyIndent="360"/>
      <w:lvlJc w:val="left"/>
      <w:pPr>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9CF1E60"/>
    <w:multiLevelType w:val="hybridMultilevel"/>
    <w:tmpl w:val="058AF43E"/>
    <w:lvl w:ilvl="0" w:tplc="A9D4B3AA">
      <w:start w:val="1"/>
      <w:numFmt w:val="bullet"/>
      <w:lvlText w:val=""/>
      <w:lvlJc w:val="left"/>
      <w:pPr>
        <w:ind w:left="1420" w:hanging="360"/>
      </w:pPr>
      <w:rPr>
        <w:rFonts w:ascii="Symbol" w:hAnsi="Symbol"/>
      </w:rPr>
    </w:lvl>
    <w:lvl w:ilvl="1" w:tplc="1EAABAF8">
      <w:start w:val="1"/>
      <w:numFmt w:val="bullet"/>
      <w:lvlText w:val=""/>
      <w:lvlJc w:val="left"/>
      <w:pPr>
        <w:ind w:left="1420" w:hanging="360"/>
      </w:pPr>
      <w:rPr>
        <w:rFonts w:ascii="Symbol" w:hAnsi="Symbol"/>
      </w:rPr>
    </w:lvl>
    <w:lvl w:ilvl="2" w:tplc="46D4B462">
      <w:start w:val="1"/>
      <w:numFmt w:val="bullet"/>
      <w:lvlText w:val=""/>
      <w:lvlJc w:val="left"/>
      <w:pPr>
        <w:ind w:left="1420" w:hanging="360"/>
      </w:pPr>
      <w:rPr>
        <w:rFonts w:ascii="Symbol" w:hAnsi="Symbol"/>
      </w:rPr>
    </w:lvl>
    <w:lvl w:ilvl="3" w:tplc="C37AAC76">
      <w:start w:val="1"/>
      <w:numFmt w:val="bullet"/>
      <w:lvlText w:val=""/>
      <w:lvlJc w:val="left"/>
      <w:pPr>
        <w:ind w:left="1420" w:hanging="360"/>
      </w:pPr>
      <w:rPr>
        <w:rFonts w:ascii="Symbol" w:hAnsi="Symbol"/>
      </w:rPr>
    </w:lvl>
    <w:lvl w:ilvl="4" w:tplc="95F69C90">
      <w:start w:val="1"/>
      <w:numFmt w:val="bullet"/>
      <w:lvlText w:val=""/>
      <w:lvlJc w:val="left"/>
      <w:pPr>
        <w:ind w:left="1420" w:hanging="360"/>
      </w:pPr>
      <w:rPr>
        <w:rFonts w:ascii="Symbol" w:hAnsi="Symbol"/>
      </w:rPr>
    </w:lvl>
    <w:lvl w:ilvl="5" w:tplc="ADA4FF6A">
      <w:start w:val="1"/>
      <w:numFmt w:val="bullet"/>
      <w:lvlText w:val=""/>
      <w:lvlJc w:val="left"/>
      <w:pPr>
        <w:ind w:left="1420" w:hanging="360"/>
      </w:pPr>
      <w:rPr>
        <w:rFonts w:ascii="Symbol" w:hAnsi="Symbol"/>
      </w:rPr>
    </w:lvl>
    <w:lvl w:ilvl="6" w:tplc="0F4A0642">
      <w:start w:val="1"/>
      <w:numFmt w:val="bullet"/>
      <w:lvlText w:val=""/>
      <w:lvlJc w:val="left"/>
      <w:pPr>
        <w:ind w:left="1420" w:hanging="360"/>
      </w:pPr>
      <w:rPr>
        <w:rFonts w:ascii="Symbol" w:hAnsi="Symbol"/>
      </w:rPr>
    </w:lvl>
    <w:lvl w:ilvl="7" w:tplc="5CE09884">
      <w:start w:val="1"/>
      <w:numFmt w:val="bullet"/>
      <w:lvlText w:val=""/>
      <w:lvlJc w:val="left"/>
      <w:pPr>
        <w:ind w:left="1420" w:hanging="360"/>
      </w:pPr>
      <w:rPr>
        <w:rFonts w:ascii="Symbol" w:hAnsi="Symbol"/>
      </w:rPr>
    </w:lvl>
    <w:lvl w:ilvl="8" w:tplc="7870EFEC">
      <w:start w:val="1"/>
      <w:numFmt w:val="bullet"/>
      <w:lvlText w:val=""/>
      <w:lvlJc w:val="left"/>
      <w:pPr>
        <w:ind w:left="1420" w:hanging="360"/>
      </w:pPr>
      <w:rPr>
        <w:rFonts w:ascii="Symbol" w:hAnsi="Symbol"/>
      </w:rPr>
    </w:lvl>
  </w:abstractNum>
  <w:abstractNum w:abstractNumId="81" w15:restartNumberingAfterBreak="0">
    <w:nsid w:val="5C4B6C65"/>
    <w:multiLevelType w:val="multilevel"/>
    <w:tmpl w:val="490E0C2C"/>
    <w:styleLink w:val="ATOIntroBullets"/>
    <w:lvl w:ilvl="0">
      <w:start w:val="1"/>
      <w:numFmt w:val="decimal"/>
      <w:lvlText w:val="%1."/>
      <w:lvlJc w:val="left"/>
      <w:pPr>
        <w:ind w:left="397" w:hanging="397"/>
      </w:pPr>
      <w:rPr>
        <w:rFonts w:hint="default"/>
        <w:b/>
        <w:i w:val="0"/>
        <w:color w:val="081DA4" w:themeColor="accent1"/>
        <w:spacing w:val="0"/>
        <w:w w:val="100"/>
        <w:sz w:val="32"/>
      </w:rPr>
    </w:lvl>
    <w:lvl w:ilvl="1">
      <w:start w:val="1"/>
      <w:numFmt w:val="decimal"/>
      <w:lvlText w:val="%1.%2"/>
      <w:lvlJc w:val="left"/>
      <w:pPr>
        <w:ind w:left="680" w:hanging="680"/>
      </w:pPr>
      <w:rPr>
        <w:rFonts w:hint="default"/>
        <w:b/>
        <w:i w:val="0"/>
        <w:color w:val="FBEC92" w:themeColor="accent5"/>
        <w:spacing w:val="0"/>
        <w:w w:val="100"/>
        <w:sz w:val="30"/>
      </w:rPr>
    </w:lvl>
    <w:lvl w:ilvl="2">
      <w:start w:val="1"/>
      <w:numFmt w:val="decimal"/>
      <w:lvlText w:val="%1.%2.%3"/>
      <w:lvlJc w:val="left"/>
      <w:pPr>
        <w:ind w:left="964" w:hanging="964"/>
      </w:pPr>
      <w:rPr>
        <w:rFonts w:hint="default"/>
        <w:b/>
        <w:i w:val="0"/>
        <w:color w:val="FBEC92" w:themeColor="accent5"/>
        <w:spacing w:val="0"/>
        <w:w w:val="100"/>
        <w:sz w:val="26"/>
      </w:rPr>
    </w:lvl>
    <w:lvl w:ilvl="3">
      <w:start w:val="1"/>
      <w:numFmt w:val="decimal"/>
      <w:lvlText w:val="%1.%2.%3.%4"/>
      <w:lvlJc w:val="left"/>
      <w:pPr>
        <w:ind w:left="964" w:hanging="964"/>
      </w:pPr>
      <w:rPr>
        <w:rFonts w:hint="default"/>
        <w:b/>
        <w:i w:val="0"/>
        <w:color w:val="FBEC92" w:themeColor="accent5"/>
        <w:spacing w:val="0"/>
        <w:w w:val="100"/>
        <w:sz w:val="24"/>
      </w:rPr>
    </w:lvl>
    <w:lvl w:ilvl="4">
      <w:start w:val="1"/>
      <w:numFmt w:val="decimal"/>
      <w:pStyle w:val="Heading5Numbered"/>
      <w:lvlText w:val="%1.%2.%3.%4.%5"/>
      <w:lvlJc w:val="left"/>
      <w:pPr>
        <w:ind w:left="1418" w:hanging="1418"/>
      </w:pPr>
      <w:rPr>
        <w:rFonts w:hint="default"/>
        <w:b w:val="0"/>
        <w:i w:val="0"/>
        <w:color w:val="081DA4" w:themeColor="text2"/>
        <w:sz w:val="24"/>
      </w:rPr>
    </w:lvl>
    <w:lvl w:ilvl="5">
      <w:start w:val="1"/>
      <w:numFmt w:val="decimal"/>
      <w:pStyle w:val="Heading6Numbered"/>
      <w:lvlText w:val="%1.%2.%3.%4.%5.%6"/>
      <w:lvlJc w:val="left"/>
      <w:pPr>
        <w:ind w:left="1701" w:hanging="1701"/>
      </w:pPr>
      <w:rPr>
        <w:rFonts w:hint="default"/>
        <w:b w:val="0"/>
        <w:i/>
        <w:color w:val="081DA4" w:themeColor="text2"/>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5C557064"/>
    <w:multiLevelType w:val="hybridMultilevel"/>
    <w:tmpl w:val="0BF070CE"/>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5CAC6FB3"/>
    <w:multiLevelType w:val="hybridMultilevel"/>
    <w:tmpl w:val="08C8313E"/>
    <w:lvl w:ilvl="0" w:tplc="7292C6C2">
      <w:start w:val="1"/>
      <w:numFmt w:val="lowerRoman"/>
      <w:lvlText w:val="(%1)"/>
      <w:lvlJc w:val="left"/>
      <w:pPr>
        <w:ind w:left="414" w:hanging="257"/>
      </w:pPr>
      <w:rPr>
        <w:rFonts w:ascii="Calibri" w:eastAsia="Calibri" w:hAnsi="Calibri" w:hint="default"/>
        <w:i/>
        <w:spacing w:val="-1"/>
        <w:w w:val="99"/>
        <w:sz w:val="20"/>
        <w:szCs w:val="20"/>
      </w:rPr>
    </w:lvl>
    <w:lvl w:ilvl="1" w:tplc="B8368D76">
      <w:start w:val="1"/>
      <w:numFmt w:val="bullet"/>
      <w:lvlText w:val=""/>
      <w:lvlJc w:val="left"/>
      <w:pPr>
        <w:ind w:left="832" w:hanging="360"/>
      </w:pPr>
      <w:rPr>
        <w:rFonts w:ascii="Symbol" w:eastAsia="Symbol" w:hAnsi="Symbol" w:hint="default"/>
        <w:w w:val="99"/>
        <w:sz w:val="20"/>
        <w:szCs w:val="20"/>
      </w:rPr>
    </w:lvl>
    <w:lvl w:ilvl="2" w:tplc="8E421742">
      <w:start w:val="1"/>
      <w:numFmt w:val="bullet"/>
      <w:lvlText w:val="o"/>
      <w:lvlJc w:val="left"/>
      <w:pPr>
        <w:ind w:left="1192" w:hanging="360"/>
      </w:pPr>
      <w:rPr>
        <w:rFonts w:ascii="Courier New" w:eastAsia="Courier New" w:hAnsi="Courier New" w:hint="default"/>
        <w:w w:val="99"/>
        <w:sz w:val="20"/>
        <w:szCs w:val="20"/>
      </w:rPr>
    </w:lvl>
    <w:lvl w:ilvl="3" w:tplc="BCE2C232">
      <w:start w:val="1"/>
      <w:numFmt w:val="bullet"/>
      <w:lvlText w:val="•"/>
      <w:lvlJc w:val="left"/>
      <w:pPr>
        <w:ind w:left="1190" w:hanging="360"/>
      </w:pPr>
      <w:rPr>
        <w:rFonts w:hint="default"/>
      </w:rPr>
    </w:lvl>
    <w:lvl w:ilvl="4" w:tplc="741CE324">
      <w:start w:val="1"/>
      <w:numFmt w:val="bullet"/>
      <w:lvlText w:val="•"/>
      <w:lvlJc w:val="left"/>
      <w:pPr>
        <w:ind w:left="1192" w:hanging="360"/>
      </w:pPr>
      <w:rPr>
        <w:rFonts w:hint="default"/>
      </w:rPr>
    </w:lvl>
    <w:lvl w:ilvl="5" w:tplc="694AD694">
      <w:start w:val="1"/>
      <w:numFmt w:val="bullet"/>
      <w:lvlText w:val="•"/>
      <w:lvlJc w:val="left"/>
      <w:pPr>
        <w:ind w:left="1552" w:hanging="360"/>
      </w:pPr>
      <w:rPr>
        <w:rFonts w:hint="default"/>
      </w:rPr>
    </w:lvl>
    <w:lvl w:ilvl="6" w:tplc="786090F4">
      <w:start w:val="1"/>
      <w:numFmt w:val="bullet"/>
      <w:lvlText w:val="•"/>
      <w:lvlJc w:val="left"/>
      <w:pPr>
        <w:ind w:left="3275" w:hanging="360"/>
      </w:pPr>
      <w:rPr>
        <w:rFonts w:hint="default"/>
      </w:rPr>
    </w:lvl>
    <w:lvl w:ilvl="7" w:tplc="47527E1A">
      <w:start w:val="1"/>
      <w:numFmt w:val="bullet"/>
      <w:lvlText w:val="•"/>
      <w:lvlJc w:val="left"/>
      <w:pPr>
        <w:ind w:left="4998" w:hanging="360"/>
      </w:pPr>
      <w:rPr>
        <w:rFonts w:hint="default"/>
      </w:rPr>
    </w:lvl>
    <w:lvl w:ilvl="8" w:tplc="2284A4EC">
      <w:start w:val="1"/>
      <w:numFmt w:val="bullet"/>
      <w:lvlText w:val="•"/>
      <w:lvlJc w:val="left"/>
      <w:pPr>
        <w:ind w:left="6720" w:hanging="360"/>
      </w:pPr>
      <w:rPr>
        <w:rFonts w:hint="default"/>
      </w:rPr>
    </w:lvl>
  </w:abstractNum>
  <w:abstractNum w:abstractNumId="84" w15:restartNumberingAfterBreak="0">
    <w:nsid w:val="5E9C40B6"/>
    <w:multiLevelType w:val="multilevel"/>
    <w:tmpl w:val="84AC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FA516A5"/>
    <w:multiLevelType w:val="multilevel"/>
    <w:tmpl w:val="CF44F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FE361A8"/>
    <w:multiLevelType w:val="hybridMultilevel"/>
    <w:tmpl w:val="9A923E62"/>
    <w:styleLink w:val="ACTLeaveNumbers"/>
    <w:lvl w:ilvl="0" w:tplc="E96C8AFE">
      <w:start w:val="1"/>
      <w:numFmt w:val="lowerRoman"/>
      <w:pStyle w:val="NotesNumber"/>
      <w:lvlText w:val="(%1)"/>
      <w:lvlJc w:val="left"/>
      <w:pPr>
        <w:tabs>
          <w:tab w:val="num" w:pos="1428"/>
        </w:tabs>
        <w:ind w:left="708" w:firstLine="0"/>
      </w:pPr>
      <w:rPr>
        <w:rFonts w:hint="default"/>
      </w:rPr>
    </w:lvl>
    <w:lvl w:ilvl="1" w:tplc="04090019">
      <w:start w:val="1"/>
      <w:numFmt w:val="lowerLetter"/>
      <w:lvlText w:val="%2."/>
      <w:lvlJc w:val="left"/>
      <w:pPr>
        <w:tabs>
          <w:tab w:val="num" w:pos="1004"/>
        </w:tabs>
        <w:ind w:left="1004" w:hanging="360"/>
      </w:pPr>
    </w:lvl>
    <w:lvl w:ilvl="2" w:tplc="0409001B">
      <w:start w:val="1"/>
      <w:numFmt w:val="lowerRoman"/>
      <w:lvlText w:val="%3."/>
      <w:lvlJc w:val="right"/>
      <w:pPr>
        <w:tabs>
          <w:tab w:val="num" w:pos="1724"/>
        </w:tabs>
        <w:ind w:left="1724" w:hanging="180"/>
      </w:pPr>
    </w:lvl>
    <w:lvl w:ilvl="3" w:tplc="0409000F" w:tentative="1">
      <w:start w:val="1"/>
      <w:numFmt w:val="decimal"/>
      <w:lvlText w:val="%4."/>
      <w:lvlJc w:val="left"/>
      <w:pPr>
        <w:tabs>
          <w:tab w:val="num" w:pos="2444"/>
        </w:tabs>
        <w:ind w:left="2444" w:hanging="360"/>
      </w:pPr>
    </w:lvl>
    <w:lvl w:ilvl="4" w:tplc="04090019" w:tentative="1">
      <w:start w:val="1"/>
      <w:numFmt w:val="lowerLetter"/>
      <w:lvlText w:val="%5."/>
      <w:lvlJc w:val="left"/>
      <w:pPr>
        <w:tabs>
          <w:tab w:val="num" w:pos="3164"/>
        </w:tabs>
        <w:ind w:left="3164" w:hanging="360"/>
      </w:pPr>
    </w:lvl>
    <w:lvl w:ilvl="5" w:tplc="0409001B" w:tentative="1">
      <w:start w:val="1"/>
      <w:numFmt w:val="lowerRoman"/>
      <w:lvlText w:val="%6."/>
      <w:lvlJc w:val="right"/>
      <w:pPr>
        <w:tabs>
          <w:tab w:val="num" w:pos="3884"/>
        </w:tabs>
        <w:ind w:left="3884" w:hanging="180"/>
      </w:pPr>
    </w:lvl>
    <w:lvl w:ilvl="6" w:tplc="0409000F" w:tentative="1">
      <w:start w:val="1"/>
      <w:numFmt w:val="decimal"/>
      <w:lvlText w:val="%7."/>
      <w:lvlJc w:val="left"/>
      <w:pPr>
        <w:tabs>
          <w:tab w:val="num" w:pos="4604"/>
        </w:tabs>
        <w:ind w:left="4604" w:hanging="360"/>
      </w:pPr>
    </w:lvl>
    <w:lvl w:ilvl="7" w:tplc="04090019" w:tentative="1">
      <w:start w:val="1"/>
      <w:numFmt w:val="lowerLetter"/>
      <w:lvlText w:val="%8."/>
      <w:lvlJc w:val="left"/>
      <w:pPr>
        <w:tabs>
          <w:tab w:val="num" w:pos="5324"/>
        </w:tabs>
        <w:ind w:left="5324" w:hanging="360"/>
      </w:pPr>
    </w:lvl>
    <w:lvl w:ilvl="8" w:tplc="0409001B" w:tentative="1">
      <w:start w:val="1"/>
      <w:numFmt w:val="lowerRoman"/>
      <w:lvlText w:val="%9."/>
      <w:lvlJc w:val="right"/>
      <w:pPr>
        <w:tabs>
          <w:tab w:val="num" w:pos="6044"/>
        </w:tabs>
        <w:ind w:left="6044" w:hanging="180"/>
      </w:pPr>
    </w:lvl>
  </w:abstractNum>
  <w:abstractNum w:abstractNumId="87" w15:restartNumberingAfterBreak="0">
    <w:nsid w:val="60B835C2"/>
    <w:multiLevelType w:val="hybridMultilevel"/>
    <w:tmpl w:val="3FBEC152"/>
    <w:lvl w:ilvl="0" w:tplc="0C090019">
      <w:start w:val="1"/>
      <w:numFmt w:val="lowerLetter"/>
      <w:lvlText w:val="%1."/>
      <w:lvlJc w:val="left"/>
      <w:pPr>
        <w:ind w:left="502"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17A5E48"/>
    <w:multiLevelType w:val="hybridMultilevel"/>
    <w:tmpl w:val="569041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63533F82"/>
    <w:multiLevelType w:val="hybridMultilevel"/>
    <w:tmpl w:val="4D900068"/>
    <w:lvl w:ilvl="0" w:tplc="0F1E321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37F5C6C"/>
    <w:multiLevelType w:val="hybridMultilevel"/>
    <w:tmpl w:val="CD9A1F5E"/>
    <w:lvl w:ilvl="0" w:tplc="0C090001">
      <w:start w:val="1"/>
      <w:numFmt w:val="bullet"/>
      <w:lvlText w:val=""/>
      <w:lvlJc w:val="left"/>
      <w:pPr>
        <w:ind w:left="831" w:hanging="360"/>
      </w:pPr>
      <w:rPr>
        <w:rFonts w:ascii="Symbol" w:hAnsi="Symbol" w:hint="default"/>
      </w:rPr>
    </w:lvl>
    <w:lvl w:ilvl="1" w:tplc="0C090003" w:tentative="1">
      <w:start w:val="1"/>
      <w:numFmt w:val="bullet"/>
      <w:lvlText w:val="o"/>
      <w:lvlJc w:val="left"/>
      <w:pPr>
        <w:ind w:left="1551" w:hanging="360"/>
      </w:pPr>
      <w:rPr>
        <w:rFonts w:ascii="Courier New" w:hAnsi="Courier New" w:cs="Courier New" w:hint="default"/>
      </w:rPr>
    </w:lvl>
    <w:lvl w:ilvl="2" w:tplc="0C090005" w:tentative="1">
      <w:start w:val="1"/>
      <w:numFmt w:val="bullet"/>
      <w:lvlText w:val=""/>
      <w:lvlJc w:val="left"/>
      <w:pPr>
        <w:ind w:left="2271" w:hanging="360"/>
      </w:pPr>
      <w:rPr>
        <w:rFonts w:ascii="Wingdings" w:hAnsi="Wingdings" w:hint="default"/>
      </w:rPr>
    </w:lvl>
    <w:lvl w:ilvl="3" w:tplc="0C090001" w:tentative="1">
      <w:start w:val="1"/>
      <w:numFmt w:val="bullet"/>
      <w:lvlText w:val=""/>
      <w:lvlJc w:val="left"/>
      <w:pPr>
        <w:ind w:left="2991" w:hanging="360"/>
      </w:pPr>
      <w:rPr>
        <w:rFonts w:ascii="Symbol" w:hAnsi="Symbol" w:hint="default"/>
      </w:rPr>
    </w:lvl>
    <w:lvl w:ilvl="4" w:tplc="0C090003" w:tentative="1">
      <w:start w:val="1"/>
      <w:numFmt w:val="bullet"/>
      <w:lvlText w:val="o"/>
      <w:lvlJc w:val="left"/>
      <w:pPr>
        <w:ind w:left="3711" w:hanging="360"/>
      </w:pPr>
      <w:rPr>
        <w:rFonts w:ascii="Courier New" w:hAnsi="Courier New" w:cs="Courier New" w:hint="default"/>
      </w:rPr>
    </w:lvl>
    <w:lvl w:ilvl="5" w:tplc="0C090005" w:tentative="1">
      <w:start w:val="1"/>
      <w:numFmt w:val="bullet"/>
      <w:lvlText w:val=""/>
      <w:lvlJc w:val="left"/>
      <w:pPr>
        <w:ind w:left="4431" w:hanging="360"/>
      </w:pPr>
      <w:rPr>
        <w:rFonts w:ascii="Wingdings" w:hAnsi="Wingdings" w:hint="default"/>
      </w:rPr>
    </w:lvl>
    <w:lvl w:ilvl="6" w:tplc="0C090001" w:tentative="1">
      <w:start w:val="1"/>
      <w:numFmt w:val="bullet"/>
      <w:lvlText w:val=""/>
      <w:lvlJc w:val="left"/>
      <w:pPr>
        <w:ind w:left="5151" w:hanging="360"/>
      </w:pPr>
      <w:rPr>
        <w:rFonts w:ascii="Symbol" w:hAnsi="Symbol" w:hint="default"/>
      </w:rPr>
    </w:lvl>
    <w:lvl w:ilvl="7" w:tplc="0C090003" w:tentative="1">
      <w:start w:val="1"/>
      <w:numFmt w:val="bullet"/>
      <w:lvlText w:val="o"/>
      <w:lvlJc w:val="left"/>
      <w:pPr>
        <w:ind w:left="5871" w:hanging="360"/>
      </w:pPr>
      <w:rPr>
        <w:rFonts w:ascii="Courier New" w:hAnsi="Courier New" w:cs="Courier New" w:hint="default"/>
      </w:rPr>
    </w:lvl>
    <w:lvl w:ilvl="8" w:tplc="0C090005" w:tentative="1">
      <w:start w:val="1"/>
      <w:numFmt w:val="bullet"/>
      <w:lvlText w:val=""/>
      <w:lvlJc w:val="left"/>
      <w:pPr>
        <w:ind w:left="6591" w:hanging="360"/>
      </w:pPr>
      <w:rPr>
        <w:rFonts w:ascii="Wingdings" w:hAnsi="Wingdings" w:hint="default"/>
      </w:rPr>
    </w:lvl>
  </w:abstractNum>
  <w:abstractNum w:abstractNumId="91" w15:restartNumberingAfterBreak="0">
    <w:nsid w:val="639F0A1A"/>
    <w:multiLevelType w:val="hybridMultilevel"/>
    <w:tmpl w:val="14102B8C"/>
    <w:lvl w:ilvl="0" w:tplc="330A8BB6">
      <w:start w:val="1"/>
      <w:numFmt w:val="bullet"/>
      <w:pStyle w:val="ListBullet21"/>
      <w:lvlText w:val="-"/>
      <w:lvlJc w:val="left"/>
      <w:pPr>
        <w:ind w:left="720" w:hanging="360"/>
      </w:pPr>
      <w:rPr>
        <w:rFonts w:ascii="Arial" w:hAnsi="Arial" w:hint="default"/>
        <w:color w:val="081DA4" w:themeColor="accent1"/>
        <w:sz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640C7246"/>
    <w:multiLevelType w:val="hybridMultilevel"/>
    <w:tmpl w:val="754E9002"/>
    <w:lvl w:ilvl="0" w:tplc="FFFFFFFF">
      <w:start w:val="1"/>
      <w:numFmt w:val="lowerLetter"/>
      <w:lvlText w:val="(%1)"/>
      <w:lvlJc w:val="left"/>
      <w:pPr>
        <w:ind w:left="502"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652873DE"/>
    <w:multiLevelType w:val="hybridMultilevel"/>
    <w:tmpl w:val="DB4EF22C"/>
    <w:lvl w:ilvl="0" w:tplc="0C090001">
      <w:start w:val="1"/>
      <w:numFmt w:val="bullet"/>
      <w:lvlText w:val=""/>
      <w:lvlJc w:val="left"/>
      <w:pPr>
        <w:ind w:left="1519" w:hanging="360"/>
      </w:pPr>
      <w:rPr>
        <w:rFonts w:ascii="Symbol" w:hAnsi="Symbol" w:hint="default"/>
      </w:rPr>
    </w:lvl>
    <w:lvl w:ilvl="1" w:tplc="0C090003" w:tentative="1">
      <w:start w:val="1"/>
      <w:numFmt w:val="bullet"/>
      <w:lvlText w:val="o"/>
      <w:lvlJc w:val="left"/>
      <w:pPr>
        <w:ind w:left="2239" w:hanging="360"/>
      </w:pPr>
      <w:rPr>
        <w:rFonts w:ascii="Courier New" w:hAnsi="Courier New" w:cs="Courier New" w:hint="default"/>
      </w:rPr>
    </w:lvl>
    <w:lvl w:ilvl="2" w:tplc="0C090005" w:tentative="1">
      <w:start w:val="1"/>
      <w:numFmt w:val="bullet"/>
      <w:lvlText w:val=""/>
      <w:lvlJc w:val="left"/>
      <w:pPr>
        <w:ind w:left="2959" w:hanging="360"/>
      </w:pPr>
      <w:rPr>
        <w:rFonts w:ascii="Wingdings" w:hAnsi="Wingdings" w:hint="default"/>
      </w:rPr>
    </w:lvl>
    <w:lvl w:ilvl="3" w:tplc="0C090001" w:tentative="1">
      <w:start w:val="1"/>
      <w:numFmt w:val="bullet"/>
      <w:lvlText w:val=""/>
      <w:lvlJc w:val="left"/>
      <w:pPr>
        <w:ind w:left="3679" w:hanging="360"/>
      </w:pPr>
      <w:rPr>
        <w:rFonts w:ascii="Symbol" w:hAnsi="Symbol" w:hint="default"/>
      </w:rPr>
    </w:lvl>
    <w:lvl w:ilvl="4" w:tplc="0C090003" w:tentative="1">
      <w:start w:val="1"/>
      <w:numFmt w:val="bullet"/>
      <w:lvlText w:val="o"/>
      <w:lvlJc w:val="left"/>
      <w:pPr>
        <w:ind w:left="4399" w:hanging="360"/>
      </w:pPr>
      <w:rPr>
        <w:rFonts w:ascii="Courier New" w:hAnsi="Courier New" w:cs="Courier New" w:hint="default"/>
      </w:rPr>
    </w:lvl>
    <w:lvl w:ilvl="5" w:tplc="0C090005" w:tentative="1">
      <w:start w:val="1"/>
      <w:numFmt w:val="bullet"/>
      <w:lvlText w:val=""/>
      <w:lvlJc w:val="left"/>
      <w:pPr>
        <w:ind w:left="5119" w:hanging="360"/>
      </w:pPr>
      <w:rPr>
        <w:rFonts w:ascii="Wingdings" w:hAnsi="Wingdings" w:hint="default"/>
      </w:rPr>
    </w:lvl>
    <w:lvl w:ilvl="6" w:tplc="0C090001" w:tentative="1">
      <w:start w:val="1"/>
      <w:numFmt w:val="bullet"/>
      <w:lvlText w:val=""/>
      <w:lvlJc w:val="left"/>
      <w:pPr>
        <w:ind w:left="5839" w:hanging="360"/>
      </w:pPr>
      <w:rPr>
        <w:rFonts w:ascii="Symbol" w:hAnsi="Symbol" w:hint="default"/>
      </w:rPr>
    </w:lvl>
    <w:lvl w:ilvl="7" w:tplc="0C090003" w:tentative="1">
      <w:start w:val="1"/>
      <w:numFmt w:val="bullet"/>
      <w:lvlText w:val="o"/>
      <w:lvlJc w:val="left"/>
      <w:pPr>
        <w:ind w:left="6559" w:hanging="360"/>
      </w:pPr>
      <w:rPr>
        <w:rFonts w:ascii="Courier New" w:hAnsi="Courier New" w:cs="Courier New" w:hint="default"/>
      </w:rPr>
    </w:lvl>
    <w:lvl w:ilvl="8" w:tplc="0C090005" w:tentative="1">
      <w:start w:val="1"/>
      <w:numFmt w:val="bullet"/>
      <w:lvlText w:val=""/>
      <w:lvlJc w:val="left"/>
      <w:pPr>
        <w:ind w:left="7279" w:hanging="360"/>
      </w:pPr>
      <w:rPr>
        <w:rFonts w:ascii="Wingdings" w:hAnsi="Wingdings" w:hint="default"/>
      </w:rPr>
    </w:lvl>
  </w:abstractNum>
  <w:abstractNum w:abstractNumId="94" w15:restartNumberingAfterBreak="0">
    <w:nsid w:val="669072FE"/>
    <w:multiLevelType w:val="hybridMultilevel"/>
    <w:tmpl w:val="986609F4"/>
    <w:lvl w:ilvl="0" w:tplc="66B6A90A">
      <w:numFmt w:val="bullet"/>
      <w:lvlText w:val="•"/>
      <w:lvlJc w:val="left"/>
      <w:pPr>
        <w:ind w:left="832" w:hanging="360"/>
      </w:pPr>
      <w:rPr>
        <w:rFonts w:ascii="Calibri" w:eastAsia="SimSun" w:hAnsi="Calibri" w:cs="Calibri"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95" w15:restartNumberingAfterBreak="0">
    <w:nsid w:val="66E11616"/>
    <w:multiLevelType w:val="multilevel"/>
    <w:tmpl w:val="06809E66"/>
    <w:numStyleLink w:val="ACTLeaveIntroBullets"/>
  </w:abstractNum>
  <w:abstractNum w:abstractNumId="96" w15:restartNumberingAfterBreak="0">
    <w:nsid w:val="688B5F42"/>
    <w:multiLevelType w:val="hybridMultilevel"/>
    <w:tmpl w:val="A9A83FE0"/>
    <w:styleLink w:val="ACTLeaveBullets"/>
    <w:lvl w:ilvl="0" w:tplc="6DBAF65E">
      <w:start w:val="1"/>
      <w:numFmt w:val="decimal"/>
      <w:lvlText w:val="%1."/>
      <w:lvlJc w:val="left"/>
      <w:pPr>
        <w:ind w:left="720" w:hanging="360"/>
      </w:pPr>
      <w:rPr>
        <w:sz w:val="24"/>
        <w:szCs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7" w15:restartNumberingAfterBreak="0">
    <w:nsid w:val="695F24D4"/>
    <w:multiLevelType w:val="multilevel"/>
    <w:tmpl w:val="347C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E724FE7"/>
    <w:multiLevelType w:val="hybridMultilevel"/>
    <w:tmpl w:val="41A4A056"/>
    <w:lvl w:ilvl="0" w:tplc="B404B0D0">
      <w:start w:val="1"/>
      <w:numFmt w:val="bullet"/>
      <w:lvlText w:val=""/>
      <w:lvlJc w:val="left"/>
      <w:pPr>
        <w:ind w:left="1280" w:hanging="360"/>
      </w:pPr>
      <w:rPr>
        <w:rFonts w:ascii="Symbol" w:hAnsi="Symbol"/>
      </w:rPr>
    </w:lvl>
    <w:lvl w:ilvl="1" w:tplc="9BD01EE6">
      <w:start w:val="1"/>
      <w:numFmt w:val="bullet"/>
      <w:lvlText w:val=""/>
      <w:lvlJc w:val="left"/>
      <w:pPr>
        <w:ind w:left="1280" w:hanging="360"/>
      </w:pPr>
      <w:rPr>
        <w:rFonts w:ascii="Symbol" w:hAnsi="Symbol"/>
      </w:rPr>
    </w:lvl>
    <w:lvl w:ilvl="2" w:tplc="A3E0779C">
      <w:start w:val="1"/>
      <w:numFmt w:val="bullet"/>
      <w:lvlText w:val=""/>
      <w:lvlJc w:val="left"/>
      <w:pPr>
        <w:ind w:left="1280" w:hanging="360"/>
      </w:pPr>
      <w:rPr>
        <w:rFonts w:ascii="Symbol" w:hAnsi="Symbol"/>
      </w:rPr>
    </w:lvl>
    <w:lvl w:ilvl="3" w:tplc="1C5072A0">
      <w:start w:val="1"/>
      <w:numFmt w:val="bullet"/>
      <w:lvlText w:val=""/>
      <w:lvlJc w:val="left"/>
      <w:pPr>
        <w:ind w:left="1280" w:hanging="360"/>
      </w:pPr>
      <w:rPr>
        <w:rFonts w:ascii="Symbol" w:hAnsi="Symbol"/>
      </w:rPr>
    </w:lvl>
    <w:lvl w:ilvl="4" w:tplc="BD085EC2">
      <w:start w:val="1"/>
      <w:numFmt w:val="bullet"/>
      <w:lvlText w:val=""/>
      <w:lvlJc w:val="left"/>
      <w:pPr>
        <w:ind w:left="1280" w:hanging="360"/>
      </w:pPr>
      <w:rPr>
        <w:rFonts w:ascii="Symbol" w:hAnsi="Symbol"/>
      </w:rPr>
    </w:lvl>
    <w:lvl w:ilvl="5" w:tplc="D4625E48">
      <w:start w:val="1"/>
      <w:numFmt w:val="bullet"/>
      <w:lvlText w:val=""/>
      <w:lvlJc w:val="left"/>
      <w:pPr>
        <w:ind w:left="1280" w:hanging="360"/>
      </w:pPr>
      <w:rPr>
        <w:rFonts w:ascii="Symbol" w:hAnsi="Symbol"/>
      </w:rPr>
    </w:lvl>
    <w:lvl w:ilvl="6" w:tplc="7674A6B2">
      <w:start w:val="1"/>
      <w:numFmt w:val="bullet"/>
      <w:lvlText w:val=""/>
      <w:lvlJc w:val="left"/>
      <w:pPr>
        <w:ind w:left="1280" w:hanging="360"/>
      </w:pPr>
      <w:rPr>
        <w:rFonts w:ascii="Symbol" w:hAnsi="Symbol"/>
      </w:rPr>
    </w:lvl>
    <w:lvl w:ilvl="7" w:tplc="9E886892">
      <w:start w:val="1"/>
      <w:numFmt w:val="bullet"/>
      <w:lvlText w:val=""/>
      <w:lvlJc w:val="left"/>
      <w:pPr>
        <w:ind w:left="1280" w:hanging="360"/>
      </w:pPr>
      <w:rPr>
        <w:rFonts w:ascii="Symbol" w:hAnsi="Symbol"/>
      </w:rPr>
    </w:lvl>
    <w:lvl w:ilvl="8" w:tplc="29922450">
      <w:start w:val="1"/>
      <w:numFmt w:val="bullet"/>
      <w:lvlText w:val=""/>
      <w:lvlJc w:val="left"/>
      <w:pPr>
        <w:ind w:left="1280" w:hanging="360"/>
      </w:pPr>
      <w:rPr>
        <w:rFonts w:ascii="Symbol" w:hAnsi="Symbol"/>
      </w:rPr>
    </w:lvl>
  </w:abstractNum>
  <w:abstractNum w:abstractNumId="99" w15:restartNumberingAfterBreak="0">
    <w:nsid w:val="6FD170B7"/>
    <w:multiLevelType w:val="multilevel"/>
    <w:tmpl w:val="DC10E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710E6451"/>
    <w:multiLevelType w:val="hybridMultilevel"/>
    <w:tmpl w:val="98A6C544"/>
    <w:lvl w:ilvl="0" w:tplc="FFFFFFFF">
      <w:start w:val="1"/>
      <w:numFmt w:val="lowerRoman"/>
      <w:lvlText w:val="%1."/>
      <w:lvlJc w:val="left"/>
      <w:pPr>
        <w:ind w:left="322" w:hanging="211"/>
      </w:pPr>
      <w:rPr>
        <w:rFonts w:hint="default"/>
        <w:i/>
        <w:color w:val="081DA4"/>
        <w:spacing w:val="-1"/>
        <w:w w:val="99"/>
        <w:sz w:val="20"/>
        <w:szCs w:val="20"/>
      </w:rPr>
    </w:lvl>
    <w:lvl w:ilvl="1" w:tplc="FFFFFFFF">
      <w:start w:val="1"/>
      <w:numFmt w:val="bullet"/>
      <w:lvlText w:val="•"/>
      <w:lvlJc w:val="left"/>
      <w:pPr>
        <w:ind w:left="1306" w:hanging="211"/>
      </w:pPr>
      <w:rPr>
        <w:rFonts w:hint="default"/>
      </w:rPr>
    </w:lvl>
    <w:lvl w:ilvl="2" w:tplc="FFFFFFFF">
      <w:start w:val="1"/>
      <w:numFmt w:val="bullet"/>
      <w:lvlText w:val="•"/>
      <w:lvlJc w:val="left"/>
      <w:pPr>
        <w:ind w:left="2291" w:hanging="211"/>
      </w:pPr>
      <w:rPr>
        <w:rFonts w:hint="default"/>
      </w:rPr>
    </w:lvl>
    <w:lvl w:ilvl="3" w:tplc="FFFFFFFF">
      <w:start w:val="1"/>
      <w:numFmt w:val="bullet"/>
      <w:lvlText w:val="•"/>
      <w:lvlJc w:val="left"/>
      <w:pPr>
        <w:ind w:left="3275" w:hanging="211"/>
      </w:pPr>
      <w:rPr>
        <w:rFonts w:hint="default"/>
      </w:rPr>
    </w:lvl>
    <w:lvl w:ilvl="4" w:tplc="FFFFFFFF">
      <w:start w:val="1"/>
      <w:numFmt w:val="bullet"/>
      <w:lvlText w:val="•"/>
      <w:lvlJc w:val="left"/>
      <w:pPr>
        <w:ind w:left="4260" w:hanging="211"/>
      </w:pPr>
      <w:rPr>
        <w:rFonts w:hint="default"/>
      </w:rPr>
    </w:lvl>
    <w:lvl w:ilvl="5" w:tplc="FFFFFFFF">
      <w:start w:val="1"/>
      <w:numFmt w:val="bullet"/>
      <w:lvlText w:val="•"/>
      <w:lvlJc w:val="left"/>
      <w:pPr>
        <w:ind w:left="5244" w:hanging="211"/>
      </w:pPr>
      <w:rPr>
        <w:rFonts w:hint="default"/>
      </w:rPr>
    </w:lvl>
    <w:lvl w:ilvl="6" w:tplc="FFFFFFFF">
      <w:start w:val="1"/>
      <w:numFmt w:val="bullet"/>
      <w:lvlText w:val="•"/>
      <w:lvlJc w:val="left"/>
      <w:pPr>
        <w:ind w:left="6228" w:hanging="211"/>
      </w:pPr>
      <w:rPr>
        <w:rFonts w:hint="default"/>
      </w:rPr>
    </w:lvl>
    <w:lvl w:ilvl="7" w:tplc="FFFFFFFF">
      <w:start w:val="1"/>
      <w:numFmt w:val="bullet"/>
      <w:lvlText w:val="•"/>
      <w:lvlJc w:val="left"/>
      <w:pPr>
        <w:ind w:left="7213" w:hanging="211"/>
      </w:pPr>
      <w:rPr>
        <w:rFonts w:hint="default"/>
      </w:rPr>
    </w:lvl>
    <w:lvl w:ilvl="8" w:tplc="FFFFFFFF">
      <w:start w:val="1"/>
      <w:numFmt w:val="bullet"/>
      <w:lvlText w:val="•"/>
      <w:lvlJc w:val="left"/>
      <w:pPr>
        <w:ind w:left="8197" w:hanging="211"/>
      </w:pPr>
      <w:rPr>
        <w:rFonts w:hint="default"/>
      </w:rPr>
    </w:lvl>
  </w:abstractNum>
  <w:abstractNum w:abstractNumId="101" w15:restartNumberingAfterBreak="0">
    <w:nsid w:val="76932FA4"/>
    <w:multiLevelType w:val="hybridMultilevel"/>
    <w:tmpl w:val="E9D2AC2A"/>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02" w15:restartNumberingAfterBreak="0">
    <w:nsid w:val="78FF253C"/>
    <w:multiLevelType w:val="hybridMultilevel"/>
    <w:tmpl w:val="C0725842"/>
    <w:lvl w:ilvl="0" w:tplc="60D0A2AE">
      <w:start w:val="1"/>
      <w:numFmt w:val="lowerLetter"/>
      <w:lvlText w:val="%1."/>
      <w:lvlJc w:val="left"/>
      <w:pPr>
        <w:ind w:left="502" w:hanging="360"/>
      </w:pPr>
      <w:rPr>
        <w:rFonts w:ascii="Arial" w:hAnsi="Arial" w:cs="Arial" w:hint="default"/>
        <w:b w:val="0"/>
        <w:bCs w:val="0"/>
        <w:color w:val="081DA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9810E0A"/>
    <w:multiLevelType w:val="multilevel"/>
    <w:tmpl w:val="96BE8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98A7EAD"/>
    <w:multiLevelType w:val="multilevel"/>
    <w:tmpl w:val="2BD4D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AB005D2"/>
    <w:multiLevelType w:val="multilevel"/>
    <w:tmpl w:val="E06E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D5C0C3C"/>
    <w:multiLevelType w:val="hybridMultilevel"/>
    <w:tmpl w:val="1A9AD4A8"/>
    <w:lvl w:ilvl="0" w:tplc="F366485C">
      <w:start w:val="1"/>
      <w:numFmt w:val="bullet"/>
      <w:lvlText w:val=""/>
      <w:lvlJc w:val="left"/>
      <w:pPr>
        <w:ind w:left="1280" w:hanging="360"/>
      </w:pPr>
      <w:rPr>
        <w:rFonts w:ascii="Symbol" w:hAnsi="Symbol"/>
      </w:rPr>
    </w:lvl>
    <w:lvl w:ilvl="1" w:tplc="4748E4FC">
      <w:start w:val="1"/>
      <w:numFmt w:val="bullet"/>
      <w:lvlText w:val=""/>
      <w:lvlJc w:val="left"/>
      <w:pPr>
        <w:ind w:left="1280" w:hanging="360"/>
      </w:pPr>
      <w:rPr>
        <w:rFonts w:ascii="Symbol" w:hAnsi="Symbol"/>
      </w:rPr>
    </w:lvl>
    <w:lvl w:ilvl="2" w:tplc="5C92E868">
      <w:start w:val="1"/>
      <w:numFmt w:val="bullet"/>
      <w:lvlText w:val=""/>
      <w:lvlJc w:val="left"/>
      <w:pPr>
        <w:ind w:left="1280" w:hanging="360"/>
      </w:pPr>
      <w:rPr>
        <w:rFonts w:ascii="Symbol" w:hAnsi="Symbol"/>
      </w:rPr>
    </w:lvl>
    <w:lvl w:ilvl="3" w:tplc="98581394">
      <w:start w:val="1"/>
      <w:numFmt w:val="bullet"/>
      <w:lvlText w:val=""/>
      <w:lvlJc w:val="left"/>
      <w:pPr>
        <w:ind w:left="1280" w:hanging="360"/>
      </w:pPr>
      <w:rPr>
        <w:rFonts w:ascii="Symbol" w:hAnsi="Symbol"/>
      </w:rPr>
    </w:lvl>
    <w:lvl w:ilvl="4" w:tplc="786C41CE">
      <w:start w:val="1"/>
      <w:numFmt w:val="bullet"/>
      <w:lvlText w:val=""/>
      <w:lvlJc w:val="left"/>
      <w:pPr>
        <w:ind w:left="1280" w:hanging="360"/>
      </w:pPr>
      <w:rPr>
        <w:rFonts w:ascii="Symbol" w:hAnsi="Symbol"/>
      </w:rPr>
    </w:lvl>
    <w:lvl w:ilvl="5" w:tplc="D21280A8">
      <w:start w:val="1"/>
      <w:numFmt w:val="bullet"/>
      <w:lvlText w:val=""/>
      <w:lvlJc w:val="left"/>
      <w:pPr>
        <w:ind w:left="1280" w:hanging="360"/>
      </w:pPr>
      <w:rPr>
        <w:rFonts w:ascii="Symbol" w:hAnsi="Symbol"/>
      </w:rPr>
    </w:lvl>
    <w:lvl w:ilvl="6" w:tplc="4044050E">
      <w:start w:val="1"/>
      <w:numFmt w:val="bullet"/>
      <w:lvlText w:val=""/>
      <w:lvlJc w:val="left"/>
      <w:pPr>
        <w:ind w:left="1280" w:hanging="360"/>
      </w:pPr>
      <w:rPr>
        <w:rFonts w:ascii="Symbol" w:hAnsi="Symbol"/>
      </w:rPr>
    </w:lvl>
    <w:lvl w:ilvl="7" w:tplc="224C1300">
      <w:start w:val="1"/>
      <w:numFmt w:val="bullet"/>
      <w:lvlText w:val=""/>
      <w:lvlJc w:val="left"/>
      <w:pPr>
        <w:ind w:left="1280" w:hanging="360"/>
      </w:pPr>
      <w:rPr>
        <w:rFonts w:ascii="Symbol" w:hAnsi="Symbol"/>
      </w:rPr>
    </w:lvl>
    <w:lvl w:ilvl="8" w:tplc="57CEEB12">
      <w:start w:val="1"/>
      <w:numFmt w:val="bullet"/>
      <w:lvlText w:val=""/>
      <w:lvlJc w:val="left"/>
      <w:pPr>
        <w:ind w:left="1280" w:hanging="360"/>
      </w:pPr>
      <w:rPr>
        <w:rFonts w:ascii="Symbol" w:hAnsi="Symbol"/>
      </w:rPr>
    </w:lvl>
  </w:abstractNum>
  <w:abstractNum w:abstractNumId="107" w15:restartNumberingAfterBreak="0">
    <w:nsid w:val="7DF869DC"/>
    <w:multiLevelType w:val="multilevel"/>
    <w:tmpl w:val="FFFFFFFF"/>
    <w:numStyleLink w:val="ATOBullets"/>
  </w:abstractNum>
  <w:num w:numId="1" w16cid:durableId="863640098">
    <w:abstractNumId w:val="32"/>
  </w:num>
  <w:num w:numId="2" w16cid:durableId="1678847481">
    <w:abstractNumId w:val="78"/>
  </w:num>
  <w:num w:numId="3" w16cid:durableId="1249928375">
    <w:abstractNumId w:val="24"/>
  </w:num>
  <w:num w:numId="4" w16cid:durableId="1519275277">
    <w:abstractNumId w:val="62"/>
  </w:num>
  <w:num w:numId="5" w16cid:durableId="265582449">
    <w:abstractNumId w:val="79"/>
  </w:num>
  <w:num w:numId="6" w16cid:durableId="1717314700">
    <w:abstractNumId w:val="65"/>
  </w:num>
  <w:num w:numId="7" w16cid:durableId="1295872342">
    <w:abstractNumId w:val="59"/>
  </w:num>
  <w:num w:numId="8" w16cid:durableId="1779645245">
    <w:abstractNumId w:val="86"/>
  </w:num>
  <w:num w:numId="9" w16cid:durableId="1356426504">
    <w:abstractNumId w:val="57"/>
  </w:num>
  <w:num w:numId="10" w16cid:durableId="368576863">
    <w:abstractNumId w:val="81"/>
  </w:num>
  <w:num w:numId="11" w16cid:durableId="1393044106">
    <w:abstractNumId w:val="95"/>
  </w:num>
  <w:num w:numId="12" w16cid:durableId="1408578843">
    <w:abstractNumId w:val="25"/>
  </w:num>
  <w:num w:numId="13" w16cid:durableId="304286090">
    <w:abstractNumId w:val="9"/>
  </w:num>
  <w:num w:numId="14" w16cid:durableId="806967673">
    <w:abstractNumId w:val="19"/>
  </w:num>
  <w:num w:numId="15" w16cid:durableId="724639535">
    <w:abstractNumId w:val="91"/>
  </w:num>
  <w:num w:numId="16" w16cid:durableId="1110054627">
    <w:abstractNumId w:val="66"/>
  </w:num>
  <w:num w:numId="17" w16cid:durableId="1823765386">
    <w:abstractNumId w:val="13"/>
  </w:num>
  <w:num w:numId="18" w16cid:durableId="18204164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4267384">
    <w:abstractNumId w:val="55"/>
  </w:num>
  <w:num w:numId="20" w16cid:durableId="336426021">
    <w:abstractNumId w:val="96"/>
  </w:num>
  <w:num w:numId="21" w16cid:durableId="994643197">
    <w:abstractNumId w:val="49"/>
  </w:num>
  <w:num w:numId="22" w16cid:durableId="1715620158">
    <w:abstractNumId w:val="80"/>
  </w:num>
  <w:num w:numId="23" w16cid:durableId="1103300663">
    <w:abstractNumId w:val="14"/>
  </w:num>
  <w:num w:numId="24" w16cid:durableId="1504317549">
    <w:abstractNumId w:val="106"/>
  </w:num>
  <w:num w:numId="25" w16cid:durableId="988903655">
    <w:abstractNumId w:val="50"/>
  </w:num>
  <w:num w:numId="26" w16cid:durableId="780958251">
    <w:abstractNumId w:val="11"/>
  </w:num>
  <w:num w:numId="27" w16cid:durableId="726490116">
    <w:abstractNumId w:val="58"/>
  </w:num>
  <w:num w:numId="28" w16cid:durableId="1056246806">
    <w:abstractNumId w:val="75"/>
  </w:num>
  <w:num w:numId="29" w16cid:durableId="1177235196">
    <w:abstractNumId w:val="98"/>
  </w:num>
  <w:num w:numId="30" w16cid:durableId="1257324968">
    <w:abstractNumId w:val="5"/>
  </w:num>
  <w:num w:numId="31" w16cid:durableId="2084328626">
    <w:abstractNumId w:val="38"/>
  </w:num>
  <w:num w:numId="32" w16cid:durableId="795760918">
    <w:abstractNumId w:val="68"/>
  </w:num>
  <w:num w:numId="33" w16cid:durableId="1134642742">
    <w:abstractNumId w:val="43"/>
  </w:num>
  <w:num w:numId="34" w16cid:durableId="1516773725">
    <w:abstractNumId w:val="71"/>
  </w:num>
  <w:num w:numId="35" w16cid:durableId="239290719">
    <w:abstractNumId w:val="101"/>
  </w:num>
  <w:num w:numId="36" w16cid:durableId="1315986236">
    <w:abstractNumId w:val="44"/>
  </w:num>
  <w:num w:numId="37" w16cid:durableId="621040502">
    <w:abstractNumId w:val="4"/>
  </w:num>
  <w:num w:numId="38" w16cid:durableId="555968252">
    <w:abstractNumId w:val="4"/>
  </w:num>
  <w:num w:numId="39" w16cid:durableId="1909463106">
    <w:abstractNumId w:val="18"/>
  </w:num>
  <w:num w:numId="40" w16cid:durableId="1270703590">
    <w:abstractNumId w:val="107"/>
  </w:num>
  <w:num w:numId="41" w16cid:durableId="1803377600">
    <w:abstractNumId w:val="103"/>
  </w:num>
  <w:num w:numId="42" w16cid:durableId="500201887">
    <w:abstractNumId w:val="45"/>
  </w:num>
  <w:num w:numId="43" w16cid:durableId="1444424810">
    <w:abstractNumId w:val="28"/>
  </w:num>
  <w:num w:numId="44" w16cid:durableId="1263106886">
    <w:abstractNumId w:val="26"/>
  </w:num>
  <w:num w:numId="45" w16cid:durableId="721634537">
    <w:abstractNumId w:val="20"/>
  </w:num>
  <w:num w:numId="46" w16cid:durableId="1597207822">
    <w:abstractNumId w:val="89"/>
  </w:num>
  <w:num w:numId="47" w16cid:durableId="465008147">
    <w:abstractNumId w:val="19"/>
  </w:num>
  <w:num w:numId="48" w16cid:durableId="508065493">
    <w:abstractNumId w:val="34"/>
  </w:num>
  <w:num w:numId="49" w16cid:durableId="81413022">
    <w:abstractNumId w:val="40"/>
  </w:num>
  <w:num w:numId="50" w16cid:durableId="508374589">
    <w:abstractNumId w:val="61"/>
  </w:num>
  <w:num w:numId="51" w16cid:durableId="1067386820">
    <w:abstractNumId w:val="85"/>
  </w:num>
  <w:num w:numId="52" w16cid:durableId="663507449">
    <w:abstractNumId w:val="36"/>
  </w:num>
  <w:num w:numId="53" w16cid:durableId="1500463777">
    <w:abstractNumId w:val="7"/>
  </w:num>
  <w:num w:numId="54" w16cid:durableId="1310400113">
    <w:abstractNumId w:val="99"/>
  </w:num>
  <w:num w:numId="55" w16cid:durableId="1570774395">
    <w:abstractNumId w:val="6"/>
  </w:num>
  <w:num w:numId="56" w16cid:durableId="82267019">
    <w:abstractNumId w:val="46"/>
  </w:num>
  <w:num w:numId="57" w16cid:durableId="20935001">
    <w:abstractNumId w:val="73"/>
  </w:num>
  <w:num w:numId="58" w16cid:durableId="653800845">
    <w:abstractNumId w:val="39"/>
  </w:num>
  <w:num w:numId="59" w16cid:durableId="854617289">
    <w:abstractNumId w:val="37"/>
  </w:num>
  <w:num w:numId="60" w16cid:durableId="1013066398">
    <w:abstractNumId w:val="33"/>
  </w:num>
  <w:num w:numId="61" w16cid:durableId="1851328895">
    <w:abstractNumId w:val="51"/>
  </w:num>
  <w:num w:numId="62" w16cid:durableId="975794567">
    <w:abstractNumId w:val="22"/>
  </w:num>
  <w:num w:numId="63" w16cid:durableId="1869567518">
    <w:abstractNumId w:val="23"/>
  </w:num>
  <w:num w:numId="64" w16cid:durableId="925962817">
    <w:abstractNumId w:val="104"/>
  </w:num>
  <w:num w:numId="65" w16cid:durableId="794981703">
    <w:abstractNumId w:val="105"/>
  </w:num>
  <w:num w:numId="66" w16cid:durableId="882136521">
    <w:abstractNumId w:val="97"/>
  </w:num>
  <w:num w:numId="67" w16cid:durableId="1956784600">
    <w:abstractNumId w:val="67"/>
  </w:num>
  <w:num w:numId="68" w16cid:durableId="1144128567">
    <w:abstractNumId w:val="16"/>
  </w:num>
  <w:num w:numId="69" w16cid:durableId="1959558296">
    <w:abstractNumId w:val="84"/>
  </w:num>
  <w:num w:numId="70" w16cid:durableId="1905797707">
    <w:abstractNumId w:val="53"/>
  </w:num>
  <w:num w:numId="71" w16cid:durableId="723456426">
    <w:abstractNumId w:val="70"/>
  </w:num>
  <w:num w:numId="72" w16cid:durableId="1232886210">
    <w:abstractNumId w:val="74"/>
  </w:num>
  <w:num w:numId="73" w16cid:durableId="490681682">
    <w:abstractNumId w:val="12"/>
  </w:num>
  <w:num w:numId="74" w16cid:durableId="1205943714">
    <w:abstractNumId w:val="41"/>
  </w:num>
  <w:num w:numId="75" w16cid:durableId="2081128099">
    <w:abstractNumId w:val="27"/>
  </w:num>
  <w:num w:numId="76" w16cid:durableId="1641840607">
    <w:abstractNumId w:val="82"/>
  </w:num>
  <w:num w:numId="77" w16cid:durableId="1696955915">
    <w:abstractNumId w:val="54"/>
  </w:num>
  <w:num w:numId="78" w16cid:durableId="902983086">
    <w:abstractNumId w:val="88"/>
  </w:num>
  <w:num w:numId="79" w16cid:durableId="2015574466">
    <w:abstractNumId w:val="83"/>
  </w:num>
  <w:num w:numId="80" w16cid:durableId="231505514">
    <w:abstractNumId w:val="47"/>
  </w:num>
  <w:num w:numId="81" w16cid:durableId="163008866">
    <w:abstractNumId w:val="17"/>
  </w:num>
  <w:num w:numId="82" w16cid:durableId="1589385769">
    <w:abstractNumId w:val="72"/>
  </w:num>
  <w:num w:numId="83" w16cid:durableId="1248878179">
    <w:abstractNumId w:val="60"/>
  </w:num>
  <w:num w:numId="84" w16cid:durableId="957755679">
    <w:abstractNumId w:val="10"/>
  </w:num>
  <w:num w:numId="85" w16cid:durableId="646983051">
    <w:abstractNumId w:val="93"/>
  </w:num>
  <w:num w:numId="86" w16cid:durableId="1530144926">
    <w:abstractNumId w:val="8"/>
  </w:num>
  <w:num w:numId="87" w16cid:durableId="1709601242">
    <w:abstractNumId w:val="90"/>
  </w:num>
  <w:num w:numId="88" w16cid:durableId="193154993">
    <w:abstractNumId w:val="63"/>
  </w:num>
  <w:num w:numId="89" w16cid:durableId="297222331">
    <w:abstractNumId w:val="42"/>
  </w:num>
  <w:num w:numId="90" w16cid:durableId="141580138">
    <w:abstractNumId w:val="29"/>
  </w:num>
  <w:num w:numId="91" w16cid:durableId="376903748">
    <w:abstractNumId w:val="56"/>
  </w:num>
  <w:num w:numId="92" w16cid:durableId="1711344720">
    <w:abstractNumId w:val="15"/>
  </w:num>
  <w:num w:numId="93" w16cid:durableId="1969163092">
    <w:abstractNumId w:val="77"/>
  </w:num>
  <w:num w:numId="94" w16cid:durableId="1030691429">
    <w:abstractNumId w:val="92"/>
  </w:num>
  <w:num w:numId="95" w16cid:durableId="1845240267">
    <w:abstractNumId w:val="35"/>
  </w:num>
  <w:num w:numId="96" w16cid:durableId="1856260750">
    <w:abstractNumId w:val="94"/>
  </w:num>
  <w:num w:numId="97" w16cid:durableId="2114281800">
    <w:abstractNumId w:val="69"/>
  </w:num>
  <w:num w:numId="98" w16cid:durableId="1465661100">
    <w:abstractNumId w:val="48"/>
  </w:num>
  <w:num w:numId="99" w16cid:durableId="850492214">
    <w:abstractNumId w:val="76"/>
  </w:num>
  <w:num w:numId="100" w16cid:durableId="323246094">
    <w:abstractNumId w:val="21"/>
  </w:num>
  <w:num w:numId="101" w16cid:durableId="280111043">
    <w:abstractNumId w:val="87"/>
  </w:num>
  <w:num w:numId="102" w16cid:durableId="366566828">
    <w:abstractNumId w:val="102"/>
  </w:num>
  <w:num w:numId="103" w16cid:durableId="1152941695">
    <w:abstractNumId w:val="31"/>
  </w:num>
  <w:num w:numId="104" w16cid:durableId="1435786458">
    <w:abstractNumId w:val="52"/>
  </w:num>
  <w:num w:numId="105" w16cid:durableId="963392978">
    <w:abstractNumId w:val="100"/>
  </w:num>
  <w:num w:numId="106" w16cid:durableId="1371107847">
    <w:abstractNumId w:val="64"/>
  </w:num>
  <w:num w:numId="107" w16cid:durableId="790513578">
    <w:abstractNumId w:val="30"/>
  </w:num>
  <w:num w:numId="108" w16cid:durableId="645089637">
    <w:abstractNumId w:val="3"/>
  </w:num>
  <w:num w:numId="109" w16cid:durableId="601256659">
    <w:abstractNumId w:val="2"/>
  </w:num>
  <w:num w:numId="110" w16cid:durableId="1294797576">
    <w:abstractNumId w:val="1"/>
  </w:num>
  <w:num w:numId="111" w16cid:durableId="893783230">
    <w:abstractNumId w:val="0"/>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zMLQwMzGzNDUzMjVX0lEKTi0uzszPAykwqQUAhw8a7CwAAAA="/>
  </w:docVars>
  <w:rsids>
    <w:rsidRoot w:val="00583F3E"/>
    <w:rsid w:val="000002A0"/>
    <w:rsid w:val="000004C5"/>
    <w:rsid w:val="000004CF"/>
    <w:rsid w:val="00000752"/>
    <w:rsid w:val="00000A98"/>
    <w:rsid w:val="00000DD5"/>
    <w:rsid w:val="0000112A"/>
    <w:rsid w:val="000012C3"/>
    <w:rsid w:val="00001538"/>
    <w:rsid w:val="000017B7"/>
    <w:rsid w:val="00001BEC"/>
    <w:rsid w:val="00001C77"/>
    <w:rsid w:val="00001D81"/>
    <w:rsid w:val="00001E3E"/>
    <w:rsid w:val="00001F34"/>
    <w:rsid w:val="000020B1"/>
    <w:rsid w:val="000020C2"/>
    <w:rsid w:val="00002106"/>
    <w:rsid w:val="000024FB"/>
    <w:rsid w:val="0000293F"/>
    <w:rsid w:val="00002961"/>
    <w:rsid w:val="00002ABD"/>
    <w:rsid w:val="00002B9C"/>
    <w:rsid w:val="00002C02"/>
    <w:rsid w:val="00002DDC"/>
    <w:rsid w:val="00003048"/>
    <w:rsid w:val="00003789"/>
    <w:rsid w:val="0000380E"/>
    <w:rsid w:val="0000394C"/>
    <w:rsid w:val="00003CBC"/>
    <w:rsid w:val="00003E26"/>
    <w:rsid w:val="00003F0C"/>
    <w:rsid w:val="000040F0"/>
    <w:rsid w:val="0000429C"/>
    <w:rsid w:val="00004483"/>
    <w:rsid w:val="00004821"/>
    <w:rsid w:val="000049FC"/>
    <w:rsid w:val="00004E11"/>
    <w:rsid w:val="00004E24"/>
    <w:rsid w:val="00004ED6"/>
    <w:rsid w:val="000052E0"/>
    <w:rsid w:val="000053EC"/>
    <w:rsid w:val="00005553"/>
    <w:rsid w:val="00005831"/>
    <w:rsid w:val="00005B05"/>
    <w:rsid w:val="0000618B"/>
    <w:rsid w:val="000067BC"/>
    <w:rsid w:val="00006F99"/>
    <w:rsid w:val="000072F8"/>
    <w:rsid w:val="0000744F"/>
    <w:rsid w:val="000078F8"/>
    <w:rsid w:val="000102E2"/>
    <w:rsid w:val="000106D3"/>
    <w:rsid w:val="000106E0"/>
    <w:rsid w:val="0001092F"/>
    <w:rsid w:val="00010C64"/>
    <w:rsid w:val="00010C9A"/>
    <w:rsid w:val="00010D9B"/>
    <w:rsid w:val="0001145B"/>
    <w:rsid w:val="0001190C"/>
    <w:rsid w:val="00011B6F"/>
    <w:rsid w:val="00012538"/>
    <w:rsid w:val="000126B7"/>
    <w:rsid w:val="0001297F"/>
    <w:rsid w:val="000130BB"/>
    <w:rsid w:val="000130D9"/>
    <w:rsid w:val="0001337A"/>
    <w:rsid w:val="000133EB"/>
    <w:rsid w:val="00013478"/>
    <w:rsid w:val="00013705"/>
    <w:rsid w:val="00013864"/>
    <w:rsid w:val="000138AF"/>
    <w:rsid w:val="000138F7"/>
    <w:rsid w:val="00014020"/>
    <w:rsid w:val="00014250"/>
    <w:rsid w:val="0001426B"/>
    <w:rsid w:val="00014993"/>
    <w:rsid w:val="000149B4"/>
    <w:rsid w:val="00014E2E"/>
    <w:rsid w:val="00014E32"/>
    <w:rsid w:val="00014F40"/>
    <w:rsid w:val="00014F8C"/>
    <w:rsid w:val="00015514"/>
    <w:rsid w:val="00015651"/>
    <w:rsid w:val="000158F0"/>
    <w:rsid w:val="00015AA7"/>
    <w:rsid w:val="00015BE9"/>
    <w:rsid w:val="00016183"/>
    <w:rsid w:val="0001640B"/>
    <w:rsid w:val="0001646E"/>
    <w:rsid w:val="00016491"/>
    <w:rsid w:val="00016637"/>
    <w:rsid w:val="0001697E"/>
    <w:rsid w:val="00016C1F"/>
    <w:rsid w:val="00016ECE"/>
    <w:rsid w:val="000171DC"/>
    <w:rsid w:val="0001729A"/>
    <w:rsid w:val="00017308"/>
    <w:rsid w:val="0001749A"/>
    <w:rsid w:val="00017523"/>
    <w:rsid w:val="00017A07"/>
    <w:rsid w:val="00017C0F"/>
    <w:rsid w:val="00020285"/>
    <w:rsid w:val="00020372"/>
    <w:rsid w:val="000206C1"/>
    <w:rsid w:val="00020B52"/>
    <w:rsid w:val="00020B93"/>
    <w:rsid w:val="00020E9F"/>
    <w:rsid w:val="00021130"/>
    <w:rsid w:val="000216BD"/>
    <w:rsid w:val="00021714"/>
    <w:rsid w:val="000218F9"/>
    <w:rsid w:val="00021914"/>
    <w:rsid w:val="00021A53"/>
    <w:rsid w:val="00021A9B"/>
    <w:rsid w:val="00021E0E"/>
    <w:rsid w:val="00021E38"/>
    <w:rsid w:val="0002213B"/>
    <w:rsid w:val="0002244F"/>
    <w:rsid w:val="00022945"/>
    <w:rsid w:val="00022D02"/>
    <w:rsid w:val="00022EA2"/>
    <w:rsid w:val="00023134"/>
    <w:rsid w:val="000231A9"/>
    <w:rsid w:val="000236AD"/>
    <w:rsid w:val="000237B2"/>
    <w:rsid w:val="000239EC"/>
    <w:rsid w:val="000239F3"/>
    <w:rsid w:val="00023A6C"/>
    <w:rsid w:val="00023F06"/>
    <w:rsid w:val="00023FC1"/>
    <w:rsid w:val="00024253"/>
    <w:rsid w:val="000242E2"/>
    <w:rsid w:val="00024568"/>
    <w:rsid w:val="00024746"/>
    <w:rsid w:val="00024EB7"/>
    <w:rsid w:val="00025457"/>
    <w:rsid w:val="000254AB"/>
    <w:rsid w:val="0002578E"/>
    <w:rsid w:val="0002596B"/>
    <w:rsid w:val="00025C2E"/>
    <w:rsid w:val="00025F1F"/>
    <w:rsid w:val="00025FF0"/>
    <w:rsid w:val="000260A7"/>
    <w:rsid w:val="000260D5"/>
    <w:rsid w:val="000261DF"/>
    <w:rsid w:val="000268D1"/>
    <w:rsid w:val="00026A01"/>
    <w:rsid w:val="00026C0E"/>
    <w:rsid w:val="00027012"/>
    <w:rsid w:val="000271A5"/>
    <w:rsid w:val="0002740D"/>
    <w:rsid w:val="00027483"/>
    <w:rsid w:val="0002756E"/>
    <w:rsid w:val="00027842"/>
    <w:rsid w:val="000278D1"/>
    <w:rsid w:val="000279B9"/>
    <w:rsid w:val="00027C89"/>
    <w:rsid w:val="00027F13"/>
    <w:rsid w:val="00030120"/>
    <w:rsid w:val="00030202"/>
    <w:rsid w:val="00030414"/>
    <w:rsid w:val="0003041F"/>
    <w:rsid w:val="00030564"/>
    <w:rsid w:val="000307BB"/>
    <w:rsid w:val="000307FA"/>
    <w:rsid w:val="00030809"/>
    <w:rsid w:val="0003099C"/>
    <w:rsid w:val="00030C13"/>
    <w:rsid w:val="00030C64"/>
    <w:rsid w:val="00030DD6"/>
    <w:rsid w:val="0003116C"/>
    <w:rsid w:val="000317B9"/>
    <w:rsid w:val="00031B9F"/>
    <w:rsid w:val="00031D56"/>
    <w:rsid w:val="00031E21"/>
    <w:rsid w:val="00031E50"/>
    <w:rsid w:val="00032585"/>
    <w:rsid w:val="00032773"/>
    <w:rsid w:val="00032ACE"/>
    <w:rsid w:val="00032AF2"/>
    <w:rsid w:val="00032F4D"/>
    <w:rsid w:val="0003338F"/>
    <w:rsid w:val="00033738"/>
    <w:rsid w:val="0003373D"/>
    <w:rsid w:val="000338E8"/>
    <w:rsid w:val="00033D1E"/>
    <w:rsid w:val="00033F15"/>
    <w:rsid w:val="00033FD0"/>
    <w:rsid w:val="000343F0"/>
    <w:rsid w:val="00034585"/>
    <w:rsid w:val="00034A4C"/>
    <w:rsid w:val="00034E67"/>
    <w:rsid w:val="0003535D"/>
    <w:rsid w:val="00035909"/>
    <w:rsid w:val="00035AF0"/>
    <w:rsid w:val="00035B8F"/>
    <w:rsid w:val="00035FD8"/>
    <w:rsid w:val="000362A5"/>
    <w:rsid w:val="000364FA"/>
    <w:rsid w:val="0003667B"/>
    <w:rsid w:val="00036936"/>
    <w:rsid w:val="00036992"/>
    <w:rsid w:val="00036EA6"/>
    <w:rsid w:val="00036FFD"/>
    <w:rsid w:val="0003715B"/>
    <w:rsid w:val="0003779E"/>
    <w:rsid w:val="00037AE7"/>
    <w:rsid w:val="00037B66"/>
    <w:rsid w:val="00037E3E"/>
    <w:rsid w:val="000402B0"/>
    <w:rsid w:val="000407F0"/>
    <w:rsid w:val="0004082E"/>
    <w:rsid w:val="00040863"/>
    <w:rsid w:val="00040A78"/>
    <w:rsid w:val="00040BF1"/>
    <w:rsid w:val="00040E70"/>
    <w:rsid w:val="000410C1"/>
    <w:rsid w:val="00041B91"/>
    <w:rsid w:val="00041EB8"/>
    <w:rsid w:val="000421E6"/>
    <w:rsid w:val="00042616"/>
    <w:rsid w:val="00042926"/>
    <w:rsid w:val="00043BD6"/>
    <w:rsid w:val="00044102"/>
    <w:rsid w:val="0004436F"/>
    <w:rsid w:val="00044682"/>
    <w:rsid w:val="00044BA1"/>
    <w:rsid w:val="00044E9F"/>
    <w:rsid w:val="000454A7"/>
    <w:rsid w:val="00045DCB"/>
    <w:rsid w:val="00045EEF"/>
    <w:rsid w:val="00045F0C"/>
    <w:rsid w:val="00046148"/>
    <w:rsid w:val="000465C4"/>
    <w:rsid w:val="000465EF"/>
    <w:rsid w:val="000468B2"/>
    <w:rsid w:val="000468F6"/>
    <w:rsid w:val="00046BF1"/>
    <w:rsid w:val="00047597"/>
    <w:rsid w:val="000476CB"/>
    <w:rsid w:val="00047714"/>
    <w:rsid w:val="0004784D"/>
    <w:rsid w:val="00047D56"/>
    <w:rsid w:val="00047EAD"/>
    <w:rsid w:val="00047EC7"/>
    <w:rsid w:val="00050678"/>
    <w:rsid w:val="00050A57"/>
    <w:rsid w:val="000513DC"/>
    <w:rsid w:val="00051968"/>
    <w:rsid w:val="00051C0E"/>
    <w:rsid w:val="00051EBC"/>
    <w:rsid w:val="00052A27"/>
    <w:rsid w:val="00052E5D"/>
    <w:rsid w:val="00053782"/>
    <w:rsid w:val="00053935"/>
    <w:rsid w:val="00053B05"/>
    <w:rsid w:val="00053C91"/>
    <w:rsid w:val="00054024"/>
    <w:rsid w:val="00054D69"/>
    <w:rsid w:val="00054DF4"/>
    <w:rsid w:val="00054E62"/>
    <w:rsid w:val="00054EEB"/>
    <w:rsid w:val="00055019"/>
    <w:rsid w:val="0005505E"/>
    <w:rsid w:val="00055575"/>
    <w:rsid w:val="00055715"/>
    <w:rsid w:val="000557A9"/>
    <w:rsid w:val="00055B0F"/>
    <w:rsid w:val="00055D49"/>
    <w:rsid w:val="00055DAC"/>
    <w:rsid w:val="0005609D"/>
    <w:rsid w:val="0005629E"/>
    <w:rsid w:val="000567DC"/>
    <w:rsid w:val="00056859"/>
    <w:rsid w:val="000569AB"/>
    <w:rsid w:val="00056A92"/>
    <w:rsid w:val="00056B0A"/>
    <w:rsid w:val="00057150"/>
    <w:rsid w:val="0005727C"/>
    <w:rsid w:val="000572B2"/>
    <w:rsid w:val="00057430"/>
    <w:rsid w:val="00057699"/>
    <w:rsid w:val="0005794A"/>
    <w:rsid w:val="0005798A"/>
    <w:rsid w:val="00057C2E"/>
    <w:rsid w:val="000604AC"/>
    <w:rsid w:val="0006051C"/>
    <w:rsid w:val="00060894"/>
    <w:rsid w:val="00060959"/>
    <w:rsid w:val="000609DE"/>
    <w:rsid w:val="00060DE8"/>
    <w:rsid w:val="00061428"/>
    <w:rsid w:val="00061583"/>
    <w:rsid w:val="0006172B"/>
    <w:rsid w:val="00061D2E"/>
    <w:rsid w:val="0006245F"/>
    <w:rsid w:val="0006274D"/>
    <w:rsid w:val="00062B1B"/>
    <w:rsid w:val="00062E7F"/>
    <w:rsid w:val="000632E0"/>
    <w:rsid w:val="000637F9"/>
    <w:rsid w:val="000639E3"/>
    <w:rsid w:val="00063C46"/>
    <w:rsid w:val="0006406E"/>
    <w:rsid w:val="00064071"/>
    <w:rsid w:val="0006484F"/>
    <w:rsid w:val="00064919"/>
    <w:rsid w:val="00064B66"/>
    <w:rsid w:val="00064BCF"/>
    <w:rsid w:val="00064DF1"/>
    <w:rsid w:val="0006514D"/>
    <w:rsid w:val="0006517A"/>
    <w:rsid w:val="00065363"/>
    <w:rsid w:val="0006579E"/>
    <w:rsid w:val="000659B4"/>
    <w:rsid w:val="00065AD9"/>
    <w:rsid w:val="000662ED"/>
    <w:rsid w:val="00066661"/>
    <w:rsid w:val="000667AF"/>
    <w:rsid w:val="00066A04"/>
    <w:rsid w:val="0006719D"/>
    <w:rsid w:val="00067CF1"/>
    <w:rsid w:val="00070126"/>
    <w:rsid w:val="00070544"/>
    <w:rsid w:val="00070773"/>
    <w:rsid w:val="00070B3A"/>
    <w:rsid w:val="00070DC9"/>
    <w:rsid w:val="00070FE8"/>
    <w:rsid w:val="00070FF0"/>
    <w:rsid w:val="00071013"/>
    <w:rsid w:val="00071569"/>
    <w:rsid w:val="00071667"/>
    <w:rsid w:val="0007202F"/>
    <w:rsid w:val="00072060"/>
    <w:rsid w:val="000722B9"/>
    <w:rsid w:val="000726A4"/>
    <w:rsid w:val="00072954"/>
    <w:rsid w:val="00072AB0"/>
    <w:rsid w:val="00072B2F"/>
    <w:rsid w:val="00072E15"/>
    <w:rsid w:val="00072F58"/>
    <w:rsid w:val="000739AA"/>
    <w:rsid w:val="00073B78"/>
    <w:rsid w:val="00073C53"/>
    <w:rsid w:val="00073F93"/>
    <w:rsid w:val="0007453D"/>
    <w:rsid w:val="000748E8"/>
    <w:rsid w:val="00074AE7"/>
    <w:rsid w:val="00074EA9"/>
    <w:rsid w:val="000753D2"/>
    <w:rsid w:val="000759F0"/>
    <w:rsid w:val="00075D8C"/>
    <w:rsid w:val="00075DC7"/>
    <w:rsid w:val="00075F3C"/>
    <w:rsid w:val="000762A0"/>
    <w:rsid w:val="000764E1"/>
    <w:rsid w:val="0007676B"/>
    <w:rsid w:val="00076809"/>
    <w:rsid w:val="000768BF"/>
    <w:rsid w:val="00076AD9"/>
    <w:rsid w:val="00076C3D"/>
    <w:rsid w:val="00077168"/>
    <w:rsid w:val="000771F1"/>
    <w:rsid w:val="000777EE"/>
    <w:rsid w:val="00077BF9"/>
    <w:rsid w:val="00077E2A"/>
    <w:rsid w:val="00077FC5"/>
    <w:rsid w:val="00080185"/>
    <w:rsid w:val="00080377"/>
    <w:rsid w:val="00080A49"/>
    <w:rsid w:val="00080E87"/>
    <w:rsid w:val="00080EEF"/>
    <w:rsid w:val="00081223"/>
    <w:rsid w:val="000812A5"/>
    <w:rsid w:val="00081661"/>
    <w:rsid w:val="00081AA6"/>
    <w:rsid w:val="00081ABB"/>
    <w:rsid w:val="0008211C"/>
    <w:rsid w:val="00082342"/>
    <w:rsid w:val="00082CC9"/>
    <w:rsid w:val="0008306E"/>
    <w:rsid w:val="0008333D"/>
    <w:rsid w:val="000833A2"/>
    <w:rsid w:val="000833AC"/>
    <w:rsid w:val="000834DA"/>
    <w:rsid w:val="000834E7"/>
    <w:rsid w:val="000834EB"/>
    <w:rsid w:val="00083819"/>
    <w:rsid w:val="00083916"/>
    <w:rsid w:val="0008395C"/>
    <w:rsid w:val="00083B84"/>
    <w:rsid w:val="00083E91"/>
    <w:rsid w:val="00084140"/>
    <w:rsid w:val="00084344"/>
    <w:rsid w:val="0008480D"/>
    <w:rsid w:val="00084AA8"/>
    <w:rsid w:val="00084AB9"/>
    <w:rsid w:val="00084E6A"/>
    <w:rsid w:val="00084E77"/>
    <w:rsid w:val="00084F42"/>
    <w:rsid w:val="0008504E"/>
    <w:rsid w:val="0008505E"/>
    <w:rsid w:val="00085240"/>
    <w:rsid w:val="000855C5"/>
    <w:rsid w:val="00085607"/>
    <w:rsid w:val="00085D75"/>
    <w:rsid w:val="00085DC4"/>
    <w:rsid w:val="000867AC"/>
    <w:rsid w:val="000867D4"/>
    <w:rsid w:val="00086DD8"/>
    <w:rsid w:val="00087041"/>
    <w:rsid w:val="000872C0"/>
    <w:rsid w:val="000875F0"/>
    <w:rsid w:val="00087848"/>
    <w:rsid w:val="00087C94"/>
    <w:rsid w:val="000902EE"/>
    <w:rsid w:val="00090A8A"/>
    <w:rsid w:val="00090ABB"/>
    <w:rsid w:val="00090C4D"/>
    <w:rsid w:val="00090C54"/>
    <w:rsid w:val="00090F67"/>
    <w:rsid w:val="00090FFF"/>
    <w:rsid w:val="00091248"/>
    <w:rsid w:val="00091717"/>
    <w:rsid w:val="00091DBA"/>
    <w:rsid w:val="000923C3"/>
    <w:rsid w:val="00092626"/>
    <w:rsid w:val="00092723"/>
    <w:rsid w:val="000929A2"/>
    <w:rsid w:val="00092B86"/>
    <w:rsid w:val="00093664"/>
    <w:rsid w:val="000936B6"/>
    <w:rsid w:val="00093972"/>
    <w:rsid w:val="000939CD"/>
    <w:rsid w:val="00093A9A"/>
    <w:rsid w:val="000946B6"/>
    <w:rsid w:val="00094775"/>
    <w:rsid w:val="00094A4B"/>
    <w:rsid w:val="00095067"/>
    <w:rsid w:val="00095117"/>
    <w:rsid w:val="000954F3"/>
    <w:rsid w:val="000957BE"/>
    <w:rsid w:val="00095A3F"/>
    <w:rsid w:val="00095DE0"/>
    <w:rsid w:val="000967E3"/>
    <w:rsid w:val="00096B0E"/>
    <w:rsid w:val="000975F1"/>
    <w:rsid w:val="000978A8"/>
    <w:rsid w:val="00097A32"/>
    <w:rsid w:val="00097CAE"/>
    <w:rsid w:val="000A0222"/>
    <w:rsid w:val="000A05EE"/>
    <w:rsid w:val="000A0863"/>
    <w:rsid w:val="000A094A"/>
    <w:rsid w:val="000A0C1A"/>
    <w:rsid w:val="000A13DA"/>
    <w:rsid w:val="000A18C1"/>
    <w:rsid w:val="000A1DDF"/>
    <w:rsid w:val="000A2101"/>
    <w:rsid w:val="000A2658"/>
    <w:rsid w:val="000A26E5"/>
    <w:rsid w:val="000A26E6"/>
    <w:rsid w:val="000A2DEA"/>
    <w:rsid w:val="000A2FF0"/>
    <w:rsid w:val="000A39F1"/>
    <w:rsid w:val="000A3A1A"/>
    <w:rsid w:val="000A3A5C"/>
    <w:rsid w:val="000A3DAD"/>
    <w:rsid w:val="000A40D4"/>
    <w:rsid w:val="000A48DD"/>
    <w:rsid w:val="000A4909"/>
    <w:rsid w:val="000A4BA3"/>
    <w:rsid w:val="000A4C7D"/>
    <w:rsid w:val="000A4D13"/>
    <w:rsid w:val="000A4D61"/>
    <w:rsid w:val="000A53C2"/>
    <w:rsid w:val="000A5425"/>
    <w:rsid w:val="000A589A"/>
    <w:rsid w:val="000A5B4C"/>
    <w:rsid w:val="000A5D51"/>
    <w:rsid w:val="000A5F6E"/>
    <w:rsid w:val="000A6268"/>
    <w:rsid w:val="000A630C"/>
    <w:rsid w:val="000A637F"/>
    <w:rsid w:val="000A63EA"/>
    <w:rsid w:val="000A6413"/>
    <w:rsid w:val="000A68D5"/>
    <w:rsid w:val="000A6957"/>
    <w:rsid w:val="000A7273"/>
    <w:rsid w:val="000A72DB"/>
    <w:rsid w:val="000A7617"/>
    <w:rsid w:val="000A7B9D"/>
    <w:rsid w:val="000A7C48"/>
    <w:rsid w:val="000A7D85"/>
    <w:rsid w:val="000B011C"/>
    <w:rsid w:val="000B0602"/>
    <w:rsid w:val="000B0723"/>
    <w:rsid w:val="000B0B06"/>
    <w:rsid w:val="000B0E45"/>
    <w:rsid w:val="000B0EB2"/>
    <w:rsid w:val="000B13BB"/>
    <w:rsid w:val="000B1720"/>
    <w:rsid w:val="000B19E7"/>
    <w:rsid w:val="000B1BE0"/>
    <w:rsid w:val="000B1C31"/>
    <w:rsid w:val="000B1DCC"/>
    <w:rsid w:val="000B1E28"/>
    <w:rsid w:val="000B1F06"/>
    <w:rsid w:val="000B2503"/>
    <w:rsid w:val="000B2816"/>
    <w:rsid w:val="000B2B48"/>
    <w:rsid w:val="000B35FB"/>
    <w:rsid w:val="000B3616"/>
    <w:rsid w:val="000B37D6"/>
    <w:rsid w:val="000B3F1B"/>
    <w:rsid w:val="000B3F48"/>
    <w:rsid w:val="000B42D2"/>
    <w:rsid w:val="000B42F6"/>
    <w:rsid w:val="000B46AB"/>
    <w:rsid w:val="000B4A7C"/>
    <w:rsid w:val="000B4F5F"/>
    <w:rsid w:val="000B5194"/>
    <w:rsid w:val="000B5432"/>
    <w:rsid w:val="000B58F1"/>
    <w:rsid w:val="000B59CA"/>
    <w:rsid w:val="000B5DB6"/>
    <w:rsid w:val="000B62C3"/>
    <w:rsid w:val="000B692C"/>
    <w:rsid w:val="000B6BDB"/>
    <w:rsid w:val="000B6E7B"/>
    <w:rsid w:val="000B75DF"/>
    <w:rsid w:val="000B78F8"/>
    <w:rsid w:val="000B7957"/>
    <w:rsid w:val="000B7C33"/>
    <w:rsid w:val="000C08DF"/>
    <w:rsid w:val="000C0C19"/>
    <w:rsid w:val="000C0C21"/>
    <w:rsid w:val="000C0D0D"/>
    <w:rsid w:val="000C0F79"/>
    <w:rsid w:val="000C1098"/>
    <w:rsid w:val="000C1144"/>
    <w:rsid w:val="000C1498"/>
    <w:rsid w:val="000C152C"/>
    <w:rsid w:val="000C16A4"/>
    <w:rsid w:val="000C17EA"/>
    <w:rsid w:val="000C1AC4"/>
    <w:rsid w:val="000C1E8D"/>
    <w:rsid w:val="000C1F0F"/>
    <w:rsid w:val="000C2085"/>
    <w:rsid w:val="000C2426"/>
    <w:rsid w:val="000C2721"/>
    <w:rsid w:val="000C2A4B"/>
    <w:rsid w:val="000C3137"/>
    <w:rsid w:val="000C31D3"/>
    <w:rsid w:val="000C3260"/>
    <w:rsid w:val="000C33B3"/>
    <w:rsid w:val="000C376F"/>
    <w:rsid w:val="000C3E23"/>
    <w:rsid w:val="000C4254"/>
    <w:rsid w:val="000C447D"/>
    <w:rsid w:val="000C4491"/>
    <w:rsid w:val="000C48EC"/>
    <w:rsid w:val="000C4E4A"/>
    <w:rsid w:val="000C52CE"/>
    <w:rsid w:val="000C530F"/>
    <w:rsid w:val="000C592B"/>
    <w:rsid w:val="000C5963"/>
    <w:rsid w:val="000C59BC"/>
    <w:rsid w:val="000C5D9E"/>
    <w:rsid w:val="000C6320"/>
    <w:rsid w:val="000C68F4"/>
    <w:rsid w:val="000C6987"/>
    <w:rsid w:val="000C6B12"/>
    <w:rsid w:val="000C6D96"/>
    <w:rsid w:val="000C6F28"/>
    <w:rsid w:val="000C6F99"/>
    <w:rsid w:val="000C71E5"/>
    <w:rsid w:val="000C71EC"/>
    <w:rsid w:val="000C73F9"/>
    <w:rsid w:val="000C751D"/>
    <w:rsid w:val="000C769A"/>
    <w:rsid w:val="000C7D07"/>
    <w:rsid w:val="000D001F"/>
    <w:rsid w:val="000D035D"/>
    <w:rsid w:val="000D0601"/>
    <w:rsid w:val="000D079D"/>
    <w:rsid w:val="000D0AC2"/>
    <w:rsid w:val="000D10C6"/>
    <w:rsid w:val="000D1235"/>
    <w:rsid w:val="000D128B"/>
    <w:rsid w:val="000D1442"/>
    <w:rsid w:val="000D17F2"/>
    <w:rsid w:val="000D1DD7"/>
    <w:rsid w:val="000D1FE2"/>
    <w:rsid w:val="000D2383"/>
    <w:rsid w:val="000D29FF"/>
    <w:rsid w:val="000D2A8F"/>
    <w:rsid w:val="000D2EED"/>
    <w:rsid w:val="000D2F29"/>
    <w:rsid w:val="000D2F52"/>
    <w:rsid w:val="000D3150"/>
    <w:rsid w:val="000D32B6"/>
    <w:rsid w:val="000D3F80"/>
    <w:rsid w:val="000D4290"/>
    <w:rsid w:val="000D444B"/>
    <w:rsid w:val="000D460A"/>
    <w:rsid w:val="000D460C"/>
    <w:rsid w:val="000D49CD"/>
    <w:rsid w:val="000D4A17"/>
    <w:rsid w:val="000D4C4F"/>
    <w:rsid w:val="000D58FE"/>
    <w:rsid w:val="000D6191"/>
    <w:rsid w:val="000D656F"/>
    <w:rsid w:val="000D65CD"/>
    <w:rsid w:val="000D6C70"/>
    <w:rsid w:val="000D7212"/>
    <w:rsid w:val="000D72B7"/>
    <w:rsid w:val="000D7711"/>
    <w:rsid w:val="000D795C"/>
    <w:rsid w:val="000D7A76"/>
    <w:rsid w:val="000E06BD"/>
    <w:rsid w:val="000E0F13"/>
    <w:rsid w:val="000E0FF7"/>
    <w:rsid w:val="000E10CB"/>
    <w:rsid w:val="000E172B"/>
    <w:rsid w:val="000E1832"/>
    <w:rsid w:val="000E1951"/>
    <w:rsid w:val="000E1B67"/>
    <w:rsid w:val="000E1EB9"/>
    <w:rsid w:val="000E28E1"/>
    <w:rsid w:val="000E2979"/>
    <w:rsid w:val="000E2992"/>
    <w:rsid w:val="000E2CB9"/>
    <w:rsid w:val="000E30F8"/>
    <w:rsid w:val="000E3477"/>
    <w:rsid w:val="000E3503"/>
    <w:rsid w:val="000E35F2"/>
    <w:rsid w:val="000E37DE"/>
    <w:rsid w:val="000E3E24"/>
    <w:rsid w:val="000E44D8"/>
    <w:rsid w:val="000E4777"/>
    <w:rsid w:val="000E49DB"/>
    <w:rsid w:val="000E4ACB"/>
    <w:rsid w:val="000E4CA3"/>
    <w:rsid w:val="000E532B"/>
    <w:rsid w:val="000E5345"/>
    <w:rsid w:val="000E5BB8"/>
    <w:rsid w:val="000E5BFE"/>
    <w:rsid w:val="000E5C80"/>
    <w:rsid w:val="000E66F6"/>
    <w:rsid w:val="000E6846"/>
    <w:rsid w:val="000E69AF"/>
    <w:rsid w:val="000E6A04"/>
    <w:rsid w:val="000E6E18"/>
    <w:rsid w:val="000E7429"/>
    <w:rsid w:val="000E74BC"/>
    <w:rsid w:val="000E74C5"/>
    <w:rsid w:val="000E762A"/>
    <w:rsid w:val="000E799E"/>
    <w:rsid w:val="000E79B5"/>
    <w:rsid w:val="000F03F1"/>
    <w:rsid w:val="000F0618"/>
    <w:rsid w:val="000F0AAF"/>
    <w:rsid w:val="000F0B74"/>
    <w:rsid w:val="000F0ED6"/>
    <w:rsid w:val="000F0F9B"/>
    <w:rsid w:val="000F1415"/>
    <w:rsid w:val="000F14ED"/>
    <w:rsid w:val="000F1516"/>
    <w:rsid w:val="000F1DF1"/>
    <w:rsid w:val="000F20AB"/>
    <w:rsid w:val="000F20FE"/>
    <w:rsid w:val="000F2177"/>
    <w:rsid w:val="000F2611"/>
    <w:rsid w:val="000F2E0C"/>
    <w:rsid w:val="000F3215"/>
    <w:rsid w:val="000F332D"/>
    <w:rsid w:val="000F39C3"/>
    <w:rsid w:val="000F3B03"/>
    <w:rsid w:val="000F3C03"/>
    <w:rsid w:val="000F3D02"/>
    <w:rsid w:val="000F3D0D"/>
    <w:rsid w:val="000F4345"/>
    <w:rsid w:val="000F4476"/>
    <w:rsid w:val="000F4503"/>
    <w:rsid w:val="000F4636"/>
    <w:rsid w:val="000F472B"/>
    <w:rsid w:val="000F4AD9"/>
    <w:rsid w:val="000F4C3A"/>
    <w:rsid w:val="000F4F3C"/>
    <w:rsid w:val="000F4FCB"/>
    <w:rsid w:val="000F534C"/>
    <w:rsid w:val="000F5376"/>
    <w:rsid w:val="000F5452"/>
    <w:rsid w:val="000F545F"/>
    <w:rsid w:val="000F5630"/>
    <w:rsid w:val="000F5A8C"/>
    <w:rsid w:val="000F6096"/>
    <w:rsid w:val="000F6214"/>
    <w:rsid w:val="000F6402"/>
    <w:rsid w:val="000F6462"/>
    <w:rsid w:val="000F67A5"/>
    <w:rsid w:val="000F69D9"/>
    <w:rsid w:val="000F6B00"/>
    <w:rsid w:val="000F702B"/>
    <w:rsid w:val="000F72CB"/>
    <w:rsid w:val="000F7337"/>
    <w:rsid w:val="000F78F2"/>
    <w:rsid w:val="000F7CFE"/>
    <w:rsid w:val="000F7EE0"/>
    <w:rsid w:val="000F7EF6"/>
    <w:rsid w:val="001002A6"/>
    <w:rsid w:val="00100CB5"/>
    <w:rsid w:val="00100CDE"/>
    <w:rsid w:val="00100D2E"/>
    <w:rsid w:val="00100D7D"/>
    <w:rsid w:val="00100E83"/>
    <w:rsid w:val="00101090"/>
    <w:rsid w:val="00101C83"/>
    <w:rsid w:val="00101D99"/>
    <w:rsid w:val="00101DFD"/>
    <w:rsid w:val="00102208"/>
    <w:rsid w:val="001023C8"/>
    <w:rsid w:val="001024E6"/>
    <w:rsid w:val="00102726"/>
    <w:rsid w:val="00102A49"/>
    <w:rsid w:val="00103064"/>
    <w:rsid w:val="0010326E"/>
    <w:rsid w:val="0010343D"/>
    <w:rsid w:val="0010366B"/>
    <w:rsid w:val="0010381B"/>
    <w:rsid w:val="00103B96"/>
    <w:rsid w:val="00103CE7"/>
    <w:rsid w:val="0010404A"/>
    <w:rsid w:val="00104423"/>
    <w:rsid w:val="00104CCB"/>
    <w:rsid w:val="00104F44"/>
    <w:rsid w:val="00104FD2"/>
    <w:rsid w:val="00105436"/>
    <w:rsid w:val="00105645"/>
    <w:rsid w:val="001059D6"/>
    <w:rsid w:val="00105DB1"/>
    <w:rsid w:val="00106032"/>
    <w:rsid w:val="001060AE"/>
    <w:rsid w:val="001061C2"/>
    <w:rsid w:val="001063AE"/>
    <w:rsid w:val="001066B4"/>
    <w:rsid w:val="00106ADF"/>
    <w:rsid w:val="00106C23"/>
    <w:rsid w:val="00106DE2"/>
    <w:rsid w:val="00107593"/>
    <w:rsid w:val="00107658"/>
    <w:rsid w:val="0010780F"/>
    <w:rsid w:val="00107AE7"/>
    <w:rsid w:val="00107C56"/>
    <w:rsid w:val="0011045E"/>
    <w:rsid w:val="0011068C"/>
    <w:rsid w:val="00110916"/>
    <w:rsid w:val="001109E0"/>
    <w:rsid w:val="00110B94"/>
    <w:rsid w:val="00110C3D"/>
    <w:rsid w:val="00111190"/>
    <w:rsid w:val="001111E1"/>
    <w:rsid w:val="00111EC6"/>
    <w:rsid w:val="00111F75"/>
    <w:rsid w:val="00112071"/>
    <w:rsid w:val="0011251C"/>
    <w:rsid w:val="00112A31"/>
    <w:rsid w:val="00112CEA"/>
    <w:rsid w:val="00112D73"/>
    <w:rsid w:val="00112ED3"/>
    <w:rsid w:val="00113538"/>
    <w:rsid w:val="00113631"/>
    <w:rsid w:val="00113902"/>
    <w:rsid w:val="001139A9"/>
    <w:rsid w:val="00113BFE"/>
    <w:rsid w:val="00113D6E"/>
    <w:rsid w:val="0011467A"/>
    <w:rsid w:val="00114913"/>
    <w:rsid w:val="001149C4"/>
    <w:rsid w:val="00114AE7"/>
    <w:rsid w:val="00114C12"/>
    <w:rsid w:val="00114D5C"/>
    <w:rsid w:val="0011548A"/>
    <w:rsid w:val="00115AE2"/>
    <w:rsid w:val="0011614D"/>
    <w:rsid w:val="001167D6"/>
    <w:rsid w:val="00116864"/>
    <w:rsid w:val="00116B9E"/>
    <w:rsid w:val="001170C2"/>
    <w:rsid w:val="00117420"/>
    <w:rsid w:val="00117466"/>
    <w:rsid w:val="0011760C"/>
    <w:rsid w:val="00117B2B"/>
    <w:rsid w:val="00117C8F"/>
    <w:rsid w:val="00117D8C"/>
    <w:rsid w:val="00117DBD"/>
    <w:rsid w:val="00117EC9"/>
    <w:rsid w:val="00120474"/>
    <w:rsid w:val="001205DF"/>
    <w:rsid w:val="00120BD9"/>
    <w:rsid w:val="00120E8A"/>
    <w:rsid w:val="00120F16"/>
    <w:rsid w:val="00121223"/>
    <w:rsid w:val="001212DB"/>
    <w:rsid w:val="0012185B"/>
    <w:rsid w:val="00121AC5"/>
    <w:rsid w:val="00121AC9"/>
    <w:rsid w:val="00121E7A"/>
    <w:rsid w:val="00121EBC"/>
    <w:rsid w:val="00121F26"/>
    <w:rsid w:val="001220BB"/>
    <w:rsid w:val="001227D0"/>
    <w:rsid w:val="00122D7C"/>
    <w:rsid w:val="00122E50"/>
    <w:rsid w:val="001231AE"/>
    <w:rsid w:val="00123340"/>
    <w:rsid w:val="00123400"/>
    <w:rsid w:val="001238E3"/>
    <w:rsid w:val="001239D6"/>
    <w:rsid w:val="0012420A"/>
    <w:rsid w:val="00124229"/>
    <w:rsid w:val="001244C1"/>
    <w:rsid w:val="00124636"/>
    <w:rsid w:val="00124646"/>
    <w:rsid w:val="00124A85"/>
    <w:rsid w:val="00124ED0"/>
    <w:rsid w:val="00125215"/>
    <w:rsid w:val="001257A1"/>
    <w:rsid w:val="0012582D"/>
    <w:rsid w:val="001259D2"/>
    <w:rsid w:val="00125C2E"/>
    <w:rsid w:val="00125D85"/>
    <w:rsid w:val="0012602B"/>
    <w:rsid w:val="001263BE"/>
    <w:rsid w:val="001264F2"/>
    <w:rsid w:val="00126914"/>
    <w:rsid w:val="00126BAF"/>
    <w:rsid w:val="00126D4A"/>
    <w:rsid w:val="00127D4B"/>
    <w:rsid w:val="00127ED2"/>
    <w:rsid w:val="00130293"/>
    <w:rsid w:val="001302A4"/>
    <w:rsid w:val="0013061B"/>
    <w:rsid w:val="00130D41"/>
    <w:rsid w:val="00130EF8"/>
    <w:rsid w:val="001311DD"/>
    <w:rsid w:val="0013165E"/>
    <w:rsid w:val="00131D26"/>
    <w:rsid w:val="001329B4"/>
    <w:rsid w:val="00132B26"/>
    <w:rsid w:val="00132C00"/>
    <w:rsid w:val="00132FEC"/>
    <w:rsid w:val="001333C0"/>
    <w:rsid w:val="00133B51"/>
    <w:rsid w:val="00133C03"/>
    <w:rsid w:val="00133E41"/>
    <w:rsid w:val="00133E71"/>
    <w:rsid w:val="00134171"/>
    <w:rsid w:val="00134292"/>
    <w:rsid w:val="001342F8"/>
    <w:rsid w:val="001343DA"/>
    <w:rsid w:val="0013471C"/>
    <w:rsid w:val="001347E3"/>
    <w:rsid w:val="00134896"/>
    <w:rsid w:val="001348A2"/>
    <w:rsid w:val="001348D8"/>
    <w:rsid w:val="00134B00"/>
    <w:rsid w:val="00134D8A"/>
    <w:rsid w:val="00134E5F"/>
    <w:rsid w:val="00134F3F"/>
    <w:rsid w:val="001350F6"/>
    <w:rsid w:val="0013526A"/>
    <w:rsid w:val="001356CF"/>
    <w:rsid w:val="00136009"/>
    <w:rsid w:val="0013606E"/>
    <w:rsid w:val="00136709"/>
    <w:rsid w:val="00136988"/>
    <w:rsid w:val="00136A33"/>
    <w:rsid w:val="00136A3E"/>
    <w:rsid w:val="001373BC"/>
    <w:rsid w:val="001375FC"/>
    <w:rsid w:val="001376BB"/>
    <w:rsid w:val="00140011"/>
    <w:rsid w:val="00140384"/>
    <w:rsid w:val="001407F9"/>
    <w:rsid w:val="0014083E"/>
    <w:rsid w:val="00140AB3"/>
    <w:rsid w:val="00140EA4"/>
    <w:rsid w:val="00141013"/>
    <w:rsid w:val="0014136C"/>
    <w:rsid w:val="00141846"/>
    <w:rsid w:val="00141B41"/>
    <w:rsid w:val="00141D22"/>
    <w:rsid w:val="00141F93"/>
    <w:rsid w:val="0014247C"/>
    <w:rsid w:val="00142557"/>
    <w:rsid w:val="00142568"/>
    <w:rsid w:val="00142AD3"/>
    <w:rsid w:val="00142C2E"/>
    <w:rsid w:val="00142C5A"/>
    <w:rsid w:val="00142F3D"/>
    <w:rsid w:val="00143278"/>
    <w:rsid w:val="001434C9"/>
    <w:rsid w:val="001435E2"/>
    <w:rsid w:val="001439C4"/>
    <w:rsid w:val="00143AE3"/>
    <w:rsid w:val="00143DA1"/>
    <w:rsid w:val="00144045"/>
    <w:rsid w:val="001447AD"/>
    <w:rsid w:val="00144C51"/>
    <w:rsid w:val="00144D13"/>
    <w:rsid w:val="00146068"/>
    <w:rsid w:val="00146175"/>
    <w:rsid w:val="00146C07"/>
    <w:rsid w:val="001470BD"/>
    <w:rsid w:val="001474B3"/>
    <w:rsid w:val="0014751C"/>
    <w:rsid w:val="001475D7"/>
    <w:rsid w:val="001476A1"/>
    <w:rsid w:val="0014777F"/>
    <w:rsid w:val="00147B75"/>
    <w:rsid w:val="00147C77"/>
    <w:rsid w:val="001507BF"/>
    <w:rsid w:val="00150B37"/>
    <w:rsid w:val="00150E27"/>
    <w:rsid w:val="00150F02"/>
    <w:rsid w:val="0015136E"/>
    <w:rsid w:val="0015161A"/>
    <w:rsid w:val="00151AFF"/>
    <w:rsid w:val="00151B36"/>
    <w:rsid w:val="00151D72"/>
    <w:rsid w:val="00151E03"/>
    <w:rsid w:val="0015221D"/>
    <w:rsid w:val="001524D8"/>
    <w:rsid w:val="001526B0"/>
    <w:rsid w:val="00152909"/>
    <w:rsid w:val="00153619"/>
    <w:rsid w:val="00153738"/>
    <w:rsid w:val="001539F4"/>
    <w:rsid w:val="00153BD1"/>
    <w:rsid w:val="00153E1B"/>
    <w:rsid w:val="00153EAB"/>
    <w:rsid w:val="0015424B"/>
    <w:rsid w:val="001544CC"/>
    <w:rsid w:val="001546C3"/>
    <w:rsid w:val="00154A91"/>
    <w:rsid w:val="00154B45"/>
    <w:rsid w:val="00154C9E"/>
    <w:rsid w:val="00154CC4"/>
    <w:rsid w:val="00154D5E"/>
    <w:rsid w:val="00154F84"/>
    <w:rsid w:val="0015516D"/>
    <w:rsid w:val="00155424"/>
    <w:rsid w:val="001554DC"/>
    <w:rsid w:val="001557B8"/>
    <w:rsid w:val="00155A4B"/>
    <w:rsid w:val="00155AA9"/>
    <w:rsid w:val="00155C31"/>
    <w:rsid w:val="00155CF2"/>
    <w:rsid w:val="00156478"/>
    <w:rsid w:val="00156999"/>
    <w:rsid w:val="001569A6"/>
    <w:rsid w:val="00156C42"/>
    <w:rsid w:val="00156D1A"/>
    <w:rsid w:val="00156D7A"/>
    <w:rsid w:val="00157372"/>
    <w:rsid w:val="001573EA"/>
    <w:rsid w:val="001577AA"/>
    <w:rsid w:val="0015790E"/>
    <w:rsid w:val="00157CE3"/>
    <w:rsid w:val="00157F5C"/>
    <w:rsid w:val="001601C9"/>
    <w:rsid w:val="0016021F"/>
    <w:rsid w:val="0016055C"/>
    <w:rsid w:val="00160586"/>
    <w:rsid w:val="001605A5"/>
    <w:rsid w:val="001609A8"/>
    <w:rsid w:val="00160ACE"/>
    <w:rsid w:val="0016115E"/>
    <w:rsid w:val="00162030"/>
    <w:rsid w:val="001629D7"/>
    <w:rsid w:val="00162A48"/>
    <w:rsid w:val="00163154"/>
    <w:rsid w:val="001634E4"/>
    <w:rsid w:val="0016374A"/>
    <w:rsid w:val="00163D21"/>
    <w:rsid w:val="00163D58"/>
    <w:rsid w:val="00163FE4"/>
    <w:rsid w:val="00164BC5"/>
    <w:rsid w:val="00164C72"/>
    <w:rsid w:val="00164DC5"/>
    <w:rsid w:val="0016508C"/>
    <w:rsid w:val="001651FE"/>
    <w:rsid w:val="00165792"/>
    <w:rsid w:val="00165811"/>
    <w:rsid w:val="00165B48"/>
    <w:rsid w:val="00165DC5"/>
    <w:rsid w:val="00166103"/>
    <w:rsid w:val="00166201"/>
    <w:rsid w:val="001662EA"/>
    <w:rsid w:val="0016669D"/>
    <w:rsid w:val="0016688C"/>
    <w:rsid w:val="00166D03"/>
    <w:rsid w:val="00166F8E"/>
    <w:rsid w:val="00167648"/>
    <w:rsid w:val="00167688"/>
    <w:rsid w:val="0016791F"/>
    <w:rsid w:val="00167D07"/>
    <w:rsid w:val="00167D2B"/>
    <w:rsid w:val="00167F4E"/>
    <w:rsid w:val="00167FC9"/>
    <w:rsid w:val="00170506"/>
    <w:rsid w:val="00170537"/>
    <w:rsid w:val="0017097D"/>
    <w:rsid w:val="00170A72"/>
    <w:rsid w:val="00170B1C"/>
    <w:rsid w:val="00170B66"/>
    <w:rsid w:val="00171032"/>
    <w:rsid w:val="00171491"/>
    <w:rsid w:val="00171B57"/>
    <w:rsid w:val="00171FB0"/>
    <w:rsid w:val="00172041"/>
    <w:rsid w:val="00172358"/>
    <w:rsid w:val="0017258C"/>
    <w:rsid w:val="00172626"/>
    <w:rsid w:val="001726D9"/>
    <w:rsid w:val="00172A25"/>
    <w:rsid w:val="00172D95"/>
    <w:rsid w:val="00172E18"/>
    <w:rsid w:val="001731BD"/>
    <w:rsid w:val="00173424"/>
    <w:rsid w:val="00173848"/>
    <w:rsid w:val="00174095"/>
    <w:rsid w:val="00174444"/>
    <w:rsid w:val="00174A10"/>
    <w:rsid w:val="00174A33"/>
    <w:rsid w:val="00174DA8"/>
    <w:rsid w:val="00174F66"/>
    <w:rsid w:val="0017549C"/>
    <w:rsid w:val="001754C6"/>
    <w:rsid w:val="00175503"/>
    <w:rsid w:val="001758FF"/>
    <w:rsid w:val="00175B84"/>
    <w:rsid w:val="00175DDE"/>
    <w:rsid w:val="00176211"/>
    <w:rsid w:val="00176252"/>
    <w:rsid w:val="0017676E"/>
    <w:rsid w:val="001767D6"/>
    <w:rsid w:val="00176C5A"/>
    <w:rsid w:val="00176D24"/>
    <w:rsid w:val="001771E6"/>
    <w:rsid w:val="00177430"/>
    <w:rsid w:val="0017760F"/>
    <w:rsid w:val="0017796F"/>
    <w:rsid w:val="00177AE9"/>
    <w:rsid w:val="001807AB"/>
    <w:rsid w:val="00180B1A"/>
    <w:rsid w:val="00180B99"/>
    <w:rsid w:val="001811AE"/>
    <w:rsid w:val="001811BB"/>
    <w:rsid w:val="00181674"/>
    <w:rsid w:val="00181783"/>
    <w:rsid w:val="00181973"/>
    <w:rsid w:val="00181C11"/>
    <w:rsid w:val="001820EF"/>
    <w:rsid w:val="001826DA"/>
    <w:rsid w:val="001826E8"/>
    <w:rsid w:val="00182BDD"/>
    <w:rsid w:val="00182DA8"/>
    <w:rsid w:val="00182E9E"/>
    <w:rsid w:val="00183602"/>
    <w:rsid w:val="00183869"/>
    <w:rsid w:val="00183A53"/>
    <w:rsid w:val="00183ADE"/>
    <w:rsid w:val="00183B23"/>
    <w:rsid w:val="00183B75"/>
    <w:rsid w:val="00183F66"/>
    <w:rsid w:val="00184010"/>
    <w:rsid w:val="001842F9"/>
    <w:rsid w:val="0018496E"/>
    <w:rsid w:val="00184AF5"/>
    <w:rsid w:val="00184B3C"/>
    <w:rsid w:val="00184BDE"/>
    <w:rsid w:val="00184C8B"/>
    <w:rsid w:val="00184F17"/>
    <w:rsid w:val="00185180"/>
    <w:rsid w:val="00185431"/>
    <w:rsid w:val="00185471"/>
    <w:rsid w:val="00185475"/>
    <w:rsid w:val="00185484"/>
    <w:rsid w:val="00185501"/>
    <w:rsid w:val="0018566A"/>
    <w:rsid w:val="00185D53"/>
    <w:rsid w:val="00186044"/>
    <w:rsid w:val="00186178"/>
    <w:rsid w:val="001865EB"/>
    <w:rsid w:val="00186637"/>
    <w:rsid w:val="00186AE3"/>
    <w:rsid w:val="00186B00"/>
    <w:rsid w:val="00186B7C"/>
    <w:rsid w:val="00187050"/>
    <w:rsid w:val="001875BD"/>
    <w:rsid w:val="001900F5"/>
    <w:rsid w:val="001901BE"/>
    <w:rsid w:val="0019030F"/>
    <w:rsid w:val="00190580"/>
    <w:rsid w:val="001905D9"/>
    <w:rsid w:val="00190823"/>
    <w:rsid w:val="001908B1"/>
    <w:rsid w:val="00190B47"/>
    <w:rsid w:val="0019123B"/>
    <w:rsid w:val="0019144F"/>
    <w:rsid w:val="001914C0"/>
    <w:rsid w:val="001915DD"/>
    <w:rsid w:val="00191971"/>
    <w:rsid w:val="00191EF8"/>
    <w:rsid w:val="00191F47"/>
    <w:rsid w:val="00192047"/>
    <w:rsid w:val="0019209F"/>
    <w:rsid w:val="0019216D"/>
    <w:rsid w:val="00192584"/>
    <w:rsid w:val="00192A4E"/>
    <w:rsid w:val="0019320C"/>
    <w:rsid w:val="00193961"/>
    <w:rsid w:val="00193C4C"/>
    <w:rsid w:val="00193D00"/>
    <w:rsid w:val="001944BD"/>
    <w:rsid w:val="00194669"/>
    <w:rsid w:val="001949F0"/>
    <w:rsid w:val="00194E09"/>
    <w:rsid w:val="0019524C"/>
    <w:rsid w:val="0019549F"/>
    <w:rsid w:val="001955EE"/>
    <w:rsid w:val="0019572E"/>
    <w:rsid w:val="0019590E"/>
    <w:rsid w:val="00195974"/>
    <w:rsid w:val="00195D85"/>
    <w:rsid w:val="00195E6E"/>
    <w:rsid w:val="001961DE"/>
    <w:rsid w:val="00196332"/>
    <w:rsid w:val="001964BB"/>
    <w:rsid w:val="001967F1"/>
    <w:rsid w:val="00196FF1"/>
    <w:rsid w:val="00197125"/>
    <w:rsid w:val="00197331"/>
    <w:rsid w:val="0019736E"/>
    <w:rsid w:val="001973B0"/>
    <w:rsid w:val="00197587"/>
    <w:rsid w:val="00197D16"/>
    <w:rsid w:val="00197E82"/>
    <w:rsid w:val="001A0088"/>
    <w:rsid w:val="001A0157"/>
    <w:rsid w:val="001A045B"/>
    <w:rsid w:val="001A059B"/>
    <w:rsid w:val="001A076F"/>
    <w:rsid w:val="001A0975"/>
    <w:rsid w:val="001A0ACC"/>
    <w:rsid w:val="001A0B79"/>
    <w:rsid w:val="001A0FE4"/>
    <w:rsid w:val="001A126A"/>
    <w:rsid w:val="001A1345"/>
    <w:rsid w:val="001A1537"/>
    <w:rsid w:val="001A16F7"/>
    <w:rsid w:val="001A1A51"/>
    <w:rsid w:val="001A20E7"/>
    <w:rsid w:val="001A2227"/>
    <w:rsid w:val="001A2257"/>
    <w:rsid w:val="001A2A31"/>
    <w:rsid w:val="001A2B7D"/>
    <w:rsid w:val="001A34BC"/>
    <w:rsid w:val="001A4233"/>
    <w:rsid w:val="001A426F"/>
    <w:rsid w:val="001A427C"/>
    <w:rsid w:val="001A42B5"/>
    <w:rsid w:val="001A47DE"/>
    <w:rsid w:val="001A4B43"/>
    <w:rsid w:val="001A515C"/>
    <w:rsid w:val="001A51E3"/>
    <w:rsid w:val="001A5206"/>
    <w:rsid w:val="001A540F"/>
    <w:rsid w:val="001A5835"/>
    <w:rsid w:val="001A5A72"/>
    <w:rsid w:val="001A5C77"/>
    <w:rsid w:val="001A5E05"/>
    <w:rsid w:val="001A5ECC"/>
    <w:rsid w:val="001A62A7"/>
    <w:rsid w:val="001A62E2"/>
    <w:rsid w:val="001A693E"/>
    <w:rsid w:val="001A6BB7"/>
    <w:rsid w:val="001A6C6F"/>
    <w:rsid w:val="001A703E"/>
    <w:rsid w:val="001A70B5"/>
    <w:rsid w:val="001A71E6"/>
    <w:rsid w:val="001A772A"/>
    <w:rsid w:val="001A7919"/>
    <w:rsid w:val="001A7D69"/>
    <w:rsid w:val="001B00DC"/>
    <w:rsid w:val="001B01AA"/>
    <w:rsid w:val="001B0278"/>
    <w:rsid w:val="001B0607"/>
    <w:rsid w:val="001B06B4"/>
    <w:rsid w:val="001B0813"/>
    <w:rsid w:val="001B0D98"/>
    <w:rsid w:val="001B0DF2"/>
    <w:rsid w:val="001B0F21"/>
    <w:rsid w:val="001B0F4C"/>
    <w:rsid w:val="001B0FB3"/>
    <w:rsid w:val="001B1185"/>
    <w:rsid w:val="001B1303"/>
    <w:rsid w:val="001B1308"/>
    <w:rsid w:val="001B16F3"/>
    <w:rsid w:val="001B1A41"/>
    <w:rsid w:val="001B1ADD"/>
    <w:rsid w:val="001B1B56"/>
    <w:rsid w:val="001B1B73"/>
    <w:rsid w:val="001B1BA0"/>
    <w:rsid w:val="001B1F8E"/>
    <w:rsid w:val="001B235A"/>
    <w:rsid w:val="001B2559"/>
    <w:rsid w:val="001B2A86"/>
    <w:rsid w:val="001B2D27"/>
    <w:rsid w:val="001B2D6F"/>
    <w:rsid w:val="001B2E51"/>
    <w:rsid w:val="001B333C"/>
    <w:rsid w:val="001B3793"/>
    <w:rsid w:val="001B3A90"/>
    <w:rsid w:val="001B3C26"/>
    <w:rsid w:val="001B3CB0"/>
    <w:rsid w:val="001B3D83"/>
    <w:rsid w:val="001B401F"/>
    <w:rsid w:val="001B450F"/>
    <w:rsid w:val="001B49B1"/>
    <w:rsid w:val="001B4F18"/>
    <w:rsid w:val="001B51CE"/>
    <w:rsid w:val="001B526B"/>
    <w:rsid w:val="001B5279"/>
    <w:rsid w:val="001B57A8"/>
    <w:rsid w:val="001B5832"/>
    <w:rsid w:val="001B595C"/>
    <w:rsid w:val="001B5CDE"/>
    <w:rsid w:val="001B68E2"/>
    <w:rsid w:val="001B7261"/>
    <w:rsid w:val="001B7681"/>
    <w:rsid w:val="001B7D29"/>
    <w:rsid w:val="001B7F81"/>
    <w:rsid w:val="001C00CF"/>
    <w:rsid w:val="001C06AC"/>
    <w:rsid w:val="001C0825"/>
    <w:rsid w:val="001C0978"/>
    <w:rsid w:val="001C0CE0"/>
    <w:rsid w:val="001C1120"/>
    <w:rsid w:val="001C1178"/>
    <w:rsid w:val="001C1429"/>
    <w:rsid w:val="001C1852"/>
    <w:rsid w:val="001C1865"/>
    <w:rsid w:val="001C1B02"/>
    <w:rsid w:val="001C21DC"/>
    <w:rsid w:val="001C2201"/>
    <w:rsid w:val="001C2646"/>
    <w:rsid w:val="001C27F2"/>
    <w:rsid w:val="001C28F9"/>
    <w:rsid w:val="001C2B8A"/>
    <w:rsid w:val="001C2CAD"/>
    <w:rsid w:val="001C3163"/>
    <w:rsid w:val="001C36B2"/>
    <w:rsid w:val="001C382B"/>
    <w:rsid w:val="001C38FF"/>
    <w:rsid w:val="001C3E16"/>
    <w:rsid w:val="001C3E8C"/>
    <w:rsid w:val="001C4024"/>
    <w:rsid w:val="001C4071"/>
    <w:rsid w:val="001C40F6"/>
    <w:rsid w:val="001C4417"/>
    <w:rsid w:val="001C44FC"/>
    <w:rsid w:val="001C46CB"/>
    <w:rsid w:val="001C4A87"/>
    <w:rsid w:val="001C4B30"/>
    <w:rsid w:val="001C4DE2"/>
    <w:rsid w:val="001C5080"/>
    <w:rsid w:val="001C542A"/>
    <w:rsid w:val="001C5869"/>
    <w:rsid w:val="001C5A42"/>
    <w:rsid w:val="001C5B7B"/>
    <w:rsid w:val="001C5D84"/>
    <w:rsid w:val="001C5DA8"/>
    <w:rsid w:val="001C613F"/>
    <w:rsid w:val="001C64A5"/>
    <w:rsid w:val="001C6695"/>
    <w:rsid w:val="001C66A5"/>
    <w:rsid w:val="001C66DC"/>
    <w:rsid w:val="001C6BAC"/>
    <w:rsid w:val="001C6C92"/>
    <w:rsid w:val="001C7308"/>
    <w:rsid w:val="001C7396"/>
    <w:rsid w:val="001C76D4"/>
    <w:rsid w:val="001C7EE9"/>
    <w:rsid w:val="001C7EEC"/>
    <w:rsid w:val="001C7FDB"/>
    <w:rsid w:val="001D023B"/>
    <w:rsid w:val="001D05FB"/>
    <w:rsid w:val="001D064C"/>
    <w:rsid w:val="001D0856"/>
    <w:rsid w:val="001D09A7"/>
    <w:rsid w:val="001D0AB1"/>
    <w:rsid w:val="001D0B5E"/>
    <w:rsid w:val="001D0C8A"/>
    <w:rsid w:val="001D0D7F"/>
    <w:rsid w:val="001D0EBD"/>
    <w:rsid w:val="001D10C3"/>
    <w:rsid w:val="001D13C2"/>
    <w:rsid w:val="001D182F"/>
    <w:rsid w:val="001D1A5A"/>
    <w:rsid w:val="001D1FBF"/>
    <w:rsid w:val="001D20F5"/>
    <w:rsid w:val="001D27D1"/>
    <w:rsid w:val="001D28B2"/>
    <w:rsid w:val="001D29D3"/>
    <w:rsid w:val="001D2A3E"/>
    <w:rsid w:val="001D35FD"/>
    <w:rsid w:val="001D364B"/>
    <w:rsid w:val="001D3B7B"/>
    <w:rsid w:val="001D3CA9"/>
    <w:rsid w:val="001D3EA5"/>
    <w:rsid w:val="001D3FCB"/>
    <w:rsid w:val="001D430A"/>
    <w:rsid w:val="001D4EE4"/>
    <w:rsid w:val="001D4F8C"/>
    <w:rsid w:val="001D5565"/>
    <w:rsid w:val="001D568C"/>
    <w:rsid w:val="001D5799"/>
    <w:rsid w:val="001D5916"/>
    <w:rsid w:val="001D5AC6"/>
    <w:rsid w:val="001D6119"/>
    <w:rsid w:val="001D6162"/>
    <w:rsid w:val="001D6911"/>
    <w:rsid w:val="001D69BA"/>
    <w:rsid w:val="001D69C3"/>
    <w:rsid w:val="001D6B80"/>
    <w:rsid w:val="001D6E23"/>
    <w:rsid w:val="001D6F2E"/>
    <w:rsid w:val="001D75F2"/>
    <w:rsid w:val="001D7920"/>
    <w:rsid w:val="001D7B16"/>
    <w:rsid w:val="001D7CF1"/>
    <w:rsid w:val="001D7E13"/>
    <w:rsid w:val="001D7E68"/>
    <w:rsid w:val="001E0A5E"/>
    <w:rsid w:val="001E0AC0"/>
    <w:rsid w:val="001E0B63"/>
    <w:rsid w:val="001E0C06"/>
    <w:rsid w:val="001E0C77"/>
    <w:rsid w:val="001E0D17"/>
    <w:rsid w:val="001E0DD4"/>
    <w:rsid w:val="001E1572"/>
    <w:rsid w:val="001E1B99"/>
    <w:rsid w:val="001E1F6F"/>
    <w:rsid w:val="001E2841"/>
    <w:rsid w:val="001E3389"/>
    <w:rsid w:val="001E348F"/>
    <w:rsid w:val="001E36CE"/>
    <w:rsid w:val="001E3B87"/>
    <w:rsid w:val="001E3BFD"/>
    <w:rsid w:val="001E3EC7"/>
    <w:rsid w:val="001E40DA"/>
    <w:rsid w:val="001E42F5"/>
    <w:rsid w:val="001E43A6"/>
    <w:rsid w:val="001E4410"/>
    <w:rsid w:val="001E4630"/>
    <w:rsid w:val="001E4B55"/>
    <w:rsid w:val="001E4E93"/>
    <w:rsid w:val="001E535B"/>
    <w:rsid w:val="001E5797"/>
    <w:rsid w:val="001E5B18"/>
    <w:rsid w:val="001E5F3C"/>
    <w:rsid w:val="001E649A"/>
    <w:rsid w:val="001E6526"/>
    <w:rsid w:val="001E6593"/>
    <w:rsid w:val="001E7241"/>
    <w:rsid w:val="001E7593"/>
    <w:rsid w:val="001E7641"/>
    <w:rsid w:val="001E76AC"/>
    <w:rsid w:val="001E7BC6"/>
    <w:rsid w:val="001E7C96"/>
    <w:rsid w:val="001E7F23"/>
    <w:rsid w:val="001F01EB"/>
    <w:rsid w:val="001F07BC"/>
    <w:rsid w:val="001F0A8E"/>
    <w:rsid w:val="001F0D8A"/>
    <w:rsid w:val="001F0D9C"/>
    <w:rsid w:val="001F0FB7"/>
    <w:rsid w:val="001F128C"/>
    <w:rsid w:val="001F167E"/>
    <w:rsid w:val="001F1767"/>
    <w:rsid w:val="001F1BA4"/>
    <w:rsid w:val="001F21E2"/>
    <w:rsid w:val="001F21F3"/>
    <w:rsid w:val="001F2431"/>
    <w:rsid w:val="001F2590"/>
    <w:rsid w:val="001F2633"/>
    <w:rsid w:val="001F2A73"/>
    <w:rsid w:val="001F300B"/>
    <w:rsid w:val="001F307B"/>
    <w:rsid w:val="001F32D7"/>
    <w:rsid w:val="001F3715"/>
    <w:rsid w:val="001F386E"/>
    <w:rsid w:val="001F3933"/>
    <w:rsid w:val="001F3BD8"/>
    <w:rsid w:val="001F459A"/>
    <w:rsid w:val="001F48B5"/>
    <w:rsid w:val="001F48FD"/>
    <w:rsid w:val="001F4AF4"/>
    <w:rsid w:val="001F5726"/>
    <w:rsid w:val="001F575C"/>
    <w:rsid w:val="001F5840"/>
    <w:rsid w:val="001F5843"/>
    <w:rsid w:val="001F6136"/>
    <w:rsid w:val="001F657D"/>
    <w:rsid w:val="001F6F38"/>
    <w:rsid w:val="001F73ED"/>
    <w:rsid w:val="001F7584"/>
    <w:rsid w:val="001F769D"/>
    <w:rsid w:val="001F7904"/>
    <w:rsid w:val="002002D5"/>
    <w:rsid w:val="0020050A"/>
    <w:rsid w:val="002006FA"/>
    <w:rsid w:val="00200BE4"/>
    <w:rsid w:val="00200DA8"/>
    <w:rsid w:val="00201341"/>
    <w:rsid w:val="00201465"/>
    <w:rsid w:val="00201DFA"/>
    <w:rsid w:val="00202270"/>
    <w:rsid w:val="002024F5"/>
    <w:rsid w:val="00202917"/>
    <w:rsid w:val="00202AD3"/>
    <w:rsid w:val="00202B3A"/>
    <w:rsid w:val="00202DCE"/>
    <w:rsid w:val="00202DD6"/>
    <w:rsid w:val="00202E5B"/>
    <w:rsid w:val="00202EBA"/>
    <w:rsid w:val="00202F33"/>
    <w:rsid w:val="0020370C"/>
    <w:rsid w:val="0020378B"/>
    <w:rsid w:val="00203AAB"/>
    <w:rsid w:val="00203EBA"/>
    <w:rsid w:val="002047C5"/>
    <w:rsid w:val="0020492F"/>
    <w:rsid w:val="00204968"/>
    <w:rsid w:val="00204D17"/>
    <w:rsid w:val="00204E2D"/>
    <w:rsid w:val="00204FB6"/>
    <w:rsid w:val="00205356"/>
    <w:rsid w:val="0020556E"/>
    <w:rsid w:val="00205883"/>
    <w:rsid w:val="002058F6"/>
    <w:rsid w:val="002059FD"/>
    <w:rsid w:val="00205FD4"/>
    <w:rsid w:val="0020609F"/>
    <w:rsid w:val="002064DC"/>
    <w:rsid w:val="0020651F"/>
    <w:rsid w:val="002077D5"/>
    <w:rsid w:val="00207B80"/>
    <w:rsid w:val="00207EF6"/>
    <w:rsid w:val="00210630"/>
    <w:rsid w:val="0021074A"/>
    <w:rsid w:val="00210B68"/>
    <w:rsid w:val="002115DB"/>
    <w:rsid w:val="0021174C"/>
    <w:rsid w:val="00211788"/>
    <w:rsid w:val="00211A0C"/>
    <w:rsid w:val="002120C6"/>
    <w:rsid w:val="00212AD0"/>
    <w:rsid w:val="00212E09"/>
    <w:rsid w:val="00213577"/>
    <w:rsid w:val="00213765"/>
    <w:rsid w:val="00213915"/>
    <w:rsid w:val="00213930"/>
    <w:rsid w:val="00213AC3"/>
    <w:rsid w:val="0021451E"/>
    <w:rsid w:val="00214DB2"/>
    <w:rsid w:val="00215246"/>
    <w:rsid w:val="002154A3"/>
    <w:rsid w:val="002156A0"/>
    <w:rsid w:val="00215737"/>
    <w:rsid w:val="002159BE"/>
    <w:rsid w:val="00215D2B"/>
    <w:rsid w:val="00215F93"/>
    <w:rsid w:val="0021604C"/>
    <w:rsid w:val="002160F2"/>
    <w:rsid w:val="00216277"/>
    <w:rsid w:val="002162D9"/>
    <w:rsid w:val="002163E0"/>
    <w:rsid w:val="00216509"/>
    <w:rsid w:val="00216904"/>
    <w:rsid w:val="00216BAB"/>
    <w:rsid w:val="00216F0A"/>
    <w:rsid w:val="00216F51"/>
    <w:rsid w:val="002171E9"/>
    <w:rsid w:val="00217237"/>
    <w:rsid w:val="002172CB"/>
    <w:rsid w:val="0021748F"/>
    <w:rsid w:val="00217699"/>
    <w:rsid w:val="00217792"/>
    <w:rsid w:val="00217C86"/>
    <w:rsid w:val="00217EA0"/>
    <w:rsid w:val="00220101"/>
    <w:rsid w:val="0022025F"/>
    <w:rsid w:val="002205ED"/>
    <w:rsid w:val="002206D0"/>
    <w:rsid w:val="00220792"/>
    <w:rsid w:val="00220D2C"/>
    <w:rsid w:val="00220F8D"/>
    <w:rsid w:val="00221022"/>
    <w:rsid w:val="002213E2"/>
    <w:rsid w:val="002214AA"/>
    <w:rsid w:val="00221C6D"/>
    <w:rsid w:val="002223B1"/>
    <w:rsid w:val="00222415"/>
    <w:rsid w:val="002230D2"/>
    <w:rsid w:val="00223A64"/>
    <w:rsid w:val="00223FCA"/>
    <w:rsid w:val="00224A10"/>
    <w:rsid w:val="00224A7C"/>
    <w:rsid w:val="00224A8C"/>
    <w:rsid w:val="00224B19"/>
    <w:rsid w:val="00224CBF"/>
    <w:rsid w:val="00224EDF"/>
    <w:rsid w:val="0022542C"/>
    <w:rsid w:val="00225620"/>
    <w:rsid w:val="00225853"/>
    <w:rsid w:val="00225929"/>
    <w:rsid w:val="00225E83"/>
    <w:rsid w:val="00226740"/>
    <w:rsid w:val="00226A08"/>
    <w:rsid w:val="00226E43"/>
    <w:rsid w:val="0022741B"/>
    <w:rsid w:val="00227423"/>
    <w:rsid w:val="00227494"/>
    <w:rsid w:val="002275B4"/>
    <w:rsid w:val="00227BDF"/>
    <w:rsid w:val="00227BE7"/>
    <w:rsid w:val="00230248"/>
    <w:rsid w:val="0023025A"/>
    <w:rsid w:val="0023064C"/>
    <w:rsid w:val="00230771"/>
    <w:rsid w:val="00230A09"/>
    <w:rsid w:val="00231041"/>
    <w:rsid w:val="0023111C"/>
    <w:rsid w:val="00231526"/>
    <w:rsid w:val="0023259B"/>
    <w:rsid w:val="002326A8"/>
    <w:rsid w:val="00232856"/>
    <w:rsid w:val="00232FF3"/>
    <w:rsid w:val="00233215"/>
    <w:rsid w:val="002333A9"/>
    <w:rsid w:val="00233581"/>
    <w:rsid w:val="002338E7"/>
    <w:rsid w:val="00233970"/>
    <w:rsid w:val="00234526"/>
    <w:rsid w:val="00234529"/>
    <w:rsid w:val="0023455C"/>
    <w:rsid w:val="00234D70"/>
    <w:rsid w:val="0023506F"/>
    <w:rsid w:val="00235315"/>
    <w:rsid w:val="00235808"/>
    <w:rsid w:val="00235B05"/>
    <w:rsid w:val="00235F8B"/>
    <w:rsid w:val="002361E7"/>
    <w:rsid w:val="002361FE"/>
    <w:rsid w:val="00236263"/>
    <w:rsid w:val="002363C6"/>
    <w:rsid w:val="002363FD"/>
    <w:rsid w:val="00237009"/>
    <w:rsid w:val="0023774C"/>
    <w:rsid w:val="00237A94"/>
    <w:rsid w:val="00237AA0"/>
    <w:rsid w:val="00237ABA"/>
    <w:rsid w:val="00237BF6"/>
    <w:rsid w:val="00237E4B"/>
    <w:rsid w:val="00237F61"/>
    <w:rsid w:val="0024035A"/>
    <w:rsid w:val="00240388"/>
    <w:rsid w:val="0024062B"/>
    <w:rsid w:val="00240A7F"/>
    <w:rsid w:val="00240B0C"/>
    <w:rsid w:val="00240E23"/>
    <w:rsid w:val="00241124"/>
    <w:rsid w:val="002412BF"/>
    <w:rsid w:val="00241541"/>
    <w:rsid w:val="00241552"/>
    <w:rsid w:val="00241657"/>
    <w:rsid w:val="00241699"/>
    <w:rsid w:val="00241AD4"/>
    <w:rsid w:val="00241C97"/>
    <w:rsid w:val="00241D69"/>
    <w:rsid w:val="00242126"/>
    <w:rsid w:val="00242136"/>
    <w:rsid w:val="00242B00"/>
    <w:rsid w:val="002430EA"/>
    <w:rsid w:val="0024391A"/>
    <w:rsid w:val="002444F4"/>
    <w:rsid w:val="00244593"/>
    <w:rsid w:val="0024481B"/>
    <w:rsid w:val="00244859"/>
    <w:rsid w:val="00244B6A"/>
    <w:rsid w:val="00245042"/>
    <w:rsid w:val="0024505E"/>
    <w:rsid w:val="00245A1B"/>
    <w:rsid w:val="00245A78"/>
    <w:rsid w:val="0024621E"/>
    <w:rsid w:val="002462FA"/>
    <w:rsid w:val="00246935"/>
    <w:rsid w:val="0024707D"/>
    <w:rsid w:val="002475D1"/>
    <w:rsid w:val="0024773A"/>
    <w:rsid w:val="002477AE"/>
    <w:rsid w:val="00247E2F"/>
    <w:rsid w:val="00250047"/>
    <w:rsid w:val="0025049B"/>
    <w:rsid w:val="00250904"/>
    <w:rsid w:val="00250D28"/>
    <w:rsid w:val="00251083"/>
    <w:rsid w:val="00251091"/>
    <w:rsid w:val="002516C3"/>
    <w:rsid w:val="00251702"/>
    <w:rsid w:val="00252057"/>
    <w:rsid w:val="00252895"/>
    <w:rsid w:val="002529E6"/>
    <w:rsid w:val="00252A34"/>
    <w:rsid w:val="00252A9A"/>
    <w:rsid w:val="002530F0"/>
    <w:rsid w:val="002535AF"/>
    <w:rsid w:val="00253F23"/>
    <w:rsid w:val="00254379"/>
    <w:rsid w:val="00254695"/>
    <w:rsid w:val="00254834"/>
    <w:rsid w:val="002549B8"/>
    <w:rsid w:val="00254A5D"/>
    <w:rsid w:val="00254C26"/>
    <w:rsid w:val="00254FFD"/>
    <w:rsid w:val="002553F8"/>
    <w:rsid w:val="002554EF"/>
    <w:rsid w:val="0025552E"/>
    <w:rsid w:val="002556E5"/>
    <w:rsid w:val="00255D0A"/>
    <w:rsid w:val="002568F4"/>
    <w:rsid w:val="00256B8B"/>
    <w:rsid w:val="00256EC6"/>
    <w:rsid w:val="0025761A"/>
    <w:rsid w:val="00257710"/>
    <w:rsid w:val="0025772A"/>
    <w:rsid w:val="00257BA2"/>
    <w:rsid w:val="00257E8A"/>
    <w:rsid w:val="00257E97"/>
    <w:rsid w:val="00257ED1"/>
    <w:rsid w:val="00257F66"/>
    <w:rsid w:val="00260058"/>
    <w:rsid w:val="002604E7"/>
    <w:rsid w:val="002607A8"/>
    <w:rsid w:val="002609E3"/>
    <w:rsid w:val="00260B80"/>
    <w:rsid w:val="00260EC8"/>
    <w:rsid w:val="00260FBC"/>
    <w:rsid w:val="0026107F"/>
    <w:rsid w:val="00261BB4"/>
    <w:rsid w:val="0026212F"/>
    <w:rsid w:val="002623D6"/>
    <w:rsid w:val="00262413"/>
    <w:rsid w:val="0026241E"/>
    <w:rsid w:val="00262440"/>
    <w:rsid w:val="00262A2E"/>
    <w:rsid w:val="00263009"/>
    <w:rsid w:val="00263336"/>
    <w:rsid w:val="0026409E"/>
    <w:rsid w:val="0026486D"/>
    <w:rsid w:val="002648CC"/>
    <w:rsid w:val="002648EA"/>
    <w:rsid w:val="00264A0F"/>
    <w:rsid w:val="00264B09"/>
    <w:rsid w:val="00264B61"/>
    <w:rsid w:val="00264C3B"/>
    <w:rsid w:val="00264C5D"/>
    <w:rsid w:val="00264E20"/>
    <w:rsid w:val="00264E84"/>
    <w:rsid w:val="00264F70"/>
    <w:rsid w:val="00265158"/>
    <w:rsid w:val="0026578F"/>
    <w:rsid w:val="00265A0B"/>
    <w:rsid w:val="00265A42"/>
    <w:rsid w:val="00265D11"/>
    <w:rsid w:val="00265FBE"/>
    <w:rsid w:val="002660C0"/>
    <w:rsid w:val="002664B1"/>
    <w:rsid w:val="002664CF"/>
    <w:rsid w:val="00266712"/>
    <w:rsid w:val="002669F7"/>
    <w:rsid w:val="00266A89"/>
    <w:rsid w:val="00266B8E"/>
    <w:rsid w:val="00267172"/>
    <w:rsid w:val="00267261"/>
    <w:rsid w:val="0026736F"/>
    <w:rsid w:val="0026766F"/>
    <w:rsid w:val="002676A2"/>
    <w:rsid w:val="00267819"/>
    <w:rsid w:val="00270573"/>
    <w:rsid w:val="00270926"/>
    <w:rsid w:val="00270A2E"/>
    <w:rsid w:val="00270E65"/>
    <w:rsid w:val="00270F2B"/>
    <w:rsid w:val="002710F9"/>
    <w:rsid w:val="0027110A"/>
    <w:rsid w:val="002712E8"/>
    <w:rsid w:val="0027130F"/>
    <w:rsid w:val="00271366"/>
    <w:rsid w:val="0027156E"/>
    <w:rsid w:val="00271640"/>
    <w:rsid w:val="00271789"/>
    <w:rsid w:val="00271841"/>
    <w:rsid w:val="00271ABC"/>
    <w:rsid w:val="00271B56"/>
    <w:rsid w:val="00271C07"/>
    <w:rsid w:val="00271C1F"/>
    <w:rsid w:val="00272263"/>
    <w:rsid w:val="0027246C"/>
    <w:rsid w:val="002726C1"/>
    <w:rsid w:val="00272A7E"/>
    <w:rsid w:val="00273525"/>
    <w:rsid w:val="00273D8E"/>
    <w:rsid w:val="00274088"/>
    <w:rsid w:val="002740FD"/>
    <w:rsid w:val="0027453B"/>
    <w:rsid w:val="002749EB"/>
    <w:rsid w:val="00274E18"/>
    <w:rsid w:val="0027518E"/>
    <w:rsid w:val="002752B1"/>
    <w:rsid w:val="002752E6"/>
    <w:rsid w:val="002755A2"/>
    <w:rsid w:val="0027572E"/>
    <w:rsid w:val="00275901"/>
    <w:rsid w:val="00275961"/>
    <w:rsid w:val="00275CFF"/>
    <w:rsid w:val="0027611E"/>
    <w:rsid w:val="00276462"/>
    <w:rsid w:val="00276539"/>
    <w:rsid w:val="00276CCF"/>
    <w:rsid w:val="00276EAC"/>
    <w:rsid w:val="0027702E"/>
    <w:rsid w:val="002770C6"/>
    <w:rsid w:val="0027769B"/>
    <w:rsid w:val="002777D6"/>
    <w:rsid w:val="00277997"/>
    <w:rsid w:val="00277C73"/>
    <w:rsid w:val="002802ED"/>
    <w:rsid w:val="00280757"/>
    <w:rsid w:val="0028076F"/>
    <w:rsid w:val="0028085B"/>
    <w:rsid w:val="00280BC1"/>
    <w:rsid w:val="00281153"/>
    <w:rsid w:val="00281A03"/>
    <w:rsid w:val="00281ECE"/>
    <w:rsid w:val="0028211D"/>
    <w:rsid w:val="0028227B"/>
    <w:rsid w:val="002825B5"/>
    <w:rsid w:val="002827C6"/>
    <w:rsid w:val="00282891"/>
    <w:rsid w:val="00283499"/>
    <w:rsid w:val="0028352A"/>
    <w:rsid w:val="00283553"/>
    <w:rsid w:val="002836E8"/>
    <w:rsid w:val="0028382C"/>
    <w:rsid w:val="00283AFD"/>
    <w:rsid w:val="00283C14"/>
    <w:rsid w:val="00284158"/>
    <w:rsid w:val="00284313"/>
    <w:rsid w:val="00284885"/>
    <w:rsid w:val="00284890"/>
    <w:rsid w:val="002848CA"/>
    <w:rsid w:val="00284A2D"/>
    <w:rsid w:val="00284A75"/>
    <w:rsid w:val="00284B9E"/>
    <w:rsid w:val="002851BF"/>
    <w:rsid w:val="00285433"/>
    <w:rsid w:val="0028559F"/>
    <w:rsid w:val="00285740"/>
    <w:rsid w:val="002858F9"/>
    <w:rsid w:val="002859D4"/>
    <w:rsid w:val="00286587"/>
    <w:rsid w:val="0028697A"/>
    <w:rsid w:val="00286DDC"/>
    <w:rsid w:val="00286FA5"/>
    <w:rsid w:val="002877F9"/>
    <w:rsid w:val="002879CE"/>
    <w:rsid w:val="00287AAB"/>
    <w:rsid w:val="00287C5B"/>
    <w:rsid w:val="00287CC0"/>
    <w:rsid w:val="00287FC6"/>
    <w:rsid w:val="00290311"/>
    <w:rsid w:val="00290355"/>
    <w:rsid w:val="00290448"/>
    <w:rsid w:val="00290AC6"/>
    <w:rsid w:val="00290CBA"/>
    <w:rsid w:val="00290EB2"/>
    <w:rsid w:val="00290F74"/>
    <w:rsid w:val="00291301"/>
    <w:rsid w:val="0029131A"/>
    <w:rsid w:val="0029141E"/>
    <w:rsid w:val="002916F4"/>
    <w:rsid w:val="00291AFC"/>
    <w:rsid w:val="00291C0D"/>
    <w:rsid w:val="00291E31"/>
    <w:rsid w:val="00291FB4"/>
    <w:rsid w:val="00292537"/>
    <w:rsid w:val="00292773"/>
    <w:rsid w:val="00292A35"/>
    <w:rsid w:val="00292C39"/>
    <w:rsid w:val="00292E8A"/>
    <w:rsid w:val="00292EE6"/>
    <w:rsid w:val="00293396"/>
    <w:rsid w:val="0029364B"/>
    <w:rsid w:val="00293BDD"/>
    <w:rsid w:val="00293C25"/>
    <w:rsid w:val="00293DF1"/>
    <w:rsid w:val="00293FB2"/>
    <w:rsid w:val="002945F9"/>
    <w:rsid w:val="0029497C"/>
    <w:rsid w:val="00294E50"/>
    <w:rsid w:val="00294FA7"/>
    <w:rsid w:val="002953D6"/>
    <w:rsid w:val="002955E4"/>
    <w:rsid w:val="00295AEC"/>
    <w:rsid w:val="00295C04"/>
    <w:rsid w:val="00295D0E"/>
    <w:rsid w:val="00295D9A"/>
    <w:rsid w:val="00295F6A"/>
    <w:rsid w:val="00296236"/>
    <w:rsid w:val="00296302"/>
    <w:rsid w:val="00296354"/>
    <w:rsid w:val="00296812"/>
    <w:rsid w:val="00296C53"/>
    <w:rsid w:val="00296DF0"/>
    <w:rsid w:val="0029725C"/>
    <w:rsid w:val="00297461"/>
    <w:rsid w:val="00297B45"/>
    <w:rsid w:val="002A043F"/>
    <w:rsid w:val="002A0466"/>
    <w:rsid w:val="002A0491"/>
    <w:rsid w:val="002A05C8"/>
    <w:rsid w:val="002A0666"/>
    <w:rsid w:val="002A0953"/>
    <w:rsid w:val="002A0C53"/>
    <w:rsid w:val="002A0FB2"/>
    <w:rsid w:val="002A0FD5"/>
    <w:rsid w:val="002A112A"/>
    <w:rsid w:val="002A11B3"/>
    <w:rsid w:val="002A142C"/>
    <w:rsid w:val="002A17CD"/>
    <w:rsid w:val="002A186A"/>
    <w:rsid w:val="002A1989"/>
    <w:rsid w:val="002A1C54"/>
    <w:rsid w:val="002A1EBD"/>
    <w:rsid w:val="002A1FCF"/>
    <w:rsid w:val="002A216D"/>
    <w:rsid w:val="002A2660"/>
    <w:rsid w:val="002A2710"/>
    <w:rsid w:val="002A2BCE"/>
    <w:rsid w:val="002A2D15"/>
    <w:rsid w:val="002A2D40"/>
    <w:rsid w:val="002A33CE"/>
    <w:rsid w:val="002A34F3"/>
    <w:rsid w:val="002A353E"/>
    <w:rsid w:val="002A355B"/>
    <w:rsid w:val="002A3816"/>
    <w:rsid w:val="002A381E"/>
    <w:rsid w:val="002A391D"/>
    <w:rsid w:val="002A39D6"/>
    <w:rsid w:val="002A3A3D"/>
    <w:rsid w:val="002A3B69"/>
    <w:rsid w:val="002A3D43"/>
    <w:rsid w:val="002A3D61"/>
    <w:rsid w:val="002A3FAD"/>
    <w:rsid w:val="002A4043"/>
    <w:rsid w:val="002A45A3"/>
    <w:rsid w:val="002A4A1B"/>
    <w:rsid w:val="002A4CCA"/>
    <w:rsid w:val="002A4CE7"/>
    <w:rsid w:val="002A5184"/>
    <w:rsid w:val="002A531E"/>
    <w:rsid w:val="002A5682"/>
    <w:rsid w:val="002A5717"/>
    <w:rsid w:val="002A573C"/>
    <w:rsid w:val="002A58D8"/>
    <w:rsid w:val="002A5A72"/>
    <w:rsid w:val="002A5AAA"/>
    <w:rsid w:val="002A5EA3"/>
    <w:rsid w:val="002A601C"/>
    <w:rsid w:val="002A6097"/>
    <w:rsid w:val="002A61DB"/>
    <w:rsid w:val="002A61DF"/>
    <w:rsid w:val="002A63EC"/>
    <w:rsid w:val="002A654C"/>
    <w:rsid w:val="002A6805"/>
    <w:rsid w:val="002A6825"/>
    <w:rsid w:val="002A68FE"/>
    <w:rsid w:val="002A698C"/>
    <w:rsid w:val="002A6BA9"/>
    <w:rsid w:val="002A74D3"/>
    <w:rsid w:val="002A74D6"/>
    <w:rsid w:val="002A753A"/>
    <w:rsid w:val="002A7834"/>
    <w:rsid w:val="002A79B0"/>
    <w:rsid w:val="002A7AF1"/>
    <w:rsid w:val="002A7DBA"/>
    <w:rsid w:val="002A7FAA"/>
    <w:rsid w:val="002B06C0"/>
    <w:rsid w:val="002B0B90"/>
    <w:rsid w:val="002B13D0"/>
    <w:rsid w:val="002B1476"/>
    <w:rsid w:val="002B149F"/>
    <w:rsid w:val="002B14F5"/>
    <w:rsid w:val="002B15A0"/>
    <w:rsid w:val="002B1C66"/>
    <w:rsid w:val="002B1F44"/>
    <w:rsid w:val="002B20B0"/>
    <w:rsid w:val="002B22BB"/>
    <w:rsid w:val="002B2394"/>
    <w:rsid w:val="002B284A"/>
    <w:rsid w:val="002B28AA"/>
    <w:rsid w:val="002B2D92"/>
    <w:rsid w:val="002B2EEF"/>
    <w:rsid w:val="002B311D"/>
    <w:rsid w:val="002B36AB"/>
    <w:rsid w:val="002B3774"/>
    <w:rsid w:val="002B3902"/>
    <w:rsid w:val="002B3A06"/>
    <w:rsid w:val="002B4109"/>
    <w:rsid w:val="002B45A6"/>
    <w:rsid w:val="002B481F"/>
    <w:rsid w:val="002B4CA8"/>
    <w:rsid w:val="002B5006"/>
    <w:rsid w:val="002B52EB"/>
    <w:rsid w:val="002B591E"/>
    <w:rsid w:val="002B5CA6"/>
    <w:rsid w:val="002B5EAA"/>
    <w:rsid w:val="002B5FDB"/>
    <w:rsid w:val="002B61DF"/>
    <w:rsid w:val="002B6293"/>
    <w:rsid w:val="002B643F"/>
    <w:rsid w:val="002B64B4"/>
    <w:rsid w:val="002B6638"/>
    <w:rsid w:val="002B6D4A"/>
    <w:rsid w:val="002B6F34"/>
    <w:rsid w:val="002B72A1"/>
    <w:rsid w:val="002B76BF"/>
    <w:rsid w:val="002B78AF"/>
    <w:rsid w:val="002B7D68"/>
    <w:rsid w:val="002C00A5"/>
    <w:rsid w:val="002C0682"/>
    <w:rsid w:val="002C0B39"/>
    <w:rsid w:val="002C0BF9"/>
    <w:rsid w:val="002C0E51"/>
    <w:rsid w:val="002C1582"/>
    <w:rsid w:val="002C1F01"/>
    <w:rsid w:val="002C2151"/>
    <w:rsid w:val="002C2428"/>
    <w:rsid w:val="002C26EB"/>
    <w:rsid w:val="002C2C59"/>
    <w:rsid w:val="002C2D38"/>
    <w:rsid w:val="002C2F24"/>
    <w:rsid w:val="002C33A1"/>
    <w:rsid w:val="002C3AE2"/>
    <w:rsid w:val="002C3BCC"/>
    <w:rsid w:val="002C4124"/>
    <w:rsid w:val="002C416E"/>
    <w:rsid w:val="002C4370"/>
    <w:rsid w:val="002C4DA4"/>
    <w:rsid w:val="002C4E00"/>
    <w:rsid w:val="002C4EA3"/>
    <w:rsid w:val="002C52B0"/>
    <w:rsid w:val="002C5356"/>
    <w:rsid w:val="002C572A"/>
    <w:rsid w:val="002C5A42"/>
    <w:rsid w:val="002C5BD6"/>
    <w:rsid w:val="002C5DC3"/>
    <w:rsid w:val="002C6259"/>
    <w:rsid w:val="002C69E6"/>
    <w:rsid w:val="002C6A63"/>
    <w:rsid w:val="002C6E85"/>
    <w:rsid w:val="002C6F00"/>
    <w:rsid w:val="002C7065"/>
    <w:rsid w:val="002C71A4"/>
    <w:rsid w:val="002C71C9"/>
    <w:rsid w:val="002C73C3"/>
    <w:rsid w:val="002C74A1"/>
    <w:rsid w:val="002C7529"/>
    <w:rsid w:val="002C76E9"/>
    <w:rsid w:val="002C7898"/>
    <w:rsid w:val="002C7ADB"/>
    <w:rsid w:val="002C7BFE"/>
    <w:rsid w:val="002C7D1B"/>
    <w:rsid w:val="002C7DAE"/>
    <w:rsid w:val="002D07A4"/>
    <w:rsid w:val="002D0A1F"/>
    <w:rsid w:val="002D0B11"/>
    <w:rsid w:val="002D1126"/>
    <w:rsid w:val="002D197E"/>
    <w:rsid w:val="002D1A25"/>
    <w:rsid w:val="002D1F23"/>
    <w:rsid w:val="002D2151"/>
    <w:rsid w:val="002D21F0"/>
    <w:rsid w:val="002D259A"/>
    <w:rsid w:val="002D2A11"/>
    <w:rsid w:val="002D2AEF"/>
    <w:rsid w:val="002D2B34"/>
    <w:rsid w:val="002D2C4B"/>
    <w:rsid w:val="002D3009"/>
    <w:rsid w:val="002D3273"/>
    <w:rsid w:val="002D328F"/>
    <w:rsid w:val="002D33DA"/>
    <w:rsid w:val="002D3784"/>
    <w:rsid w:val="002D3F45"/>
    <w:rsid w:val="002D44F1"/>
    <w:rsid w:val="002D4676"/>
    <w:rsid w:val="002D47A2"/>
    <w:rsid w:val="002D48DC"/>
    <w:rsid w:val="002D4906"/>
    <w:rsid w:val="002D4908"/>
    <w:rsid w:val="002D4FA1"/>
    <w:rsid w:val="002D5435"/>
    <w:rsid w:val="002D5AE8"/>
    <w:rsid w:val="002D5BE9"/>
    <w:rsid w:val="002D5E56"/>
    <w:rsid w:val="002D5FE8"/>
    <w:rsid w:val="002D60A4"/>
    <w:rsid w:val="002D65A4"/>
    <w:rsid w:val="002D6655"/>
    <w:rsid w:val="002D6837"/>
    <w:rsid w:val="002D6A0D"/>
    <w:rsid w:val="002D6EB7"/>
    <w:rsid w:val="002D704C"/>
    <w:rsid w:val="002D71BF"/>
    <w:rsid w:val="002D7895"/>
    <w:rsid w:val="002D7899"/>
    <w:rsid w:val="002D7AF2"/>
    <w:rsid w:val="002D7F96"/>
    <w:rsid w:val="002E0028"/>
    <w:rsid w:val="002E017A"/>
    <w:rsid w:val="002E01B4"/>
    <w:rsid w:val="002E0625"/>
    <w:rsid w:val="002E0630"/>
    <w:rsid w:val="002E0ADB"/>
    <w:rsid w:val="002E0AF2"/>
    <w:rsid w:val="002E0F47"/>
    <w:rsid w:val="002E0FD0"/>
    <w:rsid w:val="002E14AC"/>
    <w:rsid w:val="002E14CD"/>
    <w:rsid w:val="002E15CD"/>
    <w:rsid w:val="002E1792"/>
    <w:rsid w:val="002E1887"/>
    <w:rsid w:val="002E19D6"/>
    <w:rsid w:val="002E1F1E"/>
    <w:rsid w:val="002E21DE"/>
    <w:rsid w:val="002E23B6"/>
    <w:rsid w:val="002E2716"/>
    <w:rsid w:val="002E2DFC"/>
    <w:rsid w:val="002E3656"/>
    <w:rsid w:val="002E37C7"/>
    <w:rsid w:val="002E381D"/>
    <w:rsid w:val="002E3A57"/>
    <w:rsid w:val="002E3CDD"/>
    <w:rsid w:val="002E3E01"/>
    <w:rsid w:val="002E3FBE"/>
    <w:rsid w:val="002E411F"/>
    <w:rsid w:val="002E484F"/>
    <w:rsid w:val="002E49C0"/>
    <w:rsid w:val="002E4AAE"/>
    <w:rsid w:val="002E4C99"/>
    <w:rsid w:val="002E4D54"/>
    <w:rsid w:val="002E5107"/>
    <w:rsid w:val="002E5CFF"/>
    <w:rsid w:val="002E5F71"/>
    <w:rsid w:val="002E639D"/>
    <w:rsid w:val="002E6984"/>
    <w:rsid w:val="002E69DF"/>
    <w:rsid w:val="002E6A54"/>
    <w:rsid w:val="002E6D38"/>
    <w:rsid w:val="002E6EFC"/>
    <w:rsid w:val="002E73D3"/>
    <w:rsid w:val="002E746B"/>
    <w:rsid w:val="002E7892"/>
    <w:rsid w:val="002E7ED0"/>
    <w:rsid w:val="002E7FC5"/>
    <w:rsid w:val="002F031C"/>
    <w:rsid w:val="002F034D"/>
    <w:rsid w:val="002F0403"/>
    <w:rsid w:val="002F0493"/>
    <w:rsid w:val="002F07C7"/>
    <w:rsid w:val="002F081E"/>
    <w:rsid w:val="002F1180"/>
    <w:rsid w:val="002F13AD"/>
    <w:rsid w:val="002F160B"/>
    <w:rsid w:val="002F200D"/>
    <w:rsid w:val="002F2101"/>
    <w:rsid w:val="002F212B"/>
    <w:rsid w:val="002F21F4"/>
    <w:rsid w:val="002F23FA"/>
    <w:rsid w:val="002F25CE"/>
    <w:rsid w:val="002F2609"/>
    <w:rsid w:val="002F275D"/>
    <w:rsid w:val="002F285E"/>
    <w:rsid w:val="002F2AD5"/>
    <w:rsid w:val="002F2D75"/>
    <w:rsid w:val="002F2EE3"/>
    <w:rsid w:val="002F2F42"/>
    <w:rsid w:val="002F3273"/>
    <w:rsid w:val="002F335F"/>
    <w:rsid w:val="002F347D"/>
    <w:rsid w:val="002F3667"/>
    <w:rsid w:val="002F36A3"/>
    <w:rsid w:val="002F395B"/>
    <w:rsid w:val="002F3F34"/>
    <w:rsid w:val="002F441D"/>
    <w:rsid w:val="002F47ED"/>
    <w:rsid w:val="002F4EFA"/>
    <w:rsid w:val="002F513E"/>
    <w:rsid w:val="002F529E"/>
    <w:rsid w:val="002F540E"/>
    <w:rsid w:val="002F566D"/>
    <w:rsid w:val="002F5A36"/>
    <w:rsid w:val="002F5D7A"/>
    <w:rsid w:val="002F5E52"/>
    <w:rsid w:val="002F6434"/>
    <w:rsid w:val="002F64A5"/>
    <w:rsid w:val="002F64E7"/>
    <w:rsid w:val="002F6535"/>
    <w:rsid w:val="002F661D"/>
    <w:rsid w:val="002F678B"/>
    <w:rsid w:val="002F679A"/>
    <w:rsid w:val="002F71E9"/>
    <w:rsid w:val="002F72F8"/>
    <w:rsid w:val="002F739C"/>
    <w:rsid w:val="002F754E"/>
    <w:rsid w:val="002F75B2"/>
    <w:rsid w:val="002F7AF2"/>
    <w:rsid w:val="002F7CC8"/>
    <w:rsid w:val="002F7DC2"/>
    <w:rsid w:val="002F7F91"/>
    <w:rsid w:val="003000C6"/>
    <w:rsid w:val="003005B9"/>
    <w:rsid w:val="00300A82"/>
    <w:rsid w:val="00300A9D"/>
    <w:rsid w:val="00300CE8"/>
    <w:rsid w:val="00300D83"/>
    <w:rsid w:val="003013F3"/>
    <w:rsid w:val="00301576"/>
    <w:rsid w:val="00301939"/>
    <w:rsid w:val="00301E09"/>
    <w:rsid w:val="00301F8F"/>
    <w:rsid w:val="00302054"/>
    <w:rsid w:val="0030227B"/>
    <w:rsid w:val="003023D6"/>
    <w:rsid w:val="003023F4"/>
    <w:rsid w:val="00302A13"/>
    <w:rsid w:val="00302AEC"/>
    <w:rsid w:val="00302B5C"/>
    <w:rsid w:val="00302CC8"/>
    <w:rsid w:val="00302DE5"/>
    <w:rsid w:val="00302DF0"/>
    <w:rsid w:val="003033CA"/>
    <w:rsid w:val="00303628"/>
    <w:rsid w:val="0030388C"/>
    <w:rsid w:val="00303B51"/>
    <w:rsid w:val="00303FFE"/>
    <w:rsid w:val="00304038"/>
    <w:rsid w:val="003043BE"/>
    <w:rsid w:val="00304554"/>
    <w:rsid w:val="00304976"/>
    <w:rsid w:val="00304A30"/>
    <w:rsid w:val="00304D93"/>
    <w:rsid w:val="00304E2B"/>
    <w:rsid w:val="003055A2"/>
    <w:rsid w:val="00305A18"/>
    <w:rsid w:val="00305D47"/>
    <w:rsid w:val="00305EBD"/>
    <w:rsid w:val="00305EC9"/>
    <w:rsid w:val="00305EDB"/>
    <w:rsid w:val="00306280"/>
    <w:rsid w:val="0030633E"/>
    <w:rsid w:val="0030660D"/>
    <w:rsid w:val="00306646"/>
    <w:rsid w:val="003066D9"/>
    <w:rsid w:val="003070F1"/>
    <w:rsid w:val="0030712E"/>
    <w:rsid w:val="003071E4"/>
    <w:rsid w:val="003073BC"/>
    <w:rsid w:val="00307524"/>
    <w:rsid w:val="0030772A"/>
    <w:rsid w:val="00307F1F"/>
    <w:rsid w:val="00310646"/>
    <w:rsid w:val="0031075C"/>
    <w:rsid w:val="00310D8F"/>
    <w:rsid w:val="00311647"/>
    <w:rsid w:val="00311787"/>
    <w:rsid w:val="00311D19"/>
    <w:rsid w:val="00311F72"/>
    <w:rsid w:val="00311FDD"/>
    <w:rsid w:val="003122BD"/>
    <w:rsid w:val="00312316"/>
    <w:rsid w:val="00312595"/>
    <w:rsid w:val="00312C97"/>
    <w:rsid w:val="00312CA0"/>
    <w:rsid w:val="00312CEA"/>
    <w:rsid w:val="00312DE4"/>
    <w:rsid w:val="00313211"/>
    <w:rsid w:val="003133ED"/>
    <w:rsid w:val="0031374C"/>
    <w:rsid w:val="00313876"/>
    <w:rsid w:val="003138D5"/>
    <w:rsid w:val="00313999"/>
    <w:rsid w:val="00313C7C"/>
    <w:rsid w:val="003140E7"/>
    <w:rsid w:val="0031457D"/>
    <w:rsid w:val="00314599"/>
    <w:rsid w:val="00314870"/>
    <w:rsid w:val="00314A22"/>
    <w:rsid w:val="00314C30"/>
    <w:rsid w:val="003150DC"/>
    <w:rsid w:val="0031536B"/>
    <w:rsid w:val="0031598F"/>
    <w:rsid w:val="00315A85"/>
    <w:rsid w:val="00315CA7"/>
    <w:rsid w:val="00315D3D"/>
    <w:rsid w:val="00316265"/>
    <w:rsid w:val="003162AD"/>
    <w:rsid w:val="0031654E"/>
    <w:rsid w:val="003167E3"/>
    <w:rsid w:val="00316961"/>
    <w:rsid w:val="00316BB6"/>
    <w:rsid w:val="00317806"/>
    <w:rsid w:val="00317B43"/>
    <w:rsid w:val="0032001C"/>
    <w:rsid w:val="00320305"/>
    <w:rsid w:val="00320985"/>
    <w:rsid w:val="00320B22"/>
    <w:rsid w:val="00320D19"/>
    <w:rsid w:val="00320E3F"/>
    <w:rsid w:val="00320E58"/>
    <w:rsid w:val="0032119C"/>
    <w:rsid w:val="003213CC"/>
    <w:rsid w:val="003213F4"/>
    <w:rsid w:val="0032148A"/>
    <w:rsid w:val="0032161B"/>
    <w:rsid w:val="003218D9"/>
    <w:rsid w:val="00321955"/>
    <w:rsid w:val="00321B3C"/>
    <w:rsid w:val="0032243E"/>
    <w:rsid w:val="00322874"/>
    <w:rsid w:val="00322898"/>
    <w:rsid w:val="00322971"/>
    <w:rsid w:val="00322FDB"/>
    <w:rsid w:val="00323381"/>
    <w:rsid w:val="00323451"/>
    <w:rsid w:val="0032387B"/>
    <w:rsid w:val="00323AE3"/>
    <w:rsid w:val="00323C51"/>
    <w:rsid w:val="00323E00"/>
    <w:rsid w:val="0032431E"/>
    <w:rsid w:val="00324327"/>
    <w:rsid w:val="003246C7"/>
    <w:rsid w:val="0032481A"/>
    <w:rsid w:val="0032492B"/>
    <w:rsid w:val="00324DC0"/>
    <w:rsid w:val="00324FC3"/>
    <w:rsid w:val="00325162"/>
    <w:rsid w:val="003251AB"/>
    <w:rsid w:val="0032560E"/>
    <w:rsid w:val="0032591C"/>
    <w:rsid w:val="00326008"/>
    <w:rsid w:val="0032624D"/>
    <w:rsid w:val="0032627F"/>
    <w:rsid w:val="003267B4"/>
    <w:rsid w:val="00326E37"/>
    <w:rsid w:val="00327515"/>
    <w:rsid w:val="0032798E"/>
    <w:rsid w:val="00327CAF"/>
    <w:rsid w:val="0033001D"/>
    <w:rsid w:val="00330040"/>
    <w:rsid w:val="00330209"/>
    <w:rsid w:val="00330408"/>
    <w:rsid w:val="0033072C"/>
    <w:rsid w:val="003309BC"/>
    <w:rsid w:val="0033114A"/>
    <w:rsid w:val="00331381"/>
    <w:rsid w:val="003315F3"/>
    <w:rsid w:val="00331A02"/>
    <w:rsid w:val="00331CBE"/>
    <w:rsid w:val="00331DC9"/>
    <w:rsid w:val="003329A1"/>
    <w:rsid w:val="00332A70"/>
    <w:rsid w:val="00332C4D"/>
    <w:rsid w:val="0033335F"/>
    <w:rsid w:val="00333365"/>
    <w:rsid w:val="0033357D"/>
    <w:rsid w:val="0033361E"/>
    <w:rsid w:val="00333730"/>
    <w:rsid w:val="003339E1"/>
    <w:rsid w:val="00333BB4"/>
    <w:rsid w:val="00333D73"/>
    <w:rsid w:val="00333DE4"/>
    <w:rsid w:val="00333E1A"/>
    <w:rsid w:val="00334099"/>
    <w:rsid w:val="00334186"/>
    <w:rsid w:val="0033488F"/>
    <w:rsid w:val="00334A6D"/>
    <w:rsid w:val="00334C3F"/>
    <w:rsid w:val="00334C90"/>
    <w:rsid w:val="003352B8"/>
    <w:rsid w:val="00335464"/>
    <w:rsid w:val="003358CA"/>
    <w:rsid w:val="00335C3F"/>
    <w:rsid w:val="00335CDC"/>
    <w:rsid w:val="0033672A"/>
    <w:rsid w:val="0033675B"/>
    <w:rsid w:val="00336763"/>
    <w:rsid w:val="003367E3"/>
    <w:rsid w:val="00336974"/>
    <w:rsid w:val="00336A5C"/>
    <w:rsid w:val="00336AA4"/>
    <w:rsid w:val="00336FCD"/>
    <w:rsid w:val="0033701B"/>
    <w:rsid w:val="0033745F"/>
    <w:rsid w:val="003375DD"/>
    <w:rsid w:val="00337609"/>
    <w:rsid w:val="003377F1"/>
    <w:rsid w:val="003379BA"/>
    <w:rsid w:val="00337AE4"/>
    <w:rsid w:val="00337DC1"/>
    <w:rsid w:val="0034019D"/>
    <w:rsid w:val="00340785"/>
    <w:rsid w:val="003407E9"/>
    <w:rsid w:val="00340977"/>
    <w:rsid w:val="00340AAD"/>
    <w:rsid w:val="00340F97"/>
    <w:rsid w:val="00341136"/>
    <w:rsid w:val="003413BE"/>
    <w:rsid w:val="003413F9"/>
    <w:rsid w:val="00341438"/>
    <w:rsid w:val="00341478"/>
    <w:rsid w:val="003414A7"/>
    <w:rsid w:val="003414AA"/>
    <w:rsid w:val="003415C9"/>
    <w:rsid w:val="0034165B"/>
    <w:rsid w:val="0034197D"/>
    <w:rsid w:val="00341C45"/>
    <w:rsid w:val="00341CA0"/>
    <w:rsid w:val="00341E60"/>
    <w:rsid w:val="00341F09"/>
    <w:rsid w:val="003420C9"/>
    <w:rsid w:val="00342DE8"/>
    <w:rsid w:val="00343A12"/>
    <w:rsid w:val="00343E78"/>
    <w:rsid w:val="00343F03"/>
    <w:rsid w:val="003440D7"/>
    <w:rsid w:val="00344566"/>
    <w:rsid w:val="00344C54"/>
    <w:rsid w:val="00344C7D"/>
    <w:rsid w:val="00344E35"/>
    <w:rsid w:val="00345000"/>
    <w:rsid w:val="003457BA"/>
    <w:rsid w:val="00346775"/>
    <w:rsid w:val="0034677E"/>
    <w:rsid w:val="003472BB"/>
    <w:rsid w:val="00347335"/>
    <w:rsid w:val="0034735B"/>
    <w:rsid w:val="00347533"/>
    <w:rsid w:val="003476B0"/>
    <w:rsid w:val="0034793E"/>
    <w:rsid w:val="00347F05"/>
    <w:rsid w:val="00350481"/>
    <w:rsid w:val="00350534"/>
    <w:rsid w:val="003505A5"/>
    <w:rsid w:val="003506AA"/>
    <w:rsid w:val="0035071C"/>
    <w:rsid w:val="003508AF"/>
    <w:rsid w:val="00350EDA"/>
    <w:rsid w:val="0035101A"/>
    <w:rsid w:val="0035119F"/>
    <w:rsid w:val="00351485"/>
    <w:rsid w:val="00351512"/>
    <w:rsid w:val="00351F58"/>
    <w:rsid w:val="0035208D"/>
    <w:rsid w:val="003525F0"/>
    <w:rsid w:val="00352693"/>
    <w:rsid w:val="00352C34"/>
    <w:rsid w:val="00352C65"/>
    <w:rsid w:val="00352E44"/>
    <w:rsid w:val="00352F0D"/>
    <w:rsid w:val="00352F36"/>
    <w:rsid w:val="003539EE"/>
    <w:rsid w:val="003539FF"/>
    <w:rsid w:val="00353BD5"/>
    <w:rsid w:val="00354381"/>
    <w:rsid w:val="00354827"/>
    <w:rsid w:val="00354B23"/>
    <w:rsid w:val="00354B96"/>
    <w:rsid w:val="00354BAC"/>
    <w:rsid w:val="003553B6"/>
    <w:rsid w:val="00355929"/>
    <w:rsid w:val="00355959"/>
    <w:rsid w:val="003559F7"/>
    <w:rsid w:val="00355C3E"/>
    <w:rsid w:val="00355DA7"/>
    <w:rsid w:val="00356139"/>
    <w:rsid w:val="00356354"/>
    <w:rsid w:val="003568D4"/>
    <w:rsid w:val="00356CCD"/>
    <w:rsid w:val="00356DF9"/>
    <w:rsid w:val="00356F3D"/>
    <w:rsid w:val="0035733E"/>
    <w:rsid w:val="003573F6"/>
    <w:rsid w:val="0035747F"/>
    <w:rsid w:val="003576C4"/>
    <w:rsid w:val="003576EE"/>
    <w:rsid w:val="003578DA"/>
    <w:rsid w:val="0036010D"/>
    <w:rsid w:val="003603C9"/>
    <w:rsid w:val="003604E7"/>
    <w:rsid w:val="00360739"/>
    <w:rsid w:val="00360946"/>
    <w:rsid w:val="00360E3C"/>
    <w:rsid w:val="00361392"/>
    <w:rsid w:val="003613AC"/>
    <w:rsid w:val="003619A7"/>
    <w:rsid w:val="00361E2D"/>
    <w:rsid w:val="003621F9"/>
    <w:rsid w:val="00362214"/>
    <w:rsid w:val="00362408"/>
    <w:rsid w:val="003627CB"/>
    <w:rsid w:val="003628ED"/>
    <w:rsid w:val="00362B0B"/>
    <w:rsid w:val="0036311B"/>
    <w:rsid w:val="00363275"/>
    <w:rsid w:val="003632BB"/>
    <w:rsid w:val="00364007"/>
    <w:rsid w:val="00364221"/>
    <w:rsid w:val="00364433"/>
    <w:rsid w:val="003646FF"/>
    <w:rsid w:val="00364ABE"/>
    <w:rsid w:val="00364AD8"/>
    <w:rsid w:val="00365234"/>
    <w:rsid w:val="0036526D"/>
    <w:rsid w:val="0036537C"/>
    <w:rsid w:val="003653FA"/>
    <w:rsid w:val="0036599B"/>
    <w:rsid w:val="003659C2"/>
    <w:rsid w:val="00365EC9"/>
    <w:rsid w:val="00365FE1"/>
    <w:rsid w:val="00366110"/>
    <w:rsid w:val="00366148"/>
    <w:rsid w:val="0036661C"/>
    <w:rsid w:val="00366873"/>
    <w:rsid w:val="00366AD0"/>
    <w:rsid w:val="00366BF6"/>
    <w:rsid w:val="00366F29"/>
    <w:rsid w:val="00366F89"/>
    <w:rsid w:val="00366FB2"/>
    <w:rsid w:val="00367067"/>
    <w:rsid w:val="003674C2"/>
    <w:rsid w:val="0036782E"/>
    <w:rsid w:val="00367845"/>
    <w:rsid w:val="003678CD"/>
    <w:rsid w:val="00367BDB"/>
    <w:rsid w:val="00367BE1"/>
    <w:rsid w:val="00367D31"/>
    <w:rsid w:val="0037000B"/>
    <w:rsid w:val="0037007B"/>
    <w:rsid w:val="003702AA"/>
    <w:rsid w:val="00370857"/>
    <w:rsid w:val="00370D7B"/>
    <w:rsid w:val="00370E0A"/>
    <w:rsid w:val="00370F2C"/>
    <w:rsid w:val="00370FA3"/>
    <w:rsid w:val="003711C4"/>
    <w:rsid w:val="003718E9"/>
    <w:rsid w:val="0037197C"/>
    <w:rsid w:val="003719CD"/>
    <w:rsid w:val="00371BC8"/>
    <w:rsid w:val="00371E92"/>
    <w:rsid w:val="0037208D"/>
    <w:rsid w:val="0037258E"/>
    <w:rsid w:val="00372BE8"/>
    <w:rsid w:val="00372BEC"/>
    <w:rsid w:val="0037328C"/>
    <w:rsid w:val="00373637"/>
    <w:rsid w:val="003738D9"/>
    <w:rsid w:val="00373A56"/>
    <w:rsid w:val="00374277"/>
    <w:rsid w:val="003744B0"/>
    <w:rsid w:val="003745C3"/>
    <w:rsid w:val="003746C1"/>
    <w:rsid w:val="003747B1"/>
    <w:rsid w:val="003747B7"/>
    <w:rsid w:val="003747BE"/>
    <w:rsid w:val="003747CA"/>
    <w:rsid w:val="00374EDD"/>
    <w:rsid w:val="003750FF"/>
    <w:rsid w:val="0037533B"/>
    <w:rsid w:val="003753C3"/>
    <w:rsid w:val="0037552E"/>
    <w:rsid w:val="00375977"/>
    <w:rsid w:val="00375D63"/>
    <w:rsid w:val="00375F15"/>
    <w:rsid w:val="00376027"/>
    <w:rsid w:val="003767B9"/>
    <w:rsid w:val="00376D7A"/>
    <w:rsid w:val="00376F5C"/>
    <w:rsid w:val="003771EF"/>
    <w:rsid w:val="003777A7"/>
    <w:rsid w:val="003777BA"/>
    <w:rsid w:val="0037795C"/>
    <w:rsid w:val="003779A5"/>
    <w:rsid w:val="003779B7"/>
    <w:rsid w:val="00377ED2"/>
    <w:rsid w:val="00377FA4"/>
    <w:rsid w:val="0038040C"/>
    <w:rsid w:val="0038061C"/>
    <w:rsid w:val="003806AA"/>
    <w:rsid w:val="0038084C"/>
    <w:rsid w:val="00381011"/>
    <w:rsid w:val="00381399"/>
    <w:rsid w:val="0038153E"/>
    <w:rsid w:val="00381654"/>
    <w:rsid w:val="00381675"/>
    <w:rsid w:val="003816B6"/>
    <w:rsid w:val="003819CB"/>
    <w:rsid w:val="00381CA2"/>
    <w:rsid w:val="00381F53"/>
    <w:rsid w:val="00382448"/>
    <w:rsid w:val="00382510"/>
    <w:rsid w:val="00382967"/>
    <w:rsid w:val="00382F41"/>
    <w:rsid w:val="003833D6"/>
    <w:rsid w:val="00383AC8"/>
    <w:rsid w:val="00383DEF"/>
    <w:rsid w:val="00383F12"/>
    <w:rsid w:val="003843AC"/>
    <w:rsid w:val="003845A7"/>
    <w:rsid w:val="00384650"/>
    <w:rsid w:val="00384E73"/>
    <w:rsid w:val="00385021"/>
    <w:rsid w:val="003852B0"/>
    <w:rsid w:val="00385626"/>
    <w:rsid w:val="00385636"/>
    <w:rsid w:val="00385807"/>
    <w:rsid w:val="00385A78"/>
    <w:rsid w:val="00386089"/>
    <w:rsid w:val="0038624F"/>
    <w:rsid w:val="0038668E"/>
    <w:rsid w:val="003869A6"/>
    <w:rsid w:val="003869E9"/>
    <w:rsid w:val="0038705D"/>
    <w:rsid w:val="0038721D"/>
    <w:rsid w:val="003874B2"/>
    <w:rsid w:val="00387970"/>
    <w:rsid w:val="00387C18"/>
    <w:rsid w:val="00387F6C"/>
    <w:rsid w:val="00390053"/>
    <w:rsid w:val="00390353"/>
    <w:rsid w:val="003903F3"/>
    <w:rsid w:val="00390599"/>
    <w:rsid w:val="00390791"/>
    <w:rsid w:val="0039091D"/>
    <w:rsid w:val="00390DDF"/>
    <w:rsid w:val="00390FE2"/>
    <w:rsid w:val="00391078"/>
    <w:rsid w:val="00391561"/>
    <w:rsid w:val="00391BD0"/>
    <w:rsid w:val="00391DC0"/>
    <w:rsid w:val="00391F1B"/>
    <w:rsid w:val="00391F22"/>
    <w:rsid w:val="00391F6A"/>
    <w:rsid w:val="0039202F"/>
    <w:rsid w:val="00392260"/>
    <w:rsid w:val="00392792"/>
    <w:rsid w:val="003928C1"/>
    <w:rsid w:val="00392ED1"/>
    <w:rsid w:val="0039317F"/>
    <w:rsid w:val="003936F9"/>
    <w:rsid w:val="003939D0"/>
    <w:rsid w:val="00393A03"/>
    <w:rsid w:val="00393A10"/>
    <w:rsid w:val="00393B4A"/>
    <w:rsid w:val="00393B7F"/>
    <w:rsid w:val="00393C7A"/>
    <w:rsid w:val="00393CCD"/>
    <w:rsid w:val="003943BD"/>
    <w:rsid w:val="00394DF7"/>
    <w:rsid w:val="00394F20"/>
    <w:rsid w:val="00395077"/>
    <w:rsid w:val="0039527F"/>
    <w:rsid w:val="003952DC"/>
    <w:rsid w:val="00395356"/>
    <w:rsid w:val="00395A56"/>
    <w:rsid w:val="00395E80"/>
    <w:rsid w:val="00396040"/>
    <w:rsid w:val="003967C9"/>
    <w:rsid w:val="00396B02"/>
    <w:rsid w:val="00396FB1"/>
    <w:rsid w:val="00397294"/>
    <w:rsid w:val="0039735D"/>
    <w:rsid w:val="00397931"/>
    <w:rsid w:val="00397A18"/>
    <w:rsid w:val="00397B1A"/>
    <w:rsid w:val="00397FC9"/>
    <w:rsid w:val="003A02DB"/>
    <w:rsid w:val="003A0572"/>
    <w:rsid w:val="003A0993"/>
    <w:rsid w:val="003A0A66"/>
    <w:rsid w:val="003A0AB8"/>
    <w:rsid w:val="003A118E"/>
    <w:rsid w:val="003A1720"/>
    <w:rsid w:val="003A19CC"/>
    <w:rsid w:val="003A1EA7"/>
    <w:rsid w:val="003A2255"/>
    <w:rsid w:val="003A2399"/>
    <w:rsid w:val="003A244E"/>
    <w:rsid w:val="003A24C4"/>
    <w:rsid w:val="003A27EF"/>
    <w:rsid w:val="003A286B"/>
    <w:rsid w:val="003A2979"/>
    <w:rsid w:val="003A2B29"/>
    <w:rsid w:val="003A2D95"/>
    <w:rsid w:val="003A3071"/>
    <w:rsid w:val="003A3137"/>
    <w:rsid w:val="003A3620"/>
    <w:rsid w:val="003A37FF"/>
    <w:rsid w:val="003A3CA3"/>
    <w:rsid w:val="003A4272"/>
    <w:rsid w:val="003A437E"/>
    <w:rsid w:val="003A4753"/>
    <w:rsid w:val="003A47B2"/>
    <w:rsid w:val="003A4C52"/>
    <w:rsid w:val="003A4DE4"/>
    <w:rsid w:val="003A5044"/>
    <w:rsid w:val="003A5620"/>
    <w:rsid w:val="003A5698"/>
    <w:rsid w:val="003A57EA"/>
    <w:rsid w:val="003A592D"/>
    <w:rsid w:val="003A5CEA"/>
    <w:rsid w:val="003A63DE"/>
    <w:rsid w:val="003A64A6"/>
    <w:rsid w:val="003A66BC"/>
    <w:rsid w:val="003A693F"/>
    <w:rsid w:val="003A6A13"/>
    <w:rsid w:val="003A6A3C"/>
    <w:rsid w:val="003A6AAF"/>
    <w:rsid w:val="003A6B86"/>
    <w:rsid w:val="003A6BCE"/>
    <w:rsid w:val="003A7322"/>
    <w:rsid w:val="003A783B"/>
    <w:rsid w:val="003A7982"/>
    <w:rsid w:val="003A7D23"/>
    <w:rsid w:val="003B0078"/>
    <w:rsid w:val="003B0667"/>
    <w:rsid w:val="003B072A"/>
    <w:rsid w:val="003B09C3"/>
    <w:rsid w:val="003B0AF6"/>
    <w:rsid w:val="003B0D10"/>
    <w:rsid w:val="003B0E19"/>
    <w:rsid w:val="003B1324"/>
    <w:rsid w:val="003B15DF"/>
    <w:rsid w:val="003B18F6"/>
    <w:rsid w:val="003B19A5"/>
    <w:rsid w:val="003B1AB7"/>
    <w:rsid w:val="003B1F21"/>
    <w:rsid w:val="003B2253"/>
    <w:rsid w:val="003B2423"/>
    <w:rsid w:val="003B25AA"/>
    <w:rsid w:val="003B2A24"/>
    <w:rsid w:val="003B2A26"/>
    <w:rsid w:val="003B2AAB"/>
    <w:rsid w:val="003B2D6C"/>
    <w:rsid w:val="003B3678"/>
    <w:rsid w:val="003B398B"/>
    <w:rsid w:val="003B3D66"/>
    <w:rsid w:val="003B3EE7"/>
    <w:rsid w:val="003B400B"/>
    <w:rsid w:val="003B46FE"/>
    <w:rsid w:val="003B47A8"/>
    <w:rsid w:val="003B4987"/>
    <w:rsid w:val="003B50DA"/>
    <w:rsid w:val="003B50DD"/>
    <w:rsid w:val="003B5173"/>
    <w:rsid w:val="003B51C3"/>
    <w:rsid w:val="003B5346"/>
    <w:rsid w:val="003B5573"/>
    <w:rsid w:val="003B55E2"/>
    <w:rsid w:val="003B5A54"/>
    <w:rsid w:val="003B5D1C"/>
    <w:rsid w:val="003B5DBA"/>
    <w:rsid w:val="003B61D8"/>
    <w:rsid w:val="003B6789"/>
    <w:rsid w:val="003B696F"/>
    <w:rsid w:val="003B6C9B"/>
    <w:rsid w:val="003B6D61"/>
    <w:rsid w:val="003B74B7"/>
    <w:rsid w:val="003B7587"/>
    <w:rsid w:val="003B7A38"/>
    <w:rsid w:val="003B7BBF"/>
    <w:rsid w:val="003B7DAA"/>
    <w:rsid w:val="003C0104"/>
    <w:rsid w:val="003C021A"/>
    <w:rsid w:val="003C098D"/>
    <w:rsid w:val="003C12CD"/>
    <w:rsid w:val="003C187C"/>
    <w:rsid w:val="003C19AC"/>
    <w:rsid w:val="003C1A9A"/>
    <w:rsid w:val="003C2713"/>
    <w:rsid w:val="003C2A98"/>
    <w:rsid w:val="003C2C32"/>
    <w:rsid w:val="003C31B4"/>
    <w:rsid w:val="003C3216"/>
    <w:rsid w:val="003C3447"/>
    <w:rsid w:val="003C3812"/>
    <w:rsid w:val="003C388D"/>
    <w:rsid w:val="003C3894"/>
    <w:rsid w:val="003C38B8"/>
    <w:rsid w:val="003C3DEB"/>
    <w:rsid w:val="003C3EF0"/>
    <w:rsid w:val="003C40EE"/>
    <w:rsid w:val="003C4125"/>
    <w:rsid w:val="003C419D"/>
    <w:rsid w:val="003C44D2"/>
    <w:rsid w:val="003C4736"/>
    <w:rsid w:val="003C49CF"/>
    <w:rsid w:val="003C4A9E"/>
    <w:rsid w:val="003C4F9B"/>
    <w:rsid w:val="003C5152"/>
    <w:rsid w:val="003C51B0"/>
    <w:rsid w:val="003C590F"/>
    <w:rsid w:val="003C5CBE"/>
    <w:rsid w:val="003C5EE0"/>
    <w:rsid w:val="003C5F52"/>
    <w:rsid w:val="003C6CB3"/>
    <w:rsid w:val="003C77F2"/>
    <w:rsid w:val="003C7814"/>
    <w:rsid w:val="003C7B1F"/>
    <w:rsid w:val="003C7E26"/>
    <w:rsid w:val="003D00F0"/>
    <w:rsid w:val="003D020B"/>
    <w:rsid w:val="003D03B0"/>
    <w:rsid w:val="003D06C3"/>
    <w:rsid w:val="003D09D7"/>
    <w:rsid w:val="003D0C8B"/>
    <w:rsid w:val="003D11CD"/>
    <w:rsid w:val="003D13F7"/>
    <w:rsid w:val="003D1B4D"/>
    <w:rsid w:val="003D20DC"/>
    <w:rsid w:val="003D24F4"/>
    <w:rsid w:val="003D264B"/>
    <w:rsid w:val="003D333C"/>
    <w:rsid w:val="003D35F9"/>
    <w:rsid w:val="003D3618"/>
    <w:rsid w:val="003D3B68"/>
    <w:rsid w:val="003D3E5A"/>
    <w:rsid w:val="003D4060"/>
    <w:rsid w:val="003D40A9"/>
    <w:rsid w:val="003D4147"/>
    <w:rsid w:val="003D43DB"/>
    <w:rsid w:val="003D462C"/>
    <w:rsid w:val="003D4669"/>
    <w:rsid w:val="003D4803"/>
    <w:rsid w:val="003D4D86"/>
    <w:rsid w:val="003D51FE"/>
    <w:rsid w:val="003D5676"/>
    <w:rsid w:val="003D57CE"/>
    <w:rsid w:val="003D5958"/>
    <w:rsid w:val="003D5964"/>
    <w:rsid w:val="003D5F8F"/>
    <w:rsid w:val="003D61F4"/>
    <w:rsid w:val="003D67B6"/>
    <w:rsid w:val="003D6B4C"/>
    <w:rsid w:val="003D6E67"/>
    <w:rsid w:val="003D6F45"/>
    <w:rsid w:val="003D7C44"/>
    <w:rsid w:val="003D7C46"/>
    <w:rsid w:val="003D7C70"/>
    <w:rsid w:val="003E005A"/>
    <w:rsid w:val="003E05BB"/>
    <w:rsid w:val="003E115B"/>
    <w:rsid w:val="003E11CC"/>
    <w:rsid w:val="003E1266"/>
    <w:rsid w:val="003E1B2A"/>
    <w:rsid w:val="003E2A31"/>
    <w:rsid w:val="003E2FF8"/>
    <w:rsid w:val="003E37D2"/>
    <w:rsid w:val="003E388C"/>
    <w:rsid w:val="003E3CEC"/>
    <w:rsid w:val="003E4241"/>
    <w:rsid w:val="003E433D"/>
    <w:rsid w:val="003E4502"/>
    <w:rsid w:val="003E53CB"/>
    <w:rsid w:val="003E5644"/>
    <w:rsid w:val="003E59F0"/>
    <w:rsid w:val="003E5B53"/>
    <w:rsid w:val="003E65E9"/>
    <w:rsid w:val="003E6653"/>
    <w:rsid w:val="003E685D"/>
    <w:rsid w:val="003E6933"/>
    <w:rsid w:val="003E6CC6"/>
    <w:rsid w:val="003E6F5E"/>
    <w:rsid w:val="003E72C0"/>
    <w:rsid w:val="003E733D"/>
    <w:rsid w:val="003E76A9"/>
    <w:rsid w:val="003E77E6"/>
    <w:rsid w:val="003E7870"/>
    <w:rsid w:val="003E7ECA"/>
    <w:rsid w:val="003E7FAA"/>
    <w:rsid w:val="003F00B4"/>
    <w:rsid w:val="003F0174"/>
    <w:rsid w:val="003F04B3"/>
    <w:rsid w:val="003F07A2"/>
    <w:rsid w:val="003F09E9"/>
    <w:rsid w:val="003F0A21"/>
    <w:rsid w:val="003F0C11"/>
    <w:rsid w:val="003F0CB5"/>
    <w:rsid w:val="003F0FEE"/>
    <w:rsid w:val="003F1130"/>
    <w:rsid w:val="003F194D"/>
    <w:rsid w:val="003F1C67"/>
    <w:rsid w:val="003F2506"/>
    <w:rsid w:val="003F27D9"/>
    <w:rsid w:val="003F2BFD"/>
    <w:rsid w:val="003F38ED"/>
    <w:rsid w:val="003F39F0"/>
    <w:rsid w:val="003F3CE0"/>
    <w:rsid w:val="003F3E55"/>
    <w:rsid w:val="003F4496"/>
    <w:rsid w:val="003F454E"/>
    <w:rsid w:val="003F45FB"/>
    <w:rsid w:val="003F460B"/>
    <w:rsid w:val="003F4669"/>
    <w:rsid w:val="003F479A"/>
    <w:rsid w:val="003F4D6F"/>
    <w:rsid w:val="003F4DCD"/>
    <w:rsid w:val="003F522B"/>
    <w:rsid w:val="003F53F0"/>
    <w:rsid w:val="003F540B"/>
    <w:rsid w:val="003F57D0"/>
    <w:rsid w:val="003F59CB"/>
    <w:rsid w:val="003F59FD"/>
    <w:rsid w:val="003F5C92"/>
    <w:rsid w:val="003F5CC2"/>
    <w:rsid w:val="003F5DB1"/>
    <w:rsid w:val="003F5E83"/>
    <w:rsid w:val="003F61A6"/>
    <w:rsid w:val="003F640D"/>
    <w:rsid w:val="003F6538"/>
    <w:rsid w:val="003F687C"/>
    <w:rsid w:val="003F68A6"/>
    <w:rsid w:val="003F6C14"/>
    <w:rsid w:val="003F6FF9"/>
    <w:rsid w:val="003F7277"/>
    <w:rsid w:val="003F75E9"/>
    <w:rsid w:val="004000C0"/>
    <w:rsid w:val="00400274"/>
    <w:rsid w:val="004004A0"/>
    <w:rsid w:val="004006D7"/>
    <w:rsid w:val="00400754"/>
    <w:rsid w:val="00400D42"/>
    <w:rsid w:val="00400F6D"/>
    <w:rsid w:val="00401098"/>
    <w:rsid w:val="0040126E"/>
    <w:rsid w:val="00401586"/>
    <w:rsid w:val="004016BE"/>
    <w:rsid w:val="004019C4"/>
    <w:rsid w:val="00401A00"/>
    <w:rsid w:val="00401F86"/>
    <w:rsid w:val="00401FC1"/>
    <w:rsid w:val="0040203A"/>
    <w:rsid w:val="004023AC"/>
    <w:rsid w:val="004027A4"/>
    <w:rsid w:val="00402839"/>
    <w:rsid w:val="00402B20"/>
    <w:rsid w:val="00402CB1"/>
    <w:rsid w:val="00402D2F"/>
    <w:rsid w:val="00402D8B"/>
    <w:rsid w:val="00402EB1"/>
    <w:rsid w:val="00403302"/>
    <w:rsid w:val="0040337A"/>
    <w:rsid w:val="0040339F"/>
    <w:rsid w:val="004034B4"/>
    <w:rsid w:val="004036CB"/>
    <w:rsid w:val="00403820"/>
    <w:rsid w:val="00403C78"/>
    <w:rsid w:val="0040407B"/>
    <w:rsid w:val="004043A1"/>
    <w:rsid w:val="00404653"/>
    <w:rsid w:val="0040474C"/>
    <w:rsid w:val="004049DC"/>
    <w:rsid w:val="00404D7F"/>
    <w:rsid w:val="00404E92"/>
    <w:rsid w:val="004052E6"/>
    <w:rsid w:val="004056EE"/>
    <w:rsid w:val="00405715"/>
    <w:rsid w:val="004058B8"/>
    <w:rsid w:val="00405C1E"/>
    <w:rsid w:val="0040620B"/>
    <w:rsid w:val="0040635F"/>
    <w:rsid w:val="004063CA"/>
    <w:rsid w:val="004064BF"/>
    <w:rsid w:val="00406730"/>
    <w:rsid w:val="00406959"/>
    <w:rsid w:val="0040705D"/>
    <w:rsid w:val="004079D0"/>
    <w:rsid w:val="00407B2F"/>
    <w:rsid w:val="00407C8B"/>
    <w:rsid w:val="00410ACD"/>
    <w:rsid w:val="00410F33"/>
    <w:rsid w:val="00411084"/>
    <w:rsid w:val="0041154A"/>
    <w:rsid w:val="00411694"/>
    <w:rsid w:val="004118C3"/>
    <w:rsid w:val="004119E6"/>
    <w:rsid w:val="00411C87"/>
    <w:rsid w:val="00412205"/>
    <w:rsid w:val="00412700"/>
    <w:rsid w:val="00412809"/>
    <w:rsid w:val="00412877"/>
    <w:rsid w:val="00412986"/>
    <w:rsid w:val="00413497"/>
    <w:rsid w:val="00413ADA"/>
    <w:rsid w:val="0041405E"/>
    <w:rsid w:val="00414415"/>
    <w:rsid w:val="0041455E"/>
    <w:rsid w:val="00414DA3"/>
    <w:rsid w:val="0041641E"/>
    <w:rsid w:val="00416544"/>
    <w:rsid w:val="004165C5"/>
    <w:rsid w:val="00416C3A"/>
    <w:rsid w:val="00416D4B"/>
    <w:rsid w:val="00416E15"/>
    <w:rsid w:val="00416EBF"/>
    <w:rsid w:val="0041750F"/>
    <w:rsid w:val="004177EC"/>
    <w:rsid w:val="004179B4"/>
    <w:rsid w:val="00417E55"/>
    <w:rsid w:val="00417F5B"/>
    <w:rsid w:val="00417FCA"/>
    <w:rsid w:val="00420238"/>
    <w:rsid w:val="00420401"/>
    <w:rsid w:val="00420452"/>
    <w:rsid w:val="0042067E"/>
    <w:rsid w:val="00420962"/>
    <w:rsid w:val="004209FC"/>
    <w:rsid w:val="00420F09"/>
    <w:rsid w:val="0042104C"/>
    <w:rsid w:val="004210FD"/>
    <w:rsid w:val="0042139D"/>
    <w:rsid w:val="004213BE"/>
    <w:rsid w:val="00421479"/>
    <w:rsid w:val="004215DD"/>
    <w:rsid w:val="00421987"/>
    <w:rsid w:val="004219B1"/>
    <w:rsid w:val="00421FF7"/>
    <w:rsid w:val="004222CC"/>
    <w:rsid w:val="00422B41"/>
    <w:rsid w:val="00422BB9"/>
    <w:rsid w:val="00422E2C"/>
    <w:rsid w:val="00422F8C"/>
    <w:rsid w:val="0042305A"/>
    <w:rsid w:val="00423195"/>
    <w:rsid w:val="00423D68"/>
    <w:rsid w:val="00424009"/>
    <w:rsid w:val="004241A6"/>
    <w:rsid w:val="00424271"/>
    <w:rsid w:val="00424AA0"/>
    <w:rsid w:val="00424EC7"/>
    <w:rsid w:val="004251B0"/>
    <w:rsid w:val="00425AF0"/>
    <w:rsid w:val="00425BC8"/>
    <w:rsid w:val="00425C70"/>
    <w:rsid w:val="00425E0B"/>
    <w:rsid w:val="004260A7"/>
    <w:rsid w:val="004261D9"/>
    <w:rsid w:val="004263CE"/>
    <w:rsid w:val="004264E6"/>
    <w:rsid w:val="00426612"/>
    <w:rsid w:val="00426A07"/>
    <w:rsid w:val="00426EE1"/>
    <w:rsid w:val="00427327"/>
    <w:rsid w:val="0042743A"/>
    <w:rsid w:val="004277DE"/>
    <w:rsid w:val="00427970"/>
    <w:rsid w:val="004279AB"/>
    <w:rsid w:val="00427B5D"/>
    <w:rsid w:val="00427CFC"/>
    <w:rsid w:val="00427F1C"/>
    <w:rsid w:val="0043017B"/>
    <w:rsid w:val="00430578"/>
    <w:rsid w:val="004306BC"/>
    <w:rsid w:val="004306CC"/>
    <w:rsid w:val="004306EC"/>
    <w:rsid w:val="004307AA"/>
    <w:rsid w:val="00430A94"/>
    <w:rsid w:val="00430C07"/>
    <w:rsid w:val="00430D2F"/>
    <w:rsid w:val="00430D5E"/>
    <w:rsid w:val="00430DC0"/>
    <w:rsid w:val="00430F6C"/>
    <w:rsid w:val="00431154"/>
    <w:rsid w:val="0043197A"/>
    <w:rsid w:val="00431B65"/>
    <w:rsid w:val="00431CE7"/>
    <w:rsid w:val="00431E07"/>
    <w:rsid w:val="004321C9"/>
    <w:rsid w:val="004325DE"/>
    <w:rsid w:val="004328F2"/>
    <w:rsid w:val="00432C85"/>
    <w:rsid w:val="00432C9D"/>
    <w:rsid w:val="00432D67"/>
    <w:rsid w:val="0043313D"/>
    <w:rsid w:val="0043318D"/>
    <w:rsid w:val="004336ED"/>
    <w:rsid w:val="0043401F"/>
    <w:rsid w:val="0043410E"/>
    <w:rsid w:val="004343DF"/>
    <w:rsid w:val="0043441D"/>
    <w:rsid w:val="00434D19"/>
    <w:rsid w:val="00434E64"/>
    <w:rsid w:val="004351FE"/>
    <w:rsid w:val="0043558F"/>
    <w:rsid w:val="004355D7"/>
    <w:rsid w:val="00435A0B"/>
    <w:rsid w:val="00435EDF"/>
    <w:rsid w:val="00435EED"/>
    <w:rsid w:val="00435F40"/>
    <w:rsid w:val="00436617"/>
    <w:rsid w:val="00436741"/>
    <w:rsid w:val="004367F0"/>
    <w:rsid w:val="004369F6"/>
    <w:rsid w:val="00436F7B"/>
    <w:rsid w:val="00437029"/>
    <w:rsid w:val="00437046"/>
    <w:rsid w:val="004372BA"/>
    <w:rsid w:val="0043733F"/>
    <w:rsid w:val="004375AF"/>
    <w:rsid w:val="004376AC"/>
    <w:rsid w:val="00437807"/>
    <w:rsid w:val="00437D27"/>
    <w:rsid w:val="004401E5"/>
    <w:rsid w:val="004402CB"/>
    <w:rsid w:val="0044078B"/>
    <w:rsid w:val="00440791"/>
    <w:rsid w:val="00440859"/>
    <w:rsid w:val="00440BEA"/>
    <w:rsid w:val="00440D88"/>
    <w:rsid w:val="00441053"/>
    <w:rsid w:val="00441334"/>
    <w:rsid w:val="0044189F"/>
    <w:rsid w:val="00441B84"/>
    <w:rsid w:val="00441CBA"/>
    <w:rsid w:val="00441DBF"/>
    <w:rsid w:val="00441E8D"/>
    <w:rsid w:val="004422D9"/>
    <w:rsid w:val="0044230F"/>
    <w:rsid w:val="00442A82"/>
    <w:rsid w:val="00442AC6"/>
    <w:rsid w:val="00442B29"/>
    <w:rsid w:val="00442FB3"/>
    <w:rsid w:val="00443101"/>
    <w:rsid w:val="00443124"/>
    <w:rsid w:val="004433C2"/>
    <w:rsid w:val="0044366F"/>
    <w:rsid w:val="00443832"/>
    <w:rsid w:val="00443ABA"/>
    <w:rsid w:val="00443FAD"/>
    <w:rsid w:val="004447C7"/>
    <w:rsid w:val="00444B38"/>
    <w:rsid w:val="00444D8C"/>
    <w:rsid w:val="0044506C"/>
    <w:rsid w:val="00445679"/>
    <w:rsid w:val="004457D7"/>
    <w:rsid w:val="00445AAE"/>
    <w:rsid w:val="00445AF1"/>
    <w:rsid w:val="00445D5B"/>
    <w:rsid w:val="00445E02"/>
    <w:rsid w:val="00446046"/>
    <w:rsid w:val="00446127"/>
    <w:rsid w:val="00446833"/>
    <w:rsid w:val="00446A59"/>
    <w:rsid w:val="00446CD5"/>
    <w:rsid w:val="00446D59"/>
    <w:rsid w:val="004474BE"/>
    <w:rsid w:val="00447B7D"/>
    <w:rsid w:val="00447DB1"/>
    <w:rsid w:val="0045021C"/>
    <w:rsid w:val="0045026C"/>
    <w:rsid w:val="004502EC"/>
    <w:rsid w:val="004503CF"/>
    <w:rsid w:val="004506C3"/>
    <w:rsid w:val="00450939"/>
    <w:rsid w:val="00450C99"/>
    <w:rsid w:val="0045125F"/>
    <w:rsid w:val="0045143E"/>
    <w:rsid w:val="004514C5"/>
    <w:rsid w:val="004515E0"/>
    <w:rsid w:val="00451696"/>
    <w:rsid w:val="00451FFE"/>
    <w:rsid w:val="00452036"/>
    <w:rsid w:val="004525AF"/>
    <w:rsid w:val="00452734"/>
    <w:rsid w:val="0045278F"/>
    <w:rsid w:val="00452BF3"/>
    <w:rsid w:val="00452CC9"/>
    <w:rsid w:val="00452E93"/>
    <w:rsid w:val="00452EDE"/>
    <w:rsid w:val="00452FF1"/>
    <w:rsid w:val="004534EB"/>
    <w:rsid w:val="00453922"/>
    <w:rsid w:val="00453A8A"/>
    <w:rsid w:val="004542AD"/>
    <w:rsid w:val="00454AC2"/>
    <w:rsid w:val="00454B13"/>
    <w:rsid w:val="00454CE5"/>
    <w:rsid w:val="00454F6F"/>
    <w:rsid w:val="0045550D"/>
    <w:rsid w:val="0045599A"/>
    <w:rsid w:val="00455AFA"/>
    <w:rsid w:val="00455CDD"/>
    <w:rsid w:val="00456125"/>
    <w:rsid w:val="0045649C"/>
    <w:rsid w:val="004564C3"/>
    <w:rsid w:val="00456655"/>
    <w:rsid w:val="004567F8"/>
    <w:rsid w:val="004569CA"/>
    <w:rsid w:val="00456A1A"/>
    <w:rsid w:val="00456F9D"/>
    <w:rsid w:val="004570F4"/>
    <w:rsid w:val="00457ABE"/>
    <w:rsid w:val="00457C90"/>
    <w:rsid w:val="00457E45"/>
    <w:rsid w:val="00460010"/>
    <w:rsid w:val="004603B7"/>
    <w:rsid w:val="004603F6"/>
    <w:rsid w:val="004605F6"/>
    <w:rsid w:val="0046070B"/>
    <w:rsid w:val="004608EE"/>
    <w:rsid w:val="00460BC8"/>
    <w:rsid w:val="00460E4B"/>
    <w:rsid w:val="004616B6"/>
    <w:rsid w:val="00461D5C"/>
    <w:rsid w:val="00461E05"/>
    <w:rsid w:val="00461E9C"/>
    <w:rsid w:val="00462962"/>
    <w:rsid w:val="00462AE4"/>
    <w:rsid w:val="00462E38"/>
    <w:rsid w:val="00462EEE"/>
    <w:rsid w:val="00463394"/>
    <w:rsid w:val="004633F2"/>
    <w:rsid w:val="00463767"/>
    <w:rsid w:val="004641E2"/>
    <w:rsid w:val="00464212"/>
    <w:rsid w:val="00464533"/>
    <w:rsid w:val="00464B9C"/>
    <w:rsid w:val="00464C1A"/>
    <w:rsid w:val="00464EFB"/>
    <w:rsid w:val="00465163"/>
    <w:rsid w:val="00465BD3"/>
    <w:rsid w:val="00465DBB"/>
    <w:rsid w:val="00465E0B"/>
    <w:rsid w:val="00465F96"/>
    <w:rsid w:val="004660C9"/>
    <w:rsid w:val="00466136"/>
    <w:rsid w:val="004661EC"/>
    <w:rsid w:val="00466236"/>
    <w:rsid w:val="00466324"/>
    <w:rsid w:val="0046657F"/>
    <w:rsid w:val="00466617"/>
    <w:rsid w:val="004666A1"/>
    <w:rsid w:val="004667FD"/>
    <w:rsid w:val="0046688A"/>
    <w:rsid w:val="00466DE0"/>
    <w:rsid w:val="00467E54"/>
    <w:rsid w:val="0047052D"/>
    <w:rsid w:val="004708DC"/>
    <w:rsid w:val="00470E5A"/>
    <w:rsid w:val="00470FF1"/>
    <w:rsid w:val="004718D6"/>
    <w:rsid w:val="004719B9"/>
    <w:rsid w:val="00471E5D"/>
    <w:rsid w:val="004724BF"/>
    <w:rsid w:val="004725CD"/>
    <w:rsid w:val="00472A22"/>
    <w:rsid w:val="00472C81"/>
    <w:rsid w:val="00472D3E"/>
    <w:rsid w:val="00472D71"/>
    <w:rsid w:val="00473095"/>
    <w:rsid w:val="004730EF"/>
    <w:rsid w:val="004733C4"/>
    <w:rsid w:val="004734FE"/>
    <w:rsid w:val="004736E9"/>
    <w:rsid w:val="0047389B"/>
    <w:rsid w:val="0047397C"/>
    <w:rsid w:val="00473BA1"/>
    <w:rsid w:val="00473BDA"/>
    <w:rsid w:val="00473E35"/>
    <w:rsid w:val="004741A6"/>
    <w:rsid w:val="004745B3"/>
    <w:rsid w:val="004756BB"/>
    <w:rsid w:val="00475AEF"/>
    <w:rsid w:val="00475DBB"/>
    <w:rsid w:val="004760F5"/>
    <w:rsid w:val="00476537"/>
    <w:rsid w:val="00476547"/>
    <w:rsid w:val="004769EA"/>
    <w:rsid w:val="00476A9E"/>
    <w:rsid w:val="00476B62"/>
    <w:rsid w:val="00476CB0"/>
    <w:rsid w:val="00476D9E"/>
    <w:rsid w:val="00476E18"/>
    <w:rsid w:val="004770C6"/>
    <w:rsid w:val="00477303"/>
    <w:rsid w:val="00477726"/>
    <w:rsid w:val="00477776"/>
    <w:rsid w:val="00477804"/>
    <w:rsid w:val="00477C55"/>
    <w:rsid w:val="0048002E"/>
    <w:rsid w:val="004800B3"/>
    <w:rsid w:val="00480136"/>
    <w:rsid w:val="00480300"/>
    <w:rsid w:val="00480655"/>
    <w:rsid w:val="00480DB3"/>
    <w:rsid w:val="0048181E"/>
    <w:rsid w:val="004819E0"/>
    <w:rsid w:val="00481E1F"/>
    <w:rsid w:val="00482273"/>
    <w:rsid w:val="004826AE"/>
    <w:rsid w:val="004828B4"/>
    <w:rsid w:val="00482A36"/>
    <w:rsid w:val="00482A98"/>
    <w:rsid w:val="00482C1A"/>
    <w:rsid w:val="00483BB0"/>
    <w:rsid w:val="00484325"/>
    <w:rsid w:val="004843FF"/>
    <w:rsid w:val="00484AED"/>
    <w:rsid w:val="00484B35"/>
    <w:rsid w:val="00484F0F"/>
    <w:rsid w:val="004852C3"/>
    <w:rsid w:val="00485377"/>
    <w:rsid w:val="004853BD"/>
    <w:rsid w:val="0048606D"/>
    <w:rsid w:val="0048637D"/>
    <w:rsid w:val="004869D9"/>
    <w:rsid w:val="00486E72"/>
    <w:rsid w:val="004871AF"/>
    <w:rsid w:val="00487287"/>
    <w:rsid w:val="0048745E"/>
    <w:rsid w:val="004875EA"/>
    <w:rsid w:val="004875FB"/>
    <w:rsid w:val="00487998"/>
    <w:rsid w:val="004879B0"/>
    <w:rsid w:val="0049013E"/>
    <w:rsid w:val="0049015D"/>
    <w:rsid w:val="004906AE"/>
    <w:rsid w:val="00490A1D"/>
    <w:rsid w:val="00490A48"/>
    <w:rsid w:val="00491043"/>
    <w:rsid w:val="00491131"/>
    <w:rsid w:val="0049173F"/>
    <w:rsid w:val="004918D1"/>
    <w:rsid w:val="004918EC"/>
    <w:rsid w:val="00491A8E"/>
    <w:rsid w:val="00491FEB"/>
    <w:rsid w:val="0049214B"/>
    <w:rsid w:val="004921F6"/>
    <w:rsid w:val="004923DD"/>
    <w:rsid w:val="00492423"/>
    <w:rsid w:val="0049274D"/>
    <w:rsid w:val="00493250"/>
    <w:rsid w:val="004932C9"/>
    <w:rsid w:val="00493396"/>
    <w:rsid w:val="004934F6"/>
    <w:rsid w:val="004939EE"/>
    <w:rsid w:val="00493F22"/>
    <w:rsid w:val="0049411F"/>
    <w:rsid w:val="004943FC"/>
    <w:rsid w:val="0049440E"/>
    <w:rsid w:val="00494944"/>
    <w:rsid w:val="00494D4E"/>
    <w:rsid w:val="00495221"/>
    <w:rsid w:val="00495319"/>
    <w:rsid w:val="0049583A"/>
    <w:rsid w:val="00495A19"/>
    <w:rsid w:val="00495ABE"/>
    <w:rsid w:val="00495AC4"/>
    <w:rsid w:val="00495C88"/>
    <w:rsid w:val="00495ECA"/>
    <w:rsid w:val="00495F6E"/>
    <w:rsid w:val="00495F6F"/>
    <w:rsid w:val="0049677F"/>
    <w:rsid w:val="00496949"/>
    <w:rsid w:val="00496A9A"/>
    <w:rsid w:val="00496EC8"/>
    <w:rsid w:val="004972E7"/>
    <w:rsid w:val="004975FA"/>
    <w:rsid w:val="0049765F"/>
    <w:rsid w:val="00497892"/>
    <w:rsid w:val="00497AE9"/>
    <w:rsid w:val="00497C48"/>
    <w:rsid w:val="00497DE1"/>
    <w:rsid w:val="004A038B"/>
    <w:rsid w:val="004A04EB"/>
    <w:rsid w:val="004A0813"/>
    <w:rsid w:val="004A0B1B"/>
    <w:rsid w:val="004A14A6"/>
    <w:rsid w:val="004A15ED"/>
    <w:rsid w:val="004A1C17"/>
    <w:rsid w:val="004A1E35"/>
    <w:rsid w:val="004A1F06"/>
    <w:rsid w:val="004A1F84"/>
    <w:rsid w:val="004A21A0"/>
    <w:rsid w:val="004A232D"/>
    <w:rsid w:val="004A25AD"/>
    <w:rsid w:val="004A2639"/>
    <w:rsid w:val="004A277A"/>
    <w:rsid w:val="004A27C3"/>
    <w:rsid w:val="004A2940"/>
    <w:rsid w:val="004A2CF5"/>
    <w:rsid w:val="004A2E8A"/>
    <w:rsid w:val="004A3172"/>
    <w:rsid w:val="004A3554"/>
    <w:rsid w:val="004A3C8A"/>
    <w:rsid w:val="004A3E16"/>
    <w:rsid w:val="004A4447"/>
    <w:rsid w:val="004A45D0"/>
    <w:rsid w:val="004A467A"/>
    <w:rsid w:val="004A4C6E"/>
    <w:rsid w:val="004A4D32"/>
    <w:rsid w:val="004A4F9B"/>
    <w:rsid w:val="004A5196"/>
    <w:rsid w:val="004A52C1"/>
    <w:rsid w:val="004A58C8"/>
    <w:rsid w:val="004A5B1B"/>
    <w:rsid w:val="004A5FA3"/>
    <w:rsid w:val="004A6084"/>
    <w:rsid w:val="004A6244"/>
    <w:rsid w:val="004A62C4"/>
    <w:rsid w:val="004A66BC"/>
    <w:rsid w:val="004A69CD"/>
    <w:rsid w:val="004A69DA"/>
    <w:rsid w:val="004A6E8D"/>
    <w:rsid w:val="004A6EB2"/>
    <w:rsid w:val="004A6F48"/>
    <w:rsid w:val="004A77BA"/>
    <w:rsid w:val="004A77FF"/>
    <w:rsid w:val="004A7994"/>
    <w:rsid w:val="004A7B0F"/>
    <w:rsid w:val="004A7C11"/>
    <w:rsid w:val="004A7D31"/>
    <w:rsid w:val="004B0755"/>
    <w:rsid w:val="004B0CAB"/>
    <w:rsid w:val="004B101B"/>
    <w:rsid w:val="004B1302"/>
    <w:rsid w:val="004B14A4"/>
    <w:rsid w:val="004B173A"/>
    <w:rsid w:val="004B1B26"/>
    <w:rsid w:val="004B1E0C"/>
    <w:rsid w:val="004B21F0"/>
    <w:rsid w:val="004B247D"/>
    <w:rsid w:val="004B2602"/>
    <w:rsid w:val="004B2E93"/>
    <w:rsid w:val="004B2F10"/>
    <w:rsid w:val="004B2F92"/>
    <w:rsid w:val="004B3A1E"/>
    <w:rsid w:val="004B3B29"/>
    <w:rsid w:val="004B3E3A"/>
    <w:rsid w:val="004B40B7"/>
    <w:rsid w:val="004B415E"/>
    <w:rsid w:val="004B4745"/>
    <w:rsid w:val="004B4822"/>
    <w:rsid w:val="004B5056"/>
    <w:rsid w:val="004B50CE"/>
    <w:rsid w:val="004B56CA"/>
    <w:rsid w:val="004B58D2"/>
    <w:rsid w:val="004B5CE9"/>
    <w:rsid w:val="004B5D3F"/>
    <w:rsid w:val="004B5DB4"/>
    <w:rsid w:val="004B5EF8"/>
    <w:rsid w:val="004B6252"/>
    <w:rsid w:val="004B63EB"/>
    <w:rsid w:val="004B644D"/>
    <w:rsid w:val="004B656C"/>
    <w:rsid w:val="004B675E"/>
    <w:rsid w:val="004B6861"/>
    <w:rsid w:val="004B6C7E"/>
    <w:rsid w:val="004B6FFB"/>
    <w:rsid w:val="004B74C5"/>
    <w:rsid w:val="004B790B"/>
    <w:rsid w:val="004B7C7F"/>
    <w:rsid w:val="004B7D99"/>
    <w:rsid w:val="004C0095"/>
    <w:rsid w:val="004C0587"/>
    <w:rsid w:val="004C06D6"/>
    <w:rsid w:val="004C0D20"/>
    <w:rsid w:val="004C157F"/>
    <w:rsid w:val="004C19B1"/>
    <w:rsid w:val="004C1AB9"/>
    <w:rsid w:val="004C1C37"/>
    <w:rsid w:val="004C2026"/>
    <w:rsid w:val="004C230E"/>
    <w:rsid w:val="004C25FF"/>
    <w:rsid w:val="004C333B"/>
    <w:rsid w:val="004C338C"/>
    <w:rsid w:val="004C3BEB"/>
    <w:rsid w:val="004C3D4A"/>
    <w:rsid w:val="004C3EAA"/>
    <w:rsid w:val="004C404E"/>
    <w:rsid w:val="004C4213"/>
    <w:rsid w:val="004C4330"/>
    <w:rsid w:val="004C4718"/>
    <w:rsid w:val="004C493D"/>
    <w:rsid w:val="004C4A91"/>
    <w:rsid w:val="004C4B94"/>
    <w:rsid w:val="004C4FD1"/>
    <w:rsid w:val="004C50E7"/>
    <w:rsid w:val="004C528B"/>
    <w:rsid w:val="004C53A6"/>
    <w:rsid w:val="004C58B8"/>
    <w:rsid w:val="004C59BB"/>
    <w:rsid w:val="004C5BA8"/>
    <w:rsid w:val="004C5CA2"/>
    <w:rsid w:val="004C5E76"/>
    <w:rsid w:val="004C5F2C"/>
    <w:rsid w:val="004C6055"/>
    <w:rsid w:val="004C6134"/>
    <w:rsid w:val="004C61D6"/>
    <w:rsid w:val="004C6981"/>
    <w:rsid w:val="004C69B2"/>
    <w:rsid w:val="004C69EB"/>
    <w:rsid w:val="004C6BCA"/>
    <w:rsid w:val="004C6C84"/>
    <w:rsid w:val="004C6F26"/>
    <w:rsid w:val="004C7152"/>
    <w:rsid w:val="004C7C9B"/>
    <w:rsid w:val="004C7E0D"/>
    <w:rsid w:val="004D01D2"/>
    <w:rsid w:val="004D067E"/>
    <w:rsid w:val="004D06C7"/>
    <w:rsid w:val="004D097C"/>
    <w:rsid w:val="004D0B57"/>
    <w:rsid w:val="004D0BC3"/>
    <w:rsid w:val="004D0EC9"/>
    <w:rsid w:val="004D0F28"/>
    <w:rsid w:val="004D0F9B"/>
    <w:rsid w:val="004D16B3"/>
    <w:rsid w:val="004D1E10"/>
    <w:rsid w:val="004D20E7"/>
    <w:rsid w:val="004D22E5"/>
    <w:rsid w:val="004D25A1"/>
    <w:rsid w:val="004D264C"/>
    <w:rsid w:val="004D284E"/>
    <w:rsid w:val="004D32AF"/>
    <w:rsid w:val="004D3355"/>
    <w:rsid w:val="004D33E9"/>
    <w:rsid w:val="004D37A3"/>
    <w:rsid w:val="004D3897"/>
    <w:rsid w:val="004D398C"/>
    <w:rsid w:val="004D3AB2"/>
    <w:rsid w:val="004D3F87"/>
    <w:rsid w:val="004D42B3"/>
    <w:rsid w:val="004D4BC3"/>
    <w:rsid w:val="004D4D3D"/>
    <w:rsid w:val="004D4ECB"/>
    <w:rsid w:val="004D53FA"/>
    <w:rsid w:val="004D55FF"/>
    <w:rsid w:val="004D5A89"/>
    <w:rsid w:val="004D5CC9"/>
    <w:rsid w:val="004D64F7"/>
    <w:rsid w:val="004D75AB"/>
    <w:rsid w:val="004D7700"/>
    <w:rsid w:val="004D7758"/>
    <w:rsid w:val="004D7B98"/>
    <w:rsid w:val="004D7D08"/>
    <w:rsid w:val="004D7EF2"/>
    <w:rsid w:val="004E00C9"/>
    <w:rsid w:val="004E07A3"/>
    <w:rsid w:val="004E087D"/>
    <w:rsid w:val="004E0E34"/>
    <w:rsid w:val="004E0F7B"/>
    <w:rsid w:val="004E11DB"/>
    <w:rsid w:val="004E1209"/>
    <w:rsid w:val="004E120B"/>
    <w:rsid w:val="004E13DB"/>
    <w:rsid w:val="004E1CCF"/>
    <w:rsid w:val="004E1F95"/>
    <w:rsid w:val="004E20AA"/>
    <w:rsid w:val="004E2382"/>
    <w:rsid w:val="004E23A8"/>
    <w:rsid w:val="004E2711"/>
    <w:rsid w:val="004E297A"/>
    <w:rsid w:val="004E2A3D"/>
    <w:rsid w:val="004E2B0A"/>
    <w:rsid w:val="004E2BEA"/>
    <w:rsid w:val="004E2C32"/>
    <w:rsid w:val="004E341F"/>
    <w:rsid w:val="004E3686"/>
    <w:rsid w:val="004E393F"/>
    <w:rsid w:val="004E39F5"/>
    <w:rsid w:val="004E3A40"/>
    <w:rsid w:val="004E3FBF"/>
    <w:rsid w:val="004E4309"/>
    <w:rsid w:val="004E44F8"/>
    <w:rsid w:val="004E4502"/>
    <w:rsid w:val="004E48E1"/>
    <w:rsid w:val="004E48FC"/>
    <w:rsid w:val="004E4D33"/>
    <w:rsid w:val="004E4D96"/>
    <w:rsid w:val="004E4FBA"/>
    <w:rsid w:val="004E527C"/>
    <w:rsid w:val="004E58BB"/>
    <w:rsid w:val="004E59DE"/>
    <w:rsid w:val="004E5BA7"/>
    <w:rsid w:val="004E605B"/>
    <w:rsid w:val="004E615E"/>
    <w:rsid w:val="004E65CC"/>
    <w:rsid w:val="004E65D5"/>
    <w:rsid w:val="004E65DB"/>
    <w:rsid w:val="004E65F2"/>
    <w:rsid w:val="004E67BB"/>
    <w:rsid w:val="004E68DF"/>
    <w:rsid w:val="004E7114"/>
    <w:rsid w:val="004E733A"/>
    <w:rsid w:val="004E79FC"/>
    <w:rsid w:val="004E7A79"/>
    <w:rsid w:val="004E7BC4"/>
    <w:rsid w:val="004E7CC2"/>
    <w:rsid w:val="004F021F"/>
    <w:rsid w:val="004F04E3"/>
    <w:rsid w:val="004F06DE"/>
    <w:rsid w:val="004F07CA"/>
    <w:rsid w:val="004F0FB6"/>
    <w:rsid w:val="004F105F"/>
    <w:rsid w:val="004F1126"/>
    <w:rsid w:val="004F1424"/>
    <w:rsid w:val="004F15A5"/>
    <w:rsid w:val="004F1AE4"/>
    <w:rsid w:val="004F1CE4"/>
    <w:rsid w:val="004F1D21"/>
    <w:rsid w:val="004F2425"/>
    <w:rsid w:val="004F2545"/>
    <w:rsid w:val="004F2667"/>
    <w:rsid w:val="004F2838"/>
    <w:rsid w:val="004F327F"/>
    <w:rsid w:val="004F356E"/>
    <w:rsid w:val="004F35FD"/>
    <w:rsid w:val="004F3611"/>
    <w:rsid w:val="004F3726"/>
    <w:rsid w:val="004F3EB2"/>
    <w:rsid w:val="004F4303"/>
    <w:rsid w:val="004F4311"/>
    <w:rsid w:val="004F457F"/>
    <w:rsid w:val="004F48A1"/>
    <w:rsid w:val="004F48CA"/>
    <w:rsid w:val="004F4D51"/>
    <w:rsid w:val="004F501F"/>
    <w:rsid w:val="004F5239"/>
    <w:rsid w:val="004F52CB"/>
    <w:rsid w:val="004F55AF"/>
    <w:rsid w:val="004F5968"/>
    <w:rsid w:val="004F5B98"/>
    <w:rsid w:val="004F5D47"/>
    <w:rsid w:val="004F5EBB"/>
    <w:rsid w:val="004F6EA3"/>
    <w:rsid w:val="004F72BF"/>
    <w:rsid w:val="004F7372"/>
    <w:rsid w:val="004F752A"/>
    <w:rsid w:val="0050012C"/>
    <w:rsid w:val="00500256"/>
    <w:rsid w:val="0050038B"/>
    <w:rsid w:val="005004A4"/>
    <w:rsid w:val="005004BA"/>
    <w:rsid w:val="0050050B"/>
    <w:rsid w:val="005009A9"/>
    <w:rsid w:val="00500F78"/>
    <w:rsid w:val="0050130F"/>
    <w:rsid w:val="00501B8A"/>
    <w:rsid w:val="00501C79"/>
    <w:rsid w:val="00501D80"/>
    <w:rsid w:val="00502068"/>
    <w:rsid w:val="00502783"/>
    <w:rsid w:val="005027C0"/>
    <w:rsid w:val="00502955"/>
    <w:rsid w:val="00502B4F"/>
    <w:rsid w:val="005034FA"/>
    <w:rsid w:val="00503E3C"/>
    <w:rsid w:val="005040D6"/>
    <w:rsid w:val="00504186"/>
    <w:rsid w:val="0050497E"/>
    <w:rsid w:val="005049C4"/>
    <w:rsid w:val="00505061"/>
    <w:rsid w:val="005052C0"/>
    <w:rsid w:val="0050546D"/>
    <w:rsid w:val="005054FB"/>
    <w:rsid w:val="005055BC"/>
    <w:rsid w:val="00505856"/>
    <w:rsid w:val="00505968"/>
    <w:rsid w:val="00505ECD"/>
    <w:rsid w:val="00506154"/>
    <w:rsid w:val="0050692A"/>
    <w:rsid w:val="00506B60"/>
    <w:rsid w:val="00507835"/>
    <w:rsid w:val="005078C7"/>
    <w:rsid w:val="00507D8A"/>
    <w:rsid w:val="00507E4D"/>
    <w:rsid w:val="00510208"/>
    <w:rsid w:val="005104B1"/>
    <w:rsid w:val="00510578"/>
    <w:rsid w:val="00510848"/>
    <w:rsid w:val="005108C8"/>
    <w:rsid w:val="00510F88"/>
    <w:rsid w:val="005113D3"/>
    <w:rsid w:val="005118EE"/>
    <w:rsid w:val="00511BCD"/>
    <w:rsid w:val="00511D92"/>
    <w:rsid w:val="005123A9"/>
    <w:rsid w:val="005123B3"/>
    <w:rsid w:val="005123B7"/>
    <w:rsid w:val="00512505"/>
    <w:rsid w:val="005125D4"/>
    <w:rsid w:val="00512AF1"/>
    <w:rsid w:val="00512DDF"/>
    <w:rsid w:val="00512EDB"/>
    <w:rsid w:val="0051304F"/>
    <w:rsid w:val="005131F0"/>
    <w:rsid w:val="0051324F"/>
    <w:rsid w:val="005135B6"/>
    <w:rsid w:val="00513BCC"/>
    <w:rsid w:val="005140A0"/>
    <w:rsid w:val="0051434C"/>
    <w:rsid w:val="005148F2"/>
    <w:rsid w:val="00514CBE"/>
    <w:rsid w:val="00514CDC"/>
    <w:rsid w:val="005153F4"/>
    <w:rsid w:val="00515B3A"/>
    <w:rsid w:val="00515E89"/>
    <w:rsid w:val="005162E8"/>
    <w:rsid w:val="005168D6"/>
    <w:rsid w:val="00516B67"/>
    <w:rsid w:val="00516D3D"/>
    <w:rsid w:val="00517563"/>
    <w:rsid w:val="00517791"/>
    <w:rsid w:val="005177A7"/>
    <w:rsid w:val="005178E1"/>
    <w:rsid w:val="00517B4B"/>
    <w:rsid w:val="00517DAD"/>
    <w:rsid w:val="00517E38"/>
    <w:rsid w:val="00517ED2"/>
    <w:rsid w:val="005201F6"/>
    <w:rsid w:val="00520380"/>
    <w:rsid w:val="005204FF"/>
    <w:rsid w:val="0052083B"/>
    <w:rsid w:val="00520C0B"/>
    <w:rsid w:val="00520D0C"/>
    <w:rsid w:val="00520E5C"/>
    <w:rsid w:val="005210D5"/>
    <w:rsid w:val="0052146B"/>
    <w:rsid w:val="00521755"/>
    <w:rsid w:val="0052199D"/>
    <w:rsid w:val="00521C1F"/>
    <w:rsid w:val="0052220B"/>
    <w:rsid w:val="00522236"/>
    <w:rsid w:val="005226A8"/>
    <w:rsid w:val="00522711"/>
    <w:rsid w:val="005228D5"/>
    <w:rsid w:val="00522A17"/>
    <w:rsid w:val="00522DB6"/>
    <w:rsid w:val="005230CC"/>
    <w:rsid w:val="00523109"/>
    <w:rsid w:val="00523406"/>
    <w:rsid w:val="0052382E"/>
    <w:rsid w:val="00523AB7"/>
    <w:rsid w:val="00523B3A"/>
    <w:rsid w:val="00524031"/>
    <w:rsid w:val="0052417C"/>
    <w:rsid w:val="0052439D"/>
    <w:rsid w:val="005244EB"/>
    <w:rsid w:val="0052478D"/>
    <w:rsid w:val="00524AEE"/>
    <w:rsid w:val="00524C74"/>
    <w:rsid w:val="005256A5"/>
    <w:rsid w:val="0052571E"/>
    <w:rsid w:val="00525C23"/>
    <w:rsid w:val="00525F80"/>
    <w:rsid w:val="0052609C"/>
    <w:rsid w:val="0052627D"/>
    <w:rsid w:val="005264E6"/>
    <w:rsid w:val="00526A29"/>
    <w:rsid w:val="00526B6B"/>
    <w:rsid w:val="00526E1D"/>
    <w:rsid w:val="00526EF0"/>
    <w:rsid w:val="00526F6C"/>
    <w:rsid w:val="005277EC"/>
    <w:rsid w:val="00527806"/>
    <w:rsid w:val="00527BB1"/>
    <w:rsid w:val="00527F94"/>
    <w:rsid w:val="0053006C"/>
    <w:rsid w:val="00530085"/>
    <w:rsid w:val="00530410"/>
    <w:rsid w:val="005304CB"/>
    <w:rsid w:val="005304F8"/>
    <w:rsid w:val="0053078D"/>
    <w:rsid w:val="00531119"/>
    <w:rsid w:val="005311C4"/>
    <w:rsid w:val="00531258"/>
    <w:rsid w:val="005313B9"/>
    <w:rsid w:val="00531535"/>
    <w:rsid w:val="005315F0"/>
    <w:rsid w:val="005317EC"/>
    <w:rsid w:val="00531A84"/>
    <w:rsid w:val="0053223A"/>
    <w:rsid w:val="005322A7"/>
    <w:rsid w:val="005322B5"/>
    <w:rsid w:val="005322BA"/>
    <w:rsid w:val="0053244C"/>
    <w:rsid w:val="005324E4"/>
    <w:rsid w:val="00532693"/>
    <w:rsid w:val="00532766"/>
    <w:rsid w:val="00532C5D"/>
    <w:rsid w:val="00532E3E"/>
    <w:rsid w:val="00533123"/>
    <w:rsid w:val="00533301"/>
    <w:rsid w:val="00533563"/>
    <w:rsid w:val="00533654"/>
    <w:rsid w:val="0053398A"/>
    <w:rsid w:val="00533B2A"/>
    <w:rsid w:val="00533F74"/>
    <w:rsid w:val="00534047"/>
    <w:rsid w:val="005341E6"/>
    <w:rsid w:val="005349FF"/>
    <w:rsid w:val="00534AAA"/>
    <w:rsid w:val="0053503E"/>
    <w:rsid w:val="00536503"/>
    <w:rsid w:val="00536B38"/>
    <w:rsid w:val="005374A8"/>
    <w:rsid w:val="0053775F"/>
    <w:rsid w:val="00537862"/>
    <w:rsid w:val="00540385"/>
    <w:rsid w:val="00540413"/>
    <w:rsid w:val="00540972"/>
    <w:rsid w:val="00540EF1"/>
    <w:rsid w:val="0054119F"/>
    <w:rsid w:val="005414AE"/>
    <w:rsid w:val="0054156B"/>
    <w:rsid w:val="0054180C"/>
    <w:rsid w:val="00541836"/>
    <w:rsid w:val="00541D75"/>
    <w:rsid w:val="00541F92"/>
    <w:rsid w:val="00542113"/>
    <w:rsid w:val="00542399"/>
    <w:rsid w:val="005429EA"/>
    <w:rsid w:val="00542FA6"/>
    <w:rsid w:val="00543343"/>
    <w:rsid w:val="005437AC"/>
    <w:rsid w:val="00543D34"/>
    <w:rsid w:val="00543F9D"/>
    <w:rsid w:val="00544B3E"/>
    <w:rsid w:val="005452A4"/>
    <w:rsid w:val="005453AC"/>
    <w:rsid w:val="005454C2"/>
    <w:rsid w:val="005458C7"/>
    <w:rsid w:val="005458D2"/>
    <w:rsid w:val="00546237"/>
    <w:rsid w:val="0054653C"/>
    <w:rsid w:val="00546739"/>
    <w:rsid w:val="00546A57"/>
    <w:rsid w:val="00546CC8"/>
    <w:rsid w:val="0054726E"/>
    <w:rsid w:val="0054744A"/>
    <w:rsid w:val="005475C6"/>
    <w:rsid w:val="0054782C"/>
    <w:rsid w:val="0054786D"/>
    <w:rsid w:val="00547D27"/>
    <w:rsid w:val="00550087"/>
    <w:rsid w:val="00550D47"/>
    <w:rsid w:val="005515B1"/>
    <w:rsid w:val="005518F6"/>
    <w:rsid w:val="005528D3"/>
    <w:rsid w:val="00552969"/>
    <w:rsid w:val="0055298C"/>
    <w:rsid w:val="005529FA"/>
    <w:rsid w:val="00553622"/>
    <w:rsid w:val="005536B1"/>
    <w:rsid w:val="005537BB"/>
    <w:rsid w:val="00553BA1"/>
    <w:rsid w:val="0055428A"/>
    <w:rsid w:val="00554349"/>
    <w:rsid w:val="005548FB"/>
    <w:rsid w:val="00554DAF"/>
    <w:rsid w:val="00554FF7"/>
    <w:rsid w:val="00555279"/>
    <w:rsid w:val="00555BE9"/>
    <w:rsid w:val="00556196"/>
    <w:rsid w:val="005568CA"/>
    <w:rsid w:val="00556AD5"/>
    <w:rsid w:val="005570E3"/>
    <w:rsid w:val="00557A03"/>
    <w:rsid w:val="00557CF0"/>
    <w:rsid w:val="00560258"/>
    <w:rsid w:val="005602AA"/>
    <w:rsid w:val="005609D4"/>
    <w:rsid w:val="00560BD5"/>
    <w:rsid w:val="005612B4"/>
    <w:rsid w:val="00561409"/>
    <w:rsid w:val="00561465"/>
    <w:rsid w:val="005614D6"/>
    <w:rsid w:val="005618A1"/>
    <w:rsid w:val="00561981"/>
    <w:rsid w:val="00561C54"/>
    <w:rsid w:val="00561EE7"/>
    <w:rsid w:val="00562128"/>
    <w:rsid w:val="0056224B"/>
    <w:rsid w:val="00562288"/>
    <w:rsid w:val="0056263A"/>
    <w:rsid w:val="005629A7"/>
    <w:rsid w:val="00562BD4"/>
    <w:rsid w:val="00562CEA"/>
    <w:rsid w:val="00562E2B"/>
    <w:rsid w:val="00562F6C"/>
    <w:rsid w:val="00562F73"/>
    <w:rsid w:val="00563093"/>
    <w:rsid w:val="0056319D"/>
    <w:rsid w:val="00563697"/>
    <w:rsid w:val="005647BA"/>
    <w:rsid w:val="005655DC"/>
    <w:rsid w:val="005657E1"/>
    <w:rsid w:val="00565B08"/>
    <w:rsid w:val="00565DC5"/>
    <w:rsid w:val="00565DE8"/>
    <w:rsid w:val="00565F4F"/>
    <w:rsid w:val="00565F69"/>
    <w:rsid w:val="0056661C"/>
    <w:rsid w:val="0056664C"/>
    <w:rsid w:val="00566F42"/>
    <w:rsid w:val="005675EC"/>
    <w:rsid w:val="00567908"/>
    <w:rsid w:val="00567936"/>
    <w:rsid w:val="00567A57"/>
    <w:rsid w:val="00567D2E"/>
    <w:rsid w:val="00567F86"/>
    <w:rsid w:val="005702BF"/>
    <w:rsid w:val="005707E1"/>
    <w:rsid w:val="00570BED"/>
    <w:rsid w:val="00570C29"/>
    <w:rsid w:val="00570CCC"/>
    <w:rsid w:val="00570D65"/>
    <w:rsid w:val="00570D97"/>
    <w:rsid w:val="00570F12"/>
    <w:rsid w:val="0057127C"/>
    <w:rsid w:val="0057155E"/>
    <w:rsid w:val="00571952"/>
    <w:rsid w:val="00571BD5"/>
    <w:rsid w:val="00571F2A"/>
    <w:rsid w:val="00571FB0"/>
    <w:rsid w:val="00572450"/>
    <w:rsid w:val="00572738"/>
    <w:rsid w:val="00572A7A"/>
    <w:rsid w:val="00572B94"/>
    <w:rsid w:val="00572DE9"/>
    <w:rsid w:val="0057322D"/>
    <w:rsid w:val="005734C3"/>
    <w:rsid w:val="00573CE0"/>
    <w:rsid w:val="00573D0E"/>
    <w:rsid w:val="0057411D"/>
    <w:rsid w:val="0057429D"/>
    <w:rsid w:val="00574334"/>
    <w:rsid w:val="00574550"/>
    <w:rsid w:val="005745C6"/>
    <w:rsid w:val="005749C7"/>
    <w:rsid w:val="00574F07"/>
    <w:rsid w:val="0057513A"/>
    <w:rsid w:val="00575473"/>
    <w:rsid w:val="00575540"/>
    <w:rsid w:val="005755D0"/>
    <w:rsid w:val="00575A19"/>
    <w:rsid w:val="00575AF8"/>
    <w:rsid w:val="00575E44"/>
    <w:rsid w:val="00576108"/>
    <w:rsid w:val="0057629D"/>
    <w:rsid w:val="005762C7"/>
    <w:rsid w:val="00576353"/>
    <w:rsid w:val="005766AD"/>
    <w:rsid w:val="00576963"/>
    <w:rsid w:val="00576AAB"/>
    <w:rsid w:val="00576C72"/>
    <w:rsid w:val="00576CDA"/>
    <w:rsid w:val="00576CE0"/>
    <w:rsid w:val="00576D81"/>
    <w:rsid w:val="00577452"/>
    <w:rsid w:val="00577624"/>
    <w:rsid w:val="005779D0"/>
    <w:rsid w:val="00577A8A"/>
    <w:rsid w:val="00577D60"/>
    <w:rsid w:val="00580145"/>
    <w:rsid w:val="0058018C"/>
    <w:rsid w:val="005802F9"/>
    <w:rsid w:val="005804A5"/>
    <w:rsid w:val="00580918"/>
    <w:rsid w:val="00580FE5"/>
    <w:rsid w:val="005812ED"/>
    <w:rsid w:val="0058151A"/>
    <w:rsid w:val="00581692"/>
    <w:rsid w:val="00581A7E"/>
    <w:rsid w:val="00581C0C"/>
    <w:rsid w:val="0058223A"/>
    <w:rsid w:val="005825A3"/>
    <w:rsid w:val="00582888"/>
    <w:rsid w:val="0058298A"/>
    <w:rsid w:val="00583D43"/>
    <w:rsid w:val="00583D5F"/>
    <w:rsid w:val="00583F3E"/>
    <w:rsid w:val="0058403E"/>
    <w:rsid w:val="005842F4"/>
    <w:rsid w:val="00584475"/>
    <w:rsid w:val="005845D7"/>
    <w:rsid w:val="005846DE"/>
    <w:rsid w:val="00584A1E"/>
    <w:rsid w:val="00584B53"/>
    <w:rsid w:val="00584C26"/>
    <w:rsid w:val="00584EA0"/>
    <w:rsid w:val="005854ED"/>
    <w:rsid w:val="00585790"/>
    <w:rsid w:val="005870CF"/>
    <w:rsid w:val="0058735E"/>
    <w:rsid w:val="00587A64"/>
    <w:rsid w:val="00587C6F"/>
    <w:rsid w:val="00587DE7"/>
    <w:rsid w:val="005903DC"/>
    <w:rsid w:val="00590422"/>
    <w:rsid w:val="005905B6"/>
    <w:rsid w:val="00590742"/>
    <w:rsid w:val="005909E4"/>
    <w:rsid w:val="00590CAE"/>
    <w:rsid w:val="00590EBE"/>
    <w:rsid w:val="005910BB"/>
    <w:rsid w:val="00591101"/>
    <w:rsid w:val="0059196A"/>
    <w:rsid w:val="00591A10"/>
    <w:rsid w:val="00591C52"/>
    <w:rsid w:val="00591C7E"/>
    <w:rsid w:val="00591FC9"/>
    <w:rsid w:val="005924FD"/>
    <w:rsid w:val="00592A9E"/>
    <w:rsid w:val="00592C64"/>
    <w:rsid w:val="00593057"/>
    <w:rsid w:val="00593240"/>
    <w:rsid w:val="005933EF"/>
    <w:rsid w:val="00593710"/>
    <w:rsid w:val="005938C8"/>
    <w:rsid w:val="005938FF"/>
    <w:rsid w:val="00593947"/>
    <w:rsid w:val="00593994"/>
    <w:rsid w:val="00593BCA"/>
    <w:rsid w:val="00593C83"/>
    <w:rsid w:val="005940FD"/>
    <w:rsid w:val="0059433F"/>
    <w:rsid w:val="005949BE"/>
    <w:rsid w:val="00594B6E"/>
    <w:rsid w:val="00594D2F"/>
    <w:rsid w:val="00595041"/>
    <w:rsid w:val="005950D5"/>
    <w:rsid w:val="005952B2"/>
    <w:rsid w:val="005955E7"/>
    <w:rsid w:val="005959D0"/>
    <w:rsid w:val="00595A0C"/>
    <w:rsid w:val="00596647"/>
    <w:rsid w:val="00596663"/>
    <w:rsid w:val="005969F0"/>
    <w:rsid w:val="00596A8C"/>
    <w:rsid w:val="00596CEC"/>
    <w:rsid w:val="0059718B"/>
    <w:rsid w:val="0059729A"/>
    <w:rsid w:val="00597413"/>
    <w:rsid w:val="005974F1"/>
    <w:rsid w:val="00597C84"/>
    <w:rsid w:val="00597C88"/>
    <w:rsid w:val="005A0144"/>
    <w:rsid w:val="005A0304"/>
    <w:rsid w:val="005A0378"/>
    <w:rsid w:val="005A03CA"/>
    <w:rsid w:val="005A043E"/>
    <w:rsid w:val="005A052F"/>
    <w:rsid w:val="005A0610"/>
    <w:rsid w:val="005A08A1"/>
    <w:rsid w:val="005A0C87"/>
    <w:rsid w:val="005A2008"/>
    <w:rsid w:val="005A2377"/>
    <w:rsid w:val="005A2460"/>
    <w:rsid w:val="005A249A"/>
    <w:rsid w:val="005A274F"/>
    <w:rsid w:val="005A277B"/>
    <w:rsid w:val="005A2CCB"/>
    <w:rsid w:val="005A2CCC"/>
    <w:rsid w:val="005A2F15"/>
    <w:rsid w:val="005A318A"/>
    <w:rsid w:val="005A346F"/>
    <w:rsid w:val="005A35E6"/>
    <w:rsid w:val="005A35EE"/>
    <w:rsid w:val="005A398D"/>
    <w:rsid w:val="005A39DE"/>
    <w:rsid w:val="005A3A01"/>
    <w:rsid w:val="005A3EC0"/>
    <w:rsid w:val="005A3F86"/>
    <w:rsid w:val="005A4125"/>
    <w:rsid w:val="005A47DD"/>
    <w:rsid w:val="005A4B5A"/>
    <w:rsid w:val="005A4FA4"/>
    <w:rsid w:val="005A535F"/>
    <w:rsid w:val="005A54BC"/>
    <w:rsid w:val="005A5A2B"/>
    <w:rsid w:val="005A5BD4"/>
    <w:rsid w:val="005A5FEF"/>
    <w:rsid w:val="005A5FFF"/>
    <w:rsid w:val="005A6444"/>
    <w:rsid w:val="005A660D"/>
    <w:rsid w:val="005A6778"/>
    <w:rsid w:val="005A680D"/>
    <w:rsid w:val="005A6BE1"/>
    <w:rsid w:val="005A6C3C"/>
    <w:rsid w:val="005A7792"/>
    <w:rsid w:val="005A7845"/>
    <w:rsid w:val="005A787F"/>
    <w:rsid w:val="005A7DA0"/>
    <w:rsid w:val="005A7DA9"/>
    <w:rsid w:val="005B0104"/>
    <w:rsid w:val="005B01CA"/>
    <w:rsid w:val="005B01E6"/>
    <w:rsid w:val="005B028A"/>
    <w:rsid w:val="005B0351"/>
    <w:rsid w:val="005B07C8"/>
    <w:rsid w:val="005B07E9"/>
    <w:rsid w:val="005B088D"/>
    <w:rsid w:val="005B0C18"/>
    <w:rsid w:val="005B0E1B"/>
    <w:rsid w:val="005B0F79"/>
    <w:rsid w:val="005B1015"/>
    <w:rsid w:val="005B12A8"/>
    <w:rsid w:val="005B1490"/>
    <w:rsid w:val="005B152E"/>
    <w:rsid w:val="005B16D3"/>
    <w:rsid w:val="005B17B8"/>
    <w:rsid w:val="005B24A6"/>
    <w:rsid w:val="005B2A15"/>
    <w:rsid w:val="005B3064"/>
    <w:rsid w:val="005B31C7"/>
    <w:rsid w:val="005B34A5"/>
    <w:rsid w:val="005B365C"/>
    <w:rsid w:val="005B3729"/>
    <w:rsid w:val="005B3813"/>
    <w:rsid w:val="005B390A"/>
    <w:rsid w:val="005B3BFD"/>
    <w:rsid w:val="005B415B"/>
    <w:rsid w:val="005B4A1A"/>
    <w:rsid w:val="005B4A6D"/>
    <w:rsid w:val="005B50B9"/>
    <w:rsid w:val="005B5254"/>
    <w:rsid w:val="005B5933"/>
    <w:rsid w:val="005B5AC9"/>
    <w:rsid w:val="005B5B23"/>
    <w:rsid w:val="005B645C"/>
    <w:rsid w:val="005B64BF"/>
    <w:rsid w:val="005B671F"/>
    <w:rsid w:val="005B6C3E"/>
    <w:rsid w:val="005B7263"/>
    <w:rsid w:val="005B731C"/>
    <w:rsid w:val="005B743E"/>
    <w:rsid w:val="005B75E7"/>
    <w:rsid w:val="005B7F9F"/>
    <w:rsid w:val="005C0149"/>
    <w:rsid w:val="005C0153"/>
    <w:rsid w:val="005C0563"/>
    <w:rsid w:val="005C0A0C"/>
    <w:rsid w:val="005C0B28"/>
    <w:rsid w:val="005C11F4"/>
    <w:rsid w:val="005C1604"/>
    <w:rsid w:val="005C1A62"/>
    <w:rsid w:val="005C1AC3"/>
    <w:rsid w:val="005C1C1B"/>
    <w:rsid w:val="005C1DC9"/>
    <w:rsid w:val="005C1F28"/>
    <w:rsid w:val="005C2195"/>
    <w:rsid w:val="005C2210"/>
    <w:rsid w:val="005C246C"/>
    <w:rsid w:val="005C2754"/>
    <w:rsid w:val="005C29F3"/>
    <w:rsid w:val="005C2D61"/>
    <w:rsid w:val="005C2FDF"/>
    <w:rsid w:val="005C301F"/>
    <w:rsid w:val="005C3132"/>
    <w:rsid w:val="005C3A86"/>
    <w:rsid w:val="005C4117"/>
    <w:rsid w:val="005C43F3"/>
    <w:rsid w:val="005C46A9"/>
    <w:rsid w:val="005C489C"/>
    <w:rsid w:val="005C4AE2"/>
    <w:rsid w:val="005C4CD8"/>
    <w:rsid w:val="005C4F41"/>
    <w:rsid w:val="005C4F6B"/>
    <w:rsid w:val="005C4FBD"/>
    <w:rsid w:val="005C502C"/>
    <w:rsid w:val="005C53C1"/>
    <w:rsid w:val="005C53E8"/>
    <w:rsid w:val="005C5422"/>
    <w:rsid w:val="005C54FB"/>
    <w:rsid w:val="005C5553"/>
    <w:rsid w:val="005C56CD"/>
    <w:rsid w:val="005C5775"/>
    <w:rsid w:val="005C59E2"/>
    <w:rsid w:val="005C6A52"/>
    <w:rsid w:val="005C6A8A"/>
    <w:rsid w:val="005C6C71"/>
    <w:rsid w:val="005C6D11"/>
    <w:rsid w:val="005C7236"/>
    <w:rsid w:val="005C72D3"/>
    <w:rsid w:val="005C74C4"/>
    <w:rsid w:val="005C7F53"/>
    <w:rsid w:val="005D03EB"/>
    <w:rsid w:val="005D0BC5"/>
    <w:rsid w:val="005D0C27"/>
    <w:rsid w:val="005D0D40"/>
    <w:rsid w:val="005D1B13"/>
    <w:rsid w:val="005D1FE4"/>
    <w:rsid w:val="005D20E5"/>
    <w:rsid w:val="005D2765"/>
    <w:rsid w:val="005D2D09"/>
    <w:rsid w:val="005D3232"/>
    <w:rsid w:val="005D34A6"/>
    <w:rsid w:val="005D3989"/>
    <w:rsid w:val="005D3ADF"/>
    <w:rsid w:val="005D3D6A"/>
    <w:rsid w:val="005D3D6F"/>
    <w:rsid w:val="005D42B6"/>
    <w:rsid w:val="005D46A9"/>
    <w:rsid w:val="005D4A69"/>
    <w:rsid w:val="005D4C67"/>
    <w:rsid w:val="005D4D7C"/>
    <w:rsid w:val="005D5603"/>
    <w:rsid w:val="005D5606"/>
    <w:rsid w:val="005D57AE"/>
    <w:rsid w:val="005D58FA"/>
    <w:rsid w:val="005D5AB7"/>
    <w:rsid w:val="005D643D"/>
    <w:rsid w:val="005D67D9"/>
    <w:rsid w:val="005D6F91"/>
    <w:rsid w:val="005D7388"/>
    <w:rsid w:val="005D7699"/>
    <w:rsid w:val="005D7B7C"/>
    <w:rsid w:val="005D7BEF"/>
    <w:rsid w:val="005D7C25"/>
    <w:rsid w:val="005D7C4A"/>
    <w:rsid w:val="005D7C75"/>
    <w:rsid w:val="005D7E51"/>
    <w:rsid w:val="005D7F45"/>
    <w:rsid w:val="005E03D7"/>
    <w:rsid w:val="005E044E"/>
    <w:rsid w:val="005E068F"/>
    <w:rsid w:val="005E0AF6"/>
    <w:rsid w:val="005E0CFA"/>
    <w:rsid w:val="005E0D14"/>
    <w:rsid w:val="005E0E2E"/>
    <w:rsid w:val="005E0E9A"/>
    <w:rsid w:val="005E0ED4"/>
    <w:rsid w:val="005E14D4"/>
    <w:rsid w:val="005E1627"/>
    <w:rsid w:val="005E1850"/>
    <w:rsid w:val="005E1B8F"/>
    <w:rsid w:val="005E2264"/>
    <w:rsid w:val="005E2915"/>
    <w:rsid w:val="005E29A3"/>
    <w:rsid w:val="005E2B3B"/>
    <w:rsid w:val="005E2C74"/>
    <w:rsid w:val="005E30FD"/>
    <w:rsid w:val="005E32CF"/>
    <w:rsid w:val="005E3368"/>
    <w:rsid w:val="005E3529"/>
    <w:rsid w:val="005E3987"/>
    <w:rsid w:val="005E3C02"/>
    <w:rsid w:val="005E3E0B"/>
    <w:rsid w:val="005E3F72"/>
    <w:rsid w:val="005E43DF"/>
    <w:rsid w:val="005E49BC"/>
    <w:rsid w:val="005E4E25"/>
    <w:rsid w:val="005E5007"/>
    <w:rsid w:val="005E5D31"/>
    <w:rsid w:val="005E61B0"/>
    <w:rsid w:val="005E61C1"/>
    <w:rsid w:val="005E6333"/>
    <w:rsid w:val="005E643A"/>
    <w:rsid w:val="005E6545"/>
    <w:rsid w:val="005E67F7"/>
    <w:rsid w:val="005E6BD8"/>
    <w:rsid w:val="005E6C82"/>
    <w:rsid w:val="005E6CAC"/>
    <w:rsid w:val="005E6D48"/>
    <w:rsid w:val="005E70B5"/>
    <w:rsid w:val="005E7218"/>
    <w:rsid w:val="005E7250"/>
    <w:rsid w:val="005E7A04"/>
    <w:rsid w:val="005E7ED9"/>
    <w:rsid w:val="005F0229"/>
    <w:rsid w:val="005F0303"/>
    <w:rsid w:val="005F04B8"/>
    <w:rsid w:val="005F053B"/>
    <w:rsid w:val="005F068C"/>
    <w:rsid w:val="005F0701"/>
    <w:rsid w:val="005F0982"/>
    <w:rsid w:val="005F110D"/>
    <w:rsid w:val="005F17BE"/>
    <w:rsid w:val="005F1EE8"/>
    <w:rsid w:val="005F1EEC"/>
    <w:rsid w:val="005F2278"/>
    <w:rsid w:val="005F24C7"/>
    <w:rsid w:val="005F2AB2"/>
    <w:rsid w:val="005F2E48"/>
    <w:rsid w:val="005F3093"/>
    <w:rsid w:val="005F34C2"/>
    <w:rsid w:val="005F36B6"/>
    <w:rsid w:val="005F37C3"/>
    <w:rsid w:val="005F41E0"/>
    <w:rsid w:val="005F4852"/>
    <w:rsid w:val="005F4E44"/>
    <w:rsid w:val="005F5008"/>
    <w:rsid w:val="005F590E"/>
    <w:rsid w:val="005F5F77"/>
    <w:rsid w:val="005F63EE"/>
    <w:rsid w:val="005F65D5"/>
    <w:rsid w:val="005F6D25"/>
    <w:rsid w:val="005F77EB"/>
    <w:rsid w:val="005F78B4"/>
    <w:rsid w:val="005F7CB0"/>
    <w:rsid w:val="005F7E22"/>
    <w:rsid w:val="005F7FE8"/>
    <w:rsid w:val="006002A5"/>
    <w:rsid w:val="00600340"/>
    <w:rsid w:val="00600A11"/>
    <w:rsid w:val="00600F82"/>
    <w:rsid w:val="00601005"/>
    <w:rsid w:val="00601348"/>
    <w:rsid w:val="00601419"/>
    <w:rsid w:val="00601690"/>
    <w:rsid w:val="00601C9B"/>
    <w:rsid w:val="00601D08"/>
    <w:rsid w:val="00602398"/>
    <w:rsid w:val="00602B13"/>
    <w:rsid w:val="00602B3B"/>
    <w:rsid w:val="00602CAC"/>
    <w:rsid w:val="006031A6"/>
    <w:rsid w:val="0060334F"/>
    <w:rsid w:val="006034EC"/>
    <w:rsid w:val="00603821"/>
    <w:rsid w:val="00603C63"/>
    <w:rsid w:val="00603EF5"/>
    <w:rsid w:val="006043E7"/>
    <w:rsid w:val="00604B47"/>
    <w:rsid w:val="00604B6B"/>
    <w:rsid w:val="00604ECB"/>
    <w:rsid w:val="00604F0D"/>
    <w:rsid w:val="006053C0"/>
    <w:rsid w:val="0060556B"/>
    <w:rsid w:val="006057D8"/>
    <w:rsid w:val="00605B03"/>
    <w:rsid w:val="00605CB4"/>
    <w:rsid w:val="0060607C"/>
    <w:rsid w:val="00606163"/>
    <w:rsid w:val="00606EE3"/>
    <w:rsid w:val="00606EF0"/>
    <w:rsid w:val="006073AB"/>
    <w:rsid w:val="006073BF"/>
    <w:rsid w:val="0060749E"/>
    <w:rsid w:val="00607A39"/>
    <w:rsid w:val="00607B82"/>
    <w:rsid w:val="00607DA7"/>
    <w:rsid w:val="00607E70"/>
    <w:rsid w:val="00610398"/>
    <w:rsid w:val="006104E3"/>
    <w:rsid w:val="00610E92"/>
    <w:rsid w:val="006115B9"/>
    <w:rsid w:val="00611815"/>
    <w:rsid w:val="00611B96"/>
    <w:rsid w:val="00611FC5"/>
    <w:rsid w:val="006121F9"/>
    <w:rsid w:val="006129F1"/>
    <w:rsid w:val="00612B6F"/>
    <w:rsid w:val="00612B9A"/>
    <w:rsid w:val="00613115"/>
    <w:rsid w:val="00613145"/>
    <w:rsid w:val="0061378D"/>
    <w:rsid w:val="0061385B"/>
    <w:rsid w:val="006138FC"/>
    <w:rsid w:val="0061392F"/>
    <w:rsid w:val="00613C03"/>
    <w:rsid w:val="00613F28"/>
    <w:rsid w:val="006140F9"/>
    <w:rsid w:val="006147C2"/>
    <w:rsid w:val="00614B7F"/>
    <w:rsid w:val="00614E67"/>
    <w:rsid w:val="00614F83"/>
    <w:rsid w:val="0061505B"/>
    <w:rsid w:val="006156B9"/>
    <w:rsid w:val="00615BFE"/>
    <w:rsid w:val="00615EA5"/>
    <w:rsid w:val="00615F8E"/>
    <w:rsid w:val="0061605D"/>
    <w:rsid w:val="006164D6"/>
    <w:rsid w:val="0061653C"/>
    <w:rsid w:val="006165F9"/>
    <w:rsid w:val="006168CF"/>
    <w:rsid w:val="00616C66"/>
    <w:rsid w:val="00616FDA"/>
    <w:rsid w:val="00617376"/>
    <w:rsid w:val="006175C0"/>
    <w:rsid w:val="00617AD5"/>
    <w:rsid w:val="00617C65"/>
    <w:rsid w:val="006200F9"/>
    <w:rsid w:val="006201C6"/>
    <w:rsid w:val="00620486"/>
    <w:rsid w:val="006209EE"/>
    <w:rsid w:val="00620B92"/>
    <w:rsid w:val="00620FDD"/>
    <w:rsid w:val="006219CE"/>
    <w:rsid w:val="00621CEC"/>
    <w:rsid w:val="00621D47"/>
    <w:rsid w:val="00621ECF"/>
    <w:rsid w:val="00621F03"/>
    <w:rsid w:val="00622470"/>
    <w:rsid w:val="0062253E"/>
    <w:rsid w:val="00622758"/>
    <w:rsid w:val="006227B8"/>
    <w:rsid w:val="00622B4F"/>
    <w:rsid w:val="00622D43"/>
    <w:rsid w:val="00622F43"/>
    <w:rsid w:val="00622F54"/>
    <w:rsid w:val="00623145"/>
    <w:rsid w:val="00623160"/>
    <w:rsid w:val="0062316E"/>
    <w:rsid w:val="006233B8"/>
    <w:rsid w:val="00623837"/>
    <w:rsid w:val="006240C4"/>
    <w:rsid w:val="00624189"/>
    <w:rsid w:val="00624263"/>
    <w:rsid w:val="0062454D"/>
    <w:rsid w:val="006245D4"/>
    <w:rsid w:val="00624907"/>
    <w:rsid w:val="00624E6F"/>
    <w:rsid w:val="00625192"/>
    <w:rsid w:val="00625BED"/>
    <w:rsid w:val="00625F4D"/>
    <w:rsid w:val="0062607F"/>
    <w:rsid w:val="00626355"/>
    <w:rsid w:val="006263A9"/>
    <w:rsid w:val="00626554"/>
    <w:rsid w:val="00626A68"/>
    <w:rsid w:val="00626AC7"/>
    <w:rsid w:val="00626C4A"/>
    <w:rsid w:val="00626C94"/>
    <w:rsid w:val="00626ED2"/>
    <w:rsid w:val="00627174"/>
    <w:rsid w:val="006271C9"/>
    <w:rsid w:val="00627242"/>
    <w:rsid w:val="0062737C"/>
    <w:rsid w:val="00627525"/>
    <w:rsid w:val="006275F4"/>
    <w:rsid w:val="00627A61"/>
    <w:rsid w:val="00627BA9"/>
    <w:rsid w:val="006300C0"/>
    <w:rsid w:val="00630357"/>
    <w:rsid w:val="00630918"/>
    <w:rsid w:val="00630B09"/>
    <w:rsid w:val="00630C81"/>
    <w:rsid w:val="00630DEB"/>
    <w:rsid w:val="00631205"/>
    <w:rsid w:val="006315E1"/>
    <w:rsid w:val="0063201B"/>
    <w:rsid w:val="006322BC"/>
    <w:rsid w:val="00632601"/>
    <w:rsid w:val="006329DA"/>
    <w:rsid w:val="00632B35"/>
    <w:rsid w:val="00632BD5"/>
    <w:rsid w:val="00632DAB"/>
    <w:rsid w:val="00633301"/>
    <w:rsid w:val="006336B5"/>
    <w:rsid w:val="00633767"/>
    <w:rsid w:val="00633F63"/>
    <w:rsid w:val="0063465A"/>
    <w:rsid w:val="006348FB"/>
    <w:rsid w:val="00634AC7"/>
    <w:rsid w:val="00634B16"/>
    <w:rsid w:val="0063501B"/>
    <w:rsid w:val="006352F7"/>
    <w:rsid w:val="00635534"/>
    <w:rsid w:val="00635ADF"/>
    <w:rsid w:val="00635C98"/>
    <w:rsid w:val="00635CB0"/>
    <w:rsid w:val="006362BF"/>
    <w:rsid w:val="00636373"/>
    <w:rsid w:val="00636602"/>
    <w:rsid w:val="006368C0"/>
    <w:rsid w:val="00636CDF"/>
    <w:rsid w:val="0063796D"/>
    <w:rsid w:val="006379D9"/>
    <w:rsid w:val="00640051"/>
    <w:rsid w:val="0064030C"/>
    <w:rsid w:val="00640367"/>
    <w:rsid w:val="006403C7"/>
    <w:rsid w:val="006408D6"/>
    <w:rsid w:val="00640967"/>
    <w:rsid w:val="00640B77"/>
    <w:rsid w:val="00641038"/>
    <w:rsid w:val="006416CE"/>
    <w:rsid w:val="00641873"/>
    <w:rsid w:val="0064239E"/>
    <w:rsid w:val="006429EB"/>
    <w:rsid w:val="00642E92"/>
    <w:rsid w:val="00642F9E"/>
    <w:rsid w:val="006432D8"/>
    <w:rsid w:val="00643CC7"/>
    <w:rsid w:val="00643EAC"/>
    <w:rsid w:val="00643F4F"/>
    <w:rsid w:val="00644402"/>
    <w:rsid w:val="00644411"/>
    <w:rsid w:val="0064446E"/>
    <w:rsid w:val="00644ADD"/>
    <w:rsid w:val="00644BEE"/>
    <w:rsid w:val="00644DEA"/>
    <w:rsid w:val="00644E95"/>
    <w:rsid w:val="006453E8"/>
    <w:rsid w:val="00645498"/>
    <w:rsid w:val="006454CB"/>
    <w:rsid w:val="006460C3"/>
    <w:rsid w:val="0064610F"/>
    <w:rsid w:val="0064670F"/>
    <w:rsid w:val="00646841"/>
    <w:rsid w:val="00646A82"/>
    <w:rsid w:val="006470A8"/>
    <w:rsid w:val="00647104"/>
    <w:rsid w:val="00647122"/>
    <w:rsid w:val="006472DA"/>
    <w:rsid w:val="006472DB"/>
    <w:rsid w:val="0064783F"/>
    <w:rsid w:val="0064796B"/>
    <w:rsid w:val="006479AD"/>
    <w:rsid w:val="00647B35"/>
    <w:rsid w:val="00647D23"/>
    <w:rsid w:val="00647E5B"/>
    <w:rsid w:val="00650116"/>
    <w:rsid w:val="00650229"/>
    <w:rsid w:val="00650373"/>
    <w:rsid w:val="006503C2"/>
    <w:rsid w:val="00650AD4"/>
    <w:rsid w:val="00650CDB"/>
    <w:rsid w:val="00651353"/>
    <w:rsid w:val="00651947"/>
    <w:rsid w:val="00651C28"/>
    <w:rsid w:val="0065205C"/>
    <w:rsid w:val="006520B9"/>
    <w:rsid w:val="00652334"/>
    <w:rsid w:val="006527EF"/>
    <w:rsid w:val="00652DAB"/>
    <w:rsid w:val="00652E29"/>
    <w:rsid w:val="00652F67"/>
    <w:rsid w:val="0065364B"/>
    <w:rsid w:val="00653999"/>
    <w:rsid w:val="00653B01"/>
    <w:rsid w:val="00653C68"/>
    <w:rsid w:val="00653F22"/>
    <w:rsid w:val="0065424C"/>
    <w:rsid w:val="00654497"/>
    <w:rsid w:val="006544B9"/>
    <w:rsid w:val="00654E4D"/>
    <w:rsid w:val="00654F23"/>
    <w:rsid w:val="00654F6E"/>
    <w:rsid w:val="00655330"/>
    <w:rsid w:val="006556EB"/>
    <w:rsid w:val="0065573F"/>
    <w:rsid w:val="006557FC"/>
    <w:rsid w:val="0065580E"/>
    <w:rsid w:val="00655869"/>
    <w:rsid w:val="006558E9"/>
    <w:rsid w:val="00655B4C"/>
    <w:rsid w:val="00655ECE"/>
    <w:rsid w:val="00655F02"/>
    <w:rsid w:val="00656112"/>
    <w:rsid w:val="0065637A"/>
    <w:rsid w:val="006565C3"/>
    <w:rsid w:val="006565F4"/>
    <w:rsid w:val="00656AEB"/>
    <w:rsid w:val="00656B89"/>
    <w:rsid w:val="00656B98"/>
    <w:rsid w:val="00657269"/>
    <w:rsid w:val="006572FC"/>
    <w:rsid w:val="00657382"/>
    <w:rsid w:val="006573A9"/>
    <w:rsid w:val="00657413"/>
    <w:rsid w:val="00657467"/>
    <w:rsid w:val="0065761F"/>
    <w:rsid w:val="006576B8"/>
    <w:rsid w:val="00657A75"/>
    <w:rsid w:val="00657C05"/>
    <w:rsid w:val="00657C0B"/>
    <w:rsid w:val="00657E00"/>
    <w:rsid w:val="00657E20"/>
    <w:rsid w:val="00660084"/>
    <w:rsid w:val="00660817"/>
    <w:rsid w:val="00661394"/>
    <w:rsid w:val="00661674"/>
    <w:rsid w:val="00661E4D"/>
    <w:rsid w:val="00662100"/>
    <w:rsid w:val="00662237"/>
    <w:rsid w:val="006628C1"/>
    <w:rsid w:val="006629CE"/>
    <w:rsid w:val="006630EA"/>
    <w:rsid w:val="00663260"/>
    <w:rsid w:val="00663629"/>
    <w:rsid w:val="00663B7D"/>
    <w:rsid w:val="00663BAF"/>
    <w:rsid w:val="00663D66"/>
    <w:rsid w:val="006640EC"/>
    <w:rsid w:val="006648A7"/>
    <w:rsid w:val="006649C4"/>
    <w:rsid w:val="006649D8"/>
    <w:rsid w:val="00664A06"/>
    <w:rsid w:val="00664BB8"/>
    <w:rsid w:val="006652FA"/>
    <w:rsid w:val="006653F8"/>
    <w:rsid w:val="00665418"/>
    <w:rsid w:val="0066557E"/>
    <w:rsid w:val="00665B44"/>
    <w:rsid w:val="00665F94"/>
    <w:rsid w:val="006667FB"/>
    <w:rsid w:val="00666B6B"/>
    <w:rsid w:val="00666E1F"/>
    <w:rsid w:val="006673B3"/>
    <w:rsid w:val="006675A1"/>
    <w:rsid w:val="0066767D"/>
    <w:rsid w:val="006676CD"/>
    <w:rsid w:val="006676D3"/>
    <w:rsid w:val="0067055C"/>
    <w:rsid w:val="006708BD"/>
    <w:rsid w:val="006708E3"/>
    <w:rsid w:val="00670B2C"/>
    <w:rsid w:val="00670C49"/>
    <w:rsid w:val="00670D16"/>
    <w:rsid w:val="006714A4"/>
    <w:rsid w:val="00671836"/>
    <w:rsid w:val="00671C25"/>
    <w:rsid w:val="00671C3F"/>
    <w:rsid w:val="00671C82"/>
    <w:rsid w:val="00671DBF"/>
    <w:rsid w:val="00671EFD"/>
    <w:rsid w:val="006728FA"/>
    <w:rsid w:val="00672EFA"/>
    <w:rsid w:val="00673376"/>
    <w:rsid w:val="00673C99"/>
    <w:rsid w:val="00673E13"/>
    <w:rsid w:val="00673EAC"/>
    <w:rsid w:val="00674020"/>
    <w:rsid w:val="00674186"/>
    <w:rsid w:val="00674197"/>
    <w:rsid w:val="0067419A"/>
    <w:rsid w:val="0067442A"/>
    <w:rsid w:val="00674A8F"/>
    <w:rsid w:val="00674D43"/>
    <w:rsid w:val="00675154"/>
    <w:rsid w:val="00675366"/>
    <w:rsid w:val="00675A27"/>
    <w:rsid w:val="00675B25"/>
    <w:rsid w:val="00675C99"/>
    <w:rsid w:val="00675D55"/>
    <w:rsid w:val="00675D73"/>
    <w:rsid w:val="00675EA7"/>
    <w:rsid w:val="0067615C"/>
    <w:rsid w:val="00676316"/>
    <w:rsid w:val="006763FB"/>
    <w:rsid w:val="006766A3"/>
    <w:rsid w:val="00676881"/>
    <w:rsid w:val="00676CD7"/>
    <w:rsid w:val="00676D97"/>
    <w:rsid w:val="00677448"/>
    <w:rsid w:val="006774B8"/>
    <w:rsid w:val="006776B5"/>
    <w:rsid w:val="006778C5"/>
    <w:rsid w:val="0067799E"/>
    <w:rsid w:val="006779A6"/>
    <w:rsid w:val="00677DF4"/>
    <w:rsid w:val="00677F8B"/>
    <w:rsid w:val="00677FA5"/>
    <w:rsid w:val="00680031"/>
    <w:rsid w:val="0068026E"/>
    <w:rsid w:val="00680857"/>
    <w:rsid w:val="006808D5"/>
    <w:rsid w:val="00680E74"/>
    <w:rsid w:val="00680F73"/>
    <w:rsid w:val="00681000"/>
    <w:rsid w:val="00681166"/>
    <w:rsid w:val="00681360"/>
    <w:rsid w:val="00681529"/>
    <w:rsid w:val="0068162E"/>
    <w:rsid w:val="00681764"/>
    <w:rsid w:val="00681BD5"/>
    <w:rsid w:val="006820D3"/>
    <w:rsid w:val="00682187"/>
    <w:rsid w:val="0068241E"/>
    <w:rsid w:val="006825D3"/>
    <w:rsid w:val="00682B83"/>
    <w:rsid w:val="00682CE5"/>
    <w:rsid w:val="00682F74"/>
    <w:rsid w:val="00683005"/>
    <w:rsid w:val="006830F1"/>
    <w:rsid w:val="00683482"/>
    <w:rsid w:val="006837F3"/>
    <w:rsid w:val="00683972"/>
    <w:rsid w:val="00683D00"/>
    <w:rsid w:val="00684690"/>
    <w:rsid w:val="006849D9"/>
    <w:rsid w:val="00684B05"/>
    <w:rsid w:val="00684C59"/>
    <w:rsid w:val="00684FCF"/>
    <w:rsid w:val="006853E4"/>
    <w:rsid w:val="0068548C"/>
    <w:rsid w:val="00685AFF"/>
    <w:rsid w:val="006862AB"/>
    <w:rsid w:val="00686551"/>
    <w:rsid w:val="006867A6"/>
    <w:rsid w:val="00686CF6"/>
    <w:rsid w:val="00687042"/>
    <w:rsid w:val="006870E4"/>
    <w:rsid w:val="006872E5"/>
    <w:rsid w:val="00687887"/>
    <w:rsid w:val="0068798B"/>
    <w:rsid w:val="00687A52"/>
    <w:rsid w:val="00687D6D"/>
    <w:rsid w:val="00687DBF"/>
    <w:rsid w:val="00690111"/>
    <w:rsid w:val="00690173"/>
    <w:rsid w:val="00690870"/>
    <w:rsid w:val="006909B9"/>
    <w:rsid w:val="006909FD"/>
    <w:rsid w:val="006910EB"/>
    <w:rsid w:val="006914E0"/>
    <w:rsid w:val="00691600"/>
    <w:rsid w:val="00691E9A"/>
    <w:rsid w:val="00691EFE"/>
    <w:rsid w:val="006921F3"/>
    <w:rsid w:val="00692641"/>
    <w:rsid w:val="00692660"/>
    <w:rsid w:val="00692CA4"/>
    <w:rsid w:val="00693034"/>
    <w:rsid w:val="00693294"/>
    <w:rsid w:val="006933D6"/>
    <w:rsid w:val="00693B74"/>
    <w:rsid w:val="006941B8"/>
    <w:rsid w:val="006945F0"/>
    <w:rsid w:val="00694DEE"/>
    <w:rsid w:val="006952CC"/>
    <w:rsid w:val="0069568E"/>
    <w:rsid w:val="006959AF"/>
    <w:rsid w:val="00696361"/>
    <w:rsid w:val="006963DF"/>
    <w:rsid w:val="0069664E"/>
    <w:rsid w:val="00696AA3"/>
    <w:rsid w:val="00696AB5"/>
    <w:rsid w:val="00696C5E"/>
    <w:rsid w:val="0069701F"/>
    <w:rsid w:val="006971B8"/>
    <w:rsid w:val="006975A9"/>
    <w:rsid w:val="006A01E3"/>
    <w:rsid w:val="006A07F7"/>
    <w:rsid w:val="006A07FE"/>
    <w:rsid w:val="006A08F0"/>
    <w:rsid w:val="006A0EC4"/>
    <w:rsid w:val="006A12C7"/>
    <w:rsid w:val="006A137A"/>
    <w:rsid w:val="006A1693"/>
    <w:rsid w:val="006A1830"/>
    <w:rsid w:val="006A2380"/>
    <w:rsid w:val="006A31F4"/>
    <w:rsid w:val="006A3313"/>
    <w:rsid w:val="006A3C74"/>
    <w:rsid w:val="006A3D06"/>
    <w:rsid w:val="006A3EBD"/>
    <w:rsid w:val="006A407E"/>
    <w:rsid w:val="006A4578"/>
    <w:rsid w:val="006A473B"/>
    <w:rsid w:val="006A48D1"/>
    <w:rsid w:val="006A4A3F"/>
    <w:rsid w:val="006A4E24"/>
    <w:rsid w:val="006A4E2A"/>
    <w:rsid w:val="006A4F1F"/>
    <w:rsid w:val="006A5118"/>
    <w:rsid w:val="006A5294"/>
    <w:rsid w:val="006A5529"/>
    <w:rsid w:val="006A57BE"/>
    <w:rsid w:val="006A5849"/>
    <w:rsid w:val="006A5A15"/>
    <w:rsid w:val="006A5B12"/>
    <w:rsid w:val="006A6193"/>
    <w:rsid w:val="006A62BA"/>
    <w:rsid w:val="006A63CB"/>
    <w:rsid w:val="006A6420"/>
    <w:rsid w:val="006A6DD7"/>
    <w:rsid w:val="006A6DEC"/>
    <w:rsid w:val="006A6F09"/>
    <w:rsid w:val="006A7269"/>
    <w:rsid w:val="006A771B"/>
    <w:rsid w:val="006B0376"/>
    <w:rsid w:val="006B03BC"/>
    <w:rsid w:val="006B056B"/>
    <w:rsid w:val="006B0A6F"/>
    <w:rsid w:val="006B1299"/>
    <w:rsid w:val="006B15AF"/>
    <w:rsid w:val="006B15C4"/>
    <w:rsid w:val="006B1669"/>
    <w:rsid w:val="006B182A"/>
    <w:rsid w:val="006B1897"/>
    <w:rsid w:val="006B1929"/>
    <w:rsid w:val="006B1995"/>
    <w:rsid w:val="006B1ECE"/>
    <w:rsid w:val="006B2559"/>
    <w:rsid w:val="006B2575"/>
    <w:rsid w:val="006B27D2"/>
    <w:rsid w:val="006B2940"/>
    <w:rsid w:val="006B2B13"/>
    <w:rsid w:val="006B31B7"/>
    <w:rsid w:val="006B3278"/>
    <w:rsid w:val="006B4234"/>
    <w:rsid w:val="006B4601"/>
    <w:rsid w:val="006B4628"/>
    <w:rsid w:val="006B480D"/>
    <w:rsid w:val="006B4861"/>
    <w:rsid w:val="006B4911"/>
    <w:rsid w:val="006B49F6"/>
    <w:rsid w:val="006B4AB7"/>
    <w:rsid w:val="006B4C79"/>
    <w:rsid w:val="006B51FF"/>
    <w:rsid w:val="006B5C4E"/>
    <w:rsid w:val="006B5D6F"/>
    <w:rsid w:val="006B5E6A"/>
    <w:rsid w:val="006B5F5A"/>
    <w:rsid w:val="006B60C9"/>
    <w:rsid w:val="006B7022"/>
    <w:rsid w:val="006B70E5"/>
    <w:rsid w:val="006B7337"/>
    <w:rsid w:val="006B761A"/>
    <w:rsid w:val="006B7887"/>
    <w:rsid w:val="006B7938"/>
    <w:rsid w:val="006B7EC5"/>
    <w:rsid w:val="006B7F04"/>
    <w:rsid w:val="006C03E2"/>
    <w:rsid w:val="006C0565"/>
    <w:rsid w:val="006C06F6"/>
    <w:rsid w:val="006C092D"/>
    <w:rsid w:val="006C122A"/>
    <w:rsid w:val="006C1477"/>
    <w:rsid w:val="006C17B0"/>
    <w:rsid w:val="006C1F28"/>
    <w:rsid w:val="006C1FFA"/>
    <w:rsid w:val="006C2207"/>
    <w:rsid w:val="006C238D"/>
    <w:rsid w:val="006C24EE"/>
    <w:rsid w:val="006C3578"/>
    <w:rsid w:val="006C3829"/>
    <w:rsid w:val="006C3992"/>
    <w:rsid w:val="006C3CD9"/>
    <w:rsid w:val="006C40B7"/>
    <w:rsid w:val="006C4650"/>
    <w:rsid w:val="006C487A"/>
    <w:rsid w:val="006C48CA"/>
    <w:rsid w:val="006C49A6"/>
    <w:rsid w:val="006C4A63"/>
    <w:rsid w:val="006C4DF1"/>
    <w:rsid w:val="006C503B"/>
    <w:rsid w:val="006C5235"/>
    <w:rsid w:val="006C5502"/>
    <w:rsid w:val="006C57F1"/>
    <w:rsid w:val="006C5A3E"/>
    <w:rsid w:val="006C5A71"/>
    <w:rsid w:val="006C5BD3"/>
    <w:rsid w:val="006C5D25"/>
    <w:rsid w:val="006C5E2D"/>
    <w:rsid w:val="006C5E86"/>
    <w:rsid w:val="006C602E"/>
    <w:rsid w:val="006C6259"/>
    <w:rsid w:val="006C6646"/>
    <w:rsid w:val="006C68A6"/>
    <w:rsid w:val="006C699D"/>
    <w:rsid w:val="006C73BE"/>
    <w:rsid w:val="006C7436"/>
    <w:rsid w:val="006C76AA"/>
    <w:rsid w:val="006C780F"/>
    <w:rsid w:val="006C7ABF"/>
    <w:rsid w:val="006D0917"/>
    <w:rsid w:val="006D0BEB"/>
    <w:rsid w:val="006D0D3A"/>
    <w:rsid w:val="006D0DFE"/>
    <w:rsid w:val="006D0ED4"/>
    <w:rsid w:val="006D121D"/>
    <w:rsid w:val="006D12AB"/>
    <w:rsid w:val="006D165F"/>
    <w:rsid w:val="006D1A2A"/>
    <w:rsid w:val="006D1A76"/>
    <w:rsid w:val="006D1BD1"/>
    <w:rsid w:val="006D1DF4"/>
    <w:rsid w:val="006D1E31"/>
    <w:rsid w:val="006D1ED2"/>
    <w:rsid w:val="006D2CAD"/>
    <w:rsid w:val="006D2DD1"/>
    <w:rsid w:val="006D2F55"/>
    <w:rsid w:val="006D325A"/>
    <w:rsid w:val="006D39FE"/>
    <w:rsid w:val="006D3A9D"/>
    <w:rsid w:val="006D3C89"/>
    <w:rsid w:val="006D3CC7"/>
    <w:rsid w:val="006D3F39"/>
    <w:rsid w:val="006D406D"/>
    <w:rsid w:val="006D42A4"/>
    <w:rsid w:val="006D4335"/>
    <w:rsid w:val="006D488F"/>
    <w:rsid w:val="006D4996"/>
    <w:rsid w:val="006D4A64"/>
    <w:rsid w:val="006D4B4F"/>
    <w:rsid w:val="006D4BDF"/>
    <w:rsid w:val="006D4E1A"/>
    <w:rsid w:val="006D4E92"/>
    <w:rsid w:val="006D4F16"/>
    <w:rsid w:val="006D4F4A"/>
    <w:rsid w:val="006D518A"/>
    <w:rsid w:val="006D51E8"/>
    <w:rsid w:val="006D53DB"/>
    <w:rsid w:val="006D6018"/>
    <w:rsid w:val="006D637B"/>
    <w:rsid w:val="006D66C7"/>
    <w:rsid w:val="006D6957"/>
    <w:rsid w:val="006D6C7F"/>
    <w:rsid w:val="006D71F6"/>
    <w:rsid w:val="006D7362"/>
    <w:rsid w:val="006D73D1"/>
    <w:rsid w:val="006D7520"/>
    <w:rsid w:val="006D7570"/>
    <w:rsid w:val="006D787A"/>
    <w:rsid w:val="006D7BC2"/>
    <w:rsid w:val="006D7D60"/>
    <w:rsid w:val="006E014C"/>
    <w:rsid w:val="006E0242"/>
    <w:rsid w:val="006E03B0"/>
    <w:rsid w:val="006E0441"/>
    <w:rsid w:val="006E053C"/>
    <w:rsid w:val="006E0697"/>
    <w:rsid w:val="006E073C"/>
    <w:rsid w:val="006E0761"/>
    <w:rsid w:val="006E0964"/>
    <w:rsid w:val="006E09E6"/>
    <w:rsid w:val="006E0BE2"/>
    <w:rsid w:val="006E0C4E"/>
    <w:rsid w:val="006E0ECE"/>
    <w:rsid w:val="006E10B0"/>
    <w:rsid w:val="006E1256"/>
    <w:rsid w:val="006E1634"/>
    <w:rsid w:val="006E1992"/>
    <w:rsid w:val="006E1C68"/>
    <w:rsid w:val="006E1DC4"/>
    <w:rsid w:val="006E1E43"/>
    <w:rsid w:val="006E1F61"/>
    <w:rsid w:val="006E21F4"/>
    <w:rsid w:val="006E27AE"/>
    <w:rsid w:val="006E2BAD"/>
    <w:rsid w:val="006E2F82"/>
    <w:rsid w:val="006E32A1"/>
    <w:rsid w:val="006E348E"/>
    <w:rsid w:val="006E353B"/>
    <w:rsid w:val="006E36D6"/>
    <w:rsid w:val="006E38DD"/>
    <w:rsid w:val="006E3903"/>
    <w:rsid w:val="006E3C44"/>
    <w:rsid w:val="006E3E55"/>
    <w:rsid w:val="006E40F9"/>
    <w:rsid w:val="006E41AD"/>
    <w:rsid w:val="006E45B9"/>
    <w:rsid w:val="006E463B"/>
    <w:rsid w:val="006E4BAF"/>
    <w:rsid w:val="006E4C51"/>
    <w:rsid w:val="006E4E65"/>
    <w:rsid w:val="006E524A"/>
    <w:rsid w:val="006E5287"/>
    <w:rsid w:val="006E5557"/>
    <w:rsid w:val="006E559F"/>
    <w:rsid w:val="006E55E9"/>
    <w:rsid w:val="006E5823"/>
    <w:rsid w:val="006E5EE1"/>
    <w:rsid w:val="006E60B5"/>
    <w:rsid w:val="006E63D0"/>
    <w:rsid w:val="006E66AA"/>
    <w:rsid w:val="006E689B"/>
    <w:rsid w:val="006E6A38"/>
    <w:rsid w:val="006E7035"/>
    <w:rsid w:val="006E73C6"/>
    <w:rsid w:val="006E7D5F"/>
    <w:rsid w:val="006F0135"/>
    <w:rsid w:val="006F0487"/>
    <w:rsid w:val="006F05CB"/>
    <w:rsid w:val="006F06B3"/>
    <w:rsid w:val="006F0714"/>
    <w:rsid w:val="006F073D"/>
    <w:rsid w:val="006F073E"/>
    <w:rsid w:val="006F0BB5"/>
    <w:rsid w:val="006F0C2B"/>
    <w:rsid w:val="006F0EA8"/>
    <w:rsid w:val="006F11E2"/>
    <w:rsid w:val="006F1EE1"/>
    <w:rsid w:val="006F2846"/>
    <w:rsid w:val="006F32C6"/>
    <w:rsid w:val="006F340B"/>
    <w:rsid w:val="006F35FA"/>
    <w:rsid w:val="006F371B"/>
    <w:rsid w:val="006F37F7"/>
    <w:rsid w:val="006F38EB"/>
    <w:rsid w:val="006F3B27"/>
    <w:rsid w:val="006F3F37"/>
    <w:rsid w:val="006F3F8B"/>
    <w:rsid w:val="006F4467"/>
    <w:rsid w:val="006F47F6"/>
    <w:rsid w:val="006F4815"/>
    <w:rsid w:val="006F4C6E"/>
    <w:rsid w:val="006F4D53"/>
    <w:rsid w:val="006F4D54"/>
    <w:rsid w:val="006F4E63"/>
    <w:rsid w:val="006F5306"/>
    <w:rsid w:val="006F5526"/>
    <w:rsid w:val="006F558A"/>
    <w:rsid w:val="006F5623"/>
    <w:rsid w:val="006F5711"/>
    <w:rsid w:val="006F57EC"/>
    <w:rsid w:val="006F580B"/>
    <w:rsid w:val="006F5953"/>
    <w:rsid w:val="006F5E02"/>
    <w:rsid w:val="006F6437"/>
    <w:rsid w:val="006F64FB"/>
    <w:rsid w:val="006F6839"/>
    <w:rsid w:val="006F6C88"/>
    <w:rsid w:val="006F6D3E"/>
    <w:rsid w:val="006F6DE9"/>
    <w:rsid w:val="006F6DF6"/>
    <w:rsid w:val="006F703F"/>
    <w:rsid w:val="006F70FB"/>
    <w:rsid w:val="006F7197"/>
    <w:rsid w:val="006F7677"/>
    <w:rsid w:val="007001DF"/>
    <w:rsid w:val="00700499"/>
    <w:rsid w:val="0070059C"/>
    <w:rsid w:val="007008FB"/>
    <w:rsid w:val="00700C66"/>
    <w:rsid w:val="00700D33"/>
    <w:rsid w:val="00701288"/>
    <w:rsid w:val="007019E4"/>
    <w:rsid w:val="00701AF2"/>
    <w:rsid w:val="00701F50"/>
    <w:rsid w:val="007027C6"/>
    <w:rsid w:val="00702982"/>
    <w:rsid w:val="007029CF"/>
    <w:rsid w:val="00702AA4"/>
    <w:rsid w:val="007030AF"/>
    <w:rsid w:val="007031C7"/>
    <w:rsid w:val="007032DC"/>
    <w:rsid w:val="00703621"/>
    <w:rsid w:val="00703628"/>
    <w:rsid w:val="0070374E"/>
    <w:rsid w:val="007038A2"/>
    <w:rsid w:val="00703930"/>
    <w:rsid w:val="007039EB"/>
    <w:rsid w:val="00703D0F"/>
    <w:rsid w:val="007040D2"/>
    <w:rsid w:val="00704140"/>
    <w:rsid w:val="00704230"/>
    <w:rsid w:val="00704518"/>
    <w:rsid w:val="007053D0"/>
    <w:rsid w:val="0070550E"/>
    <w:rsid w:val="00705615"/>
    <w:rsid w:val="007058F3"/>
    <w:rsid w:val="0070598D"/>
    <w:rsid w:val="00705997"/>
    <w:rsid w:val="00705998"/>
    <w:rsid w:val="00705B50"/>
    <w:rsid w:val="00705D51"/>
    <w:rsid w:val="00705D5A"/>
    <w:rsid w:val="00705F04"/>
    <w:rsid w:val="00706411"/>
    <w:rsid w:val="00706479"/>
    <w:rsid w:val="00706505"/>
    <w:rsid w:val="0070695C"/>
    <w:rsid w:val="00706A8B"/>
    <w:rsid w:val="0070767D"/>
    <w:rsid w:val="00707CEB"/>
    <w:rsid w:val="00707E6F"/>
    <w:rsid w:val="00707F63"/>
    <w:rsid w:val="00710510"/>
    <w:rsid w:val="00710F69"/>
    <w:rsid w:val="00711671"/>
    <w:rsid w:val="00711727"/>
    <w:rsid w:val="00711B0B"/>
    <w:rsid w:val="00711F2F"/>
    <w:rsid w:val="00712A6F"/>
    <w:rsid w:val="00712C9B"/>
    <w:rsid w:val="00712F1E"/>
    <w:rsid w:val="00713B42"/>
    <w:rsid w:val="00713C0C"/>
    <w:rsid w:val="00713C94"/>
    <w:rsid w:val="00713CF4"/>
    <w:rsid w:val="00713EF0"/>
    <w:rsid w:val="00713F5F"/>
    <w:rsid w:val="007144F2"/>
    <w:rsid w:val="00714BEB"/>
    <w:rsid w:val="00714BF6"/>
    <w:rsid w:val="00714C4C"/>
    <w:rsid w:val="00714DD1"/>
    <w:rsid w:val="00714F42"/>
    <w:rsid w:val="007151A3"/>
    <w:rsid w:val="007158D5"/>
    <w:rsid w:val="00715C50"/>
    <w:rsid w:val="00715D9E"/>
    <w:rsid w:val="00715FBF"/>
    <w:rsid w:val="007160BA"/>
    <w:rsid w:val="007161BE"/>
    <w:rsid w:val="00716434"/>
    <w:rsid w:val="007164E9"/>
    <w:rsid w:val="00716C12"/>
    <w:rsid w:val="00716C69"/>
    <w:rsid w:val="00716D81"/>
    <w:rsid w:val="00717856"/>
    <w:rsid w:val="007178D6"/>
    <w:rsid w:val="007179A7"/>
    <w:rsid w:val="00717BA5"/>
    <w:rsid w:val="007201DB"/>
    <w:rsid w:val="00720423"/>
    <w:rsid w:val="0072055D"/>
    <w:rsid w:val="00720625"/>
    <w:rsid w:val="007206A1"/>
    <w:rsid w:val="00720B99"/>
    <w:rsid w:val="007211BB"/>
    <w:rsid w:val="00721536"/>
    <w:rsid w:val="00721561"/>
    <w:rsid w:val="00721907"/>
    <w:rsid w:val="00721C71"/>
    <w:rsid w:val="00721D1D"/>
    <w:rsid w:val="00722768"/>
    <w:rsid w:val="00722794"/>
    <w:rsid w:val="0072279D"/>
    <w:rsid w:val="00722964"/>
    <w:rsid w:val="00722C9E"/>
    <w:rsid w:val="00722E68"/>
    <w:rsid w:val="00722EE7"/>
    <w:rsid w:val="0072393C"/>
    <w:rsid w:val="00723B84"/>
    <w:rsid w:val="00723D58"/>
    <w:rsid w:val="00723DEC"/>
    <w:rsid w:val="00723E24"/>
    <w:rsid w:val="00724231"/>
    <w:rsid w:val="00724362"/>
    <w:rsid w:val="007245B1"/>
    <w:rsid w:val="00724AA6"/>
    <w:rsid w:val="0072548C"/>
    <w:rsid w:val="007258B5"/>
    <w:rsid w:val="007259AA"/>
    <w:rsid w:val="00725ADA"/>
    <w:rsid w:val="007261AB"/>
    <w:rsid w:val="007261B0"/>
    <w:rsid w:val="00726BB3"/>
    <w:rsid w:val="00726E69"/>
    <w:rsid w:val="00726FF3"/>
    <w:rsid w:val="00727084"/>
    <w:rsid w:val="00727435"/>
    <w:rsid w:val="00727496"/>
    <w:rsid w:val="00727C2B"/>
    <w:rsid w:val="00727EAE"/>
    <w:rsid w:val="00727F32"/>
    <w:rsid w:val="00730090"/>
    <w:rsid w:val="00730233"/>
    <w:rsid w:val="00730261"/>
    <w:rsid w:val="0073044F"/>
    <w:rsid w:val="00730889"/>
    <w:rsid w:val="00730C43"/>
    <w:rsid w:val="00731053"/>
    <w:rsid w:val="00731945"/>
    <w:rsid w:val="007319F9"/>
    <w:rsid w:val="007322FF"/>
    <w:rsid w:val="0073242B"/>
    <w:rsid w:val="00732861"/>
    <w:rsid w:val="00732881"/>
    <w:rsid w:val="00732AF4"/>
    <w:rsid w:val="00732B8D"/>
    <w:rsid w:val="00732BC9"/>
    <w:rsid w:val="00732E62"/>
    <w:rsid w:val="007330C1"/>
    <w:rsid w:val="00733301"/>
    <w:rsid w:val="007339F4"/>
    <w:rsid w:val="00733CEB"/>
    <w:rsid w:val="00734186"/>
    <w:rsid w:val="007341AD"/>
    <w:rsid w:val="00734399"/>
    <w:rsid w:val="0073448F"/>
    <w:rsid w:val="007348B1"/>
    <w:rsid w:val="00734A16"/>
    <w:rsid w:val="00734C3C"/>
    <w:rsid w:val="00735063"/>
    <w:rsid w:val="007353A5"/>
    <w:rsid w:val="00735589"/>
    <w:rsid w:val="007357E1"/>
    <w:rsid w:val="00735FE8"/>
    <w:rsid w:val="007361BE"/>
    <w:rsid w:val="0073621F"/>
    <w:rsid w:val="007362E6"/>
    <w:rsid w:val="0073657B"/>
    <w:rsid w:val="00736748"/>
    <w:rsid w:val="00736847"/>
    <w:rsid w:val="0073692C"/>
    <w:rsid w:val="00736BC7"/>
    <w:rsid w:val="00736F0F"/>
    <w:rsid w:val="007372CF"/>
    <w:rsid w:val="0074004B"/>
    <w:rsid w:val="00740319"/>
    <w:rsid w:val="007408AE"/>
    <w:rsid w:val="00740B9E"/>
    <w:rsid w:val="00740EC4"/>
    <w:rsid w:val="00740F40"/>
    <w:rsid w:val="00741173"/>
    <w:rsid w:val="007411B0"/>
    <w:rsid w:val="007418CC"/>
    <w:rsid w:val="00741EA7"/>
    <w:rsid w:val="007420C5"/>
    <w:rsid w:val="00742750"/>
    <w:rsid w:val="0074310D"/>
    <w:rsid w:val="007431B4"/>
    <w:rsid w:val="00743229"/>
    <w:rsid w:val="00743934"/>
    <w:rsid w:val="00743954"/>
    <w:rsid w:val="007439B7"/>
    <w:rsid w:val="00743A78"/>
    <w:rsid w:val="00743C00"/>
    <w:rsid w:val="0074489D"/>
    <w:rsid w:val="007449FF"/>
    <w:rsid w:val="00744F70"/>
    <w:rsid w:val="007452DA"/>
    <w:rsid w:val="00745526"/>
    <w:rsid w:val="007456A8"/>
    <w:rsid w:val="00745875"/>
    <w:rsid w:val="00745CFD"/>
    <w:rsid w:val="00746044"/>
    <w:rsid w:val="00746089"/>
    <w:rsid w:val="007462C4"/>
    <w:rsid w:val="0074653C"/>
    <w:rsid w:val="0074682A"/>
    <w:rsid w:val="00746F34"/>
    <w:rsid w:val="00746FB8"/>
    <w:rsid w:val="0074748E"/>
    <w:rsid w:val="007474F5"/>
    <w:rsid w:val="00747DB2"/>
    <w:rsid w:val="00750326"/>
    <w:rsid w:val="007504D6"/>
    <w:rsid w:val="00750B65"/>
    <w:rsid w:val="00750F75"/>
    <w:rsid w:val="00750FC5"/>
    <w:rsid w:val="007510A2"/>
    <w:rsid w:val="007510F4"/>
    <w:rsid w:val="007511FC"/>
    <w:rsid w:val="00751258"/>
    <w:rsid w:val="007512BF"/>
    <w:rsid w:val="007518BE"/>
    <w:rsid w:val="00751D4A"/>
    <w:rsid w:val="00752475"/>
    <w:rsid w:val="00753158"/>
    <w:rsid w:val="007531DE"/>
    <w:rsid w:val="0075327C"/>
    <w:rsid w:val="00753459"/>
    <w:rsid w:val="0075376B"/>
    <w:rsid w:val="00753D15"/>
    <w:rsid w:val="00754616"/>
    <w:rsid w:val="00754759"/>
    <w:rsid w:val="007547B2"/>
    <w:rsid w:val="00754904"/>
    <w:rsid w:val="00754A19"/>
    <w:rsid w:val="007553ED"/>
    <w:rsid w:val="007553F0"/>
    <w:rsid w:val="007553F3"/>
    <w:rsid w:val="00755537"/>
    <w:rsid w:val="00755775"/>
    <w:rsid w:val="00755857"/>
    <w:rsid w:val="007559D2"/>
    <w:rsid w:val="00755C6D"/>
    <w:rsid w:val="00756190"/>
    <w:rsid w:val="007562A0"/>
    <w:rsid w:val="007566B0"/>
    <w:rsid w:val="00756763"/>
    <w:rsid w:val="00756838"/>
    <w:rsid w:val="00756B86"/>
    <w:rsid w:val="00757853"/>
    <w:rsid w:val="007579E1"/>
    <w:rsid w:val="00757CF0"/>
    <w:rsid w:val="0076059B"/>
    <w:rsid w:val="007605BE"/>
    <w:rsid w:val="00760B60"/>
    <w:rsid w:val="00760BD6"/>
    <w:rsid w:val="00761366"/>
    <w:rsid w:val="00761489"/>
    <w:rsid w:val="00761712"/>
    <w:rsid w:val="007618A9"/>
    <w:rsid w:val="00761943"/>
    <w:rsid w:val="00761CAC"/>
    <w:rsid w:val="00761E7A"/>
    <w:rsid w:val="00761EF3"/>
    <w:rsid w:val="00762020"/>
    <w:rsid w:val="00762176"/>
    <w:rsid w:val="0076220B"/>
    <w:rsid w:val="007623C0"/>
    <w:rsid w:val="00762628"/>
    <w:rsid w:val="00762703"/>
    <w:rsid w:val="00762851"/>
    <w:rsid w:val="00762A47"/>
    <w:rsid w:val="00762DCA"/>
    <w:rsid w:val="0076322C"/>
    <w:rsid w:val="007632DB"/>
    <w:rsid w:val="0076398B"/>
    <w:rsid w:val="00763BB5"/>
    <w:rsid w:val="00763BDD"/>
    <w:rsid w:val="007643D4"/>
    <w:rsid w:val="00764624"/>
    <w:rsid w:val="0076465D"/>
    <w:rsid w:val="007646DE"/>
    <w:rsid w:val="00764B68"/>
    <w:rsid w:val="00764DC2"/>
    <w:rsid w:val="00764EDE"/>
    <w:rsid w:val="00764F84"/>
    <w:rsid w:val="00765183"/>
    <w:rsid w:val="00765D64"/>
    <w:rsid w:val="00765DB3"/>
    <w:rsid w:val="007662E2"/>
    <w:rsid w:val="0076630A"/>
    <w:rsid w:val="007667B6"/>
    <w:rsid w:val="00766A0F"/>
    <w:rsid w:val="00767190"/>
    <w:rsid w:val="0076785B"/>
    <w:rsid w:val="00767AB2"/>
    <w:rsid w:val="00767ABD"/>
    <w:rsid w:val="00770445"/>
    <w:rsid w:val="007709CE"/>
    <w:rsid w:val="00770BCC"/>
    <w:rsid w:val="00770C66"/>
    <w:rsid w:val="00770DFC"/>
    <w:rsid w:val="00770F5E"/>
    <w:rsid w:val="0077180B"/>
    <w:rsid w:val="00772369"/>
    <w:rsid w:val="00772B0F"/>
    <w:rsid w:val="00772B4E"/>
    <w:rsid w:val="007733D0"/>
    <w:rsid w:val="007734D1"/>
    <w:rsid w:val="007736BA"/>
    <w:rsid w:val="00773C38"/>
    <w:rsid w:val="00773D3A"/>
    <w:rsid w:val="00773D63"/>
    <w:rsid w:val="00773F6B"/>
    <w:rsid w:val="00773FC2"/>
    <w:rsid w:val="0077451F"/>
    <w:rsid w:val="007745A5"/>
    <w:rsid w:val="0077476E"/>
    <w:rsid w:val="00774AF2"/>
    <w:rsid w:val="00774EA7"/>
    <w:rsid w:val="007752C9"/>
    <w:rsid w:val="007754F7"/>
    <w:rsid w:val="0077572D"/>
    <w:rsid w:val="00775A8F"/>
    <w:rsid w:val="007762F7"/>
    <w:rsid w:val="00776496"/>
    <w:rsid w:val="007764C1"/>
    <w:rsid w:val="00776538"/>
    <w:rsid w:val="00776762"/>
    <w:rsid w:val="00776C94"/>
    <w:rsid w:val="00776E49"/>
    <w:rsid w:val="00776EC9"/>
    <w:rsid w:val="00777222"/>
    <w:rsid w:val="00777252"/>
    <w:rsid w:val="0077778E"/>
    <w:rsid w:val="00777887"/>
    <w:rsid w:val="00777AD4"/>
    <w:rsid w:val="00777C8F"/>
    <w:rsid w:val="00777CC9"/>
    <w:rsid w:val="00780798"/>
    <w:rsid w:val="00780826"/>
    <w:rsid w:val="00780CA3"/>
    <w:rsid w:val="00780CCD"/>
    <w:rsid w:val="007810A5"/>
    <w:rsid w:val="0078130C"/>
    <w:rsid w:val="0078139C"/>
    <w:rsid w:val="0078145A"/>
    <w:rsid w:val="007817D4"/>
    <w:rsid w:val="00781E5D"/>
    <w:rsid w:val="00782173"/>
    <w:rsid w:val="0078254D"/>
    <w:rsid w:val="00782A1D"/>
    <w:rsid w:val="00782B9F"/>
    <w:rsid w:val="00783110"/>
    <w:rsid w:val="007833F1"/>
    <w:rsid w:val="00783832"/>
    <w:rsid w:val="00783C0E"/>
    <w:rsid w:val="00783C67"/>
    <w:rsid w:val="00783CFD"/>
    <w:rsid w:val="00783F2E"/>
    <w:rsid w:val="00783FB2"/>
    <w:rsid w:val="00784016"/>
    <w:rsid w:val="0078405A"/>
    <w:rsid w:val="0078461D"/>
    <w:rsid w:val="007846A7"/>
    <w:rsid w:val="007849CE"/>
    <w:rsid w:val="00784B96"/>
    <w:rsid w:val="00784C13"/>
    <w:rsid w:val="00784DA4"/>
    <w:rsid w:val="00784F9E"/>
    <w:rsid w:val="0078561B"/>
    <w:rsid w:val="00785740"/>
    <w:rsid w:val="00785EF9"/>
    <w:rsid w:val="00785F53"/>
    <w:rsid w:val="00785FA7"/>
    <w:rsid w:val="00785FB0"/>
    <w:rsid w:val="00786181"/>
    <w:rsid w:val="0078632A"/>
    <w:rsid w:val="007865A1"/>
    <w:rsid w:val="00786737"/>
    <w:rsid w:val="007869D8"/>
    <w:rsid w:val="00786C01"/>
    <w:rsid w:val="00787824"/>
    <w:rsid w:val="00787BCF"/>
    <w:rsid w:val="00787C07"/>
    <w:rsid w:val="00787C13"/>
    <w:rsid w:val="00787F6A"/>
    <w:rsid w:val="007901E6"/>
    <w:rsid w:val="007902CC"/>
    <w:rsid w:val="007902CE"/>
    <w:rsid w:val="007909DB"/>
    <w:rsid w:val="00790AA7"/>
    <w:rsid w:val="00790AEA"/>
    <w:rsid w:val="00790BFB"/>
    <w:rsid w:val="00791523"/>
    <w:rsid w:val="0079158F"/>
    <w:rsid w:val="007915F9"/>
    <w:rsid w:val="007916E8"/>
    <w:rsid w:val="00791B07"/>
    <w:rsid w:val="00792516"/>
    <w:rsid w:val="007928EF"/>
    <w:rsid w:val="00792AA4"/>
    <w:rsid w:val="00792E06"/>
    <w:rsid w:val="00792E39"/>
    <w:rsid w:val="00792EB6"/>
    <w:rsid w:val="00792EE7"/>
    <w:rsid w:val="00793121"/>
    <w:rsid w:val="0079342B"/>
    <w:rsid w:val="00793574"/>
    <w:rsid w:val="00793719"/>
    <w:rsid w:val="00793B3A"/>
    <w:rsid w:val="00793E6E"/>
    <w:rsid w:val="00794673"/>
    <w:rsid w:val="00794BE2"/>
    <w:rsid w:val="00794C60"/>
    <w:rsid w:val="0079501A"/>
    <w:rsid w:val="0079508B"/>
    <w:rsid w:val="00795110"/>
    <w:rsid w:val="00795193"/>
    <w:rsid w:val="007951EA"/>
    <w:rsid w:val="00795474"/>
    <w:rsid w:val="00795D09"/>
    <w:rsid w:val="00796113"/>
    <w:rsid w:val="00796262"/>
    <w:rsid w:val="00796BA6"/>
    <w:rsid w:val="00796BA9"/>
    <w:rsid w:val="00796F94"/>
    <w:rsid w:val="00797503"/>
    <w:rsid w:val="00797544"/>
    <w:rsid w:val="007A02B4"/>
    <w:rsid w:val="007A0A35"/>
    <w:rsid w:val="007A0DA0"/>
    <w:rsid w:val="007A1209"/>
    <w:rsid w:val="007A1598"/>
    <w:rsid w:val="007A2058"/>
    <w:rsid w:val="007A2151"/>
    <w:rsid w:val="007A222B"/>
    <w:rsid w:val="007A230C"/>
    <w:rsid w:val="007A2328"/>
    <w:rsid w:val="007A27ED"/>
    <w:rsid w:val="007A2857"/>
    <w:rsid w:val="007A3081"/>
    <w:rsid w:val="007A30A5"/>
    <w:rsid w:val="007A319B"/>
    <w:rsid w:val="007A334A"/>
    <w:rsid w:val="007A3423"/>
    <w:rsid w:val="007A348B"/>
    <w:rsid w:val="007A35E8"/>
    <w:rsid w:val="007A38D5"/>
    <w:rsid w:val="007A3A95"/>
    <w:rsid w:val="007A3AEE"/>
    <w:rsid w:val="007A3AFC"/>
    <w:rsid w:val="007A3B06"/>
    <w:rsid w:val="007A3EE6"/>
    <w:rsid w:val="007A4210"/>
    <w:rsid w:val="007A4432"/>
    <w:rsid w:val="007A4913"/>
    <w:rsid w:val="007A4A80"/>
    <w:rsid w:val="007A4C51"/>
    <w:rsid w:val="007A4C9B"/>
    <w:rsid w:val="007A508C"/>
    <w:rsid w:val="007A50B1"/>
    <w:rsid w:val="007A55CE"/>
    <w:rsid w:val="007A5745"/>
    <w:rsid w:val="007A5825"/>
    <w:rsid w:val="007A5A11"/>
    <w:rsid w:val="007A5E4D"/>
    <w:rsid w:val="007A602E"/>
    <w:rsid w:val="007A6447"/>
    <w:rsid w:val="007A662A"/>
    <w:rsid w:val="007A679D"/>
    <w:rsid w:val="007A6CBD"/>
    <w:rsid w:val="007A77A8"/>
    <w:rsid w:val="007A7820"/>
    <w:rsid w:val="007A7CE7"/>
    <w:rsid w:val="007A7D06"/>
    <w:rsid w:val="007A7D9B"/>
    <w:rsid w:val="007A7F23"/>
    <w:rsid w:val="007B0382"/>
    <w:rsid w:val="007B048D"/>
    <w:rsid w:val="007B06F3"/>
    <w:rsid w:val="007B0924"/>
    <w:rsid w:val="007B0927"/>
    <w:rsid w:val="007B09EE"/>
    <w:rsid w:val="007B0A48"/>
    <w:rsid w:val="007B0A9C"/>
    <w:rsid w:val="007B0AA4"/>
    <w:rsid w:val="007B0AB3"/>
    <w:rsid w:val="007B0B4C"/>
    <w:rsid w:val="007B0FCD"/>
    <w:rsid w:val="007B10E1"/>
    <w:rsid w:val="007B13AC"/>
    <w:rsid w:val="007B17F6"/>
    <w:rsid w:val="007B1A0A"/>
    <w:rsid w:val="007B1CBD"/>
    <w:rsid w:val="007B1F7F"/>
    <w:rsid w:val="007B20B7"/>
    <w:rsid w:val="007B214C"/>
    <w:rsid w:val="007B22B6"/>
    <w:rsid w:val="007B230F"/>
    <w:rsid w:val="007B24E0"/>
    <w:rsid w:val="007B277D"/>
    <w:rsid w:val="007B2A34"/>
    <w:rsid w:val="007B2A80"/>
    <w:rsid w:val="007B2A9E"/>
    <w:rsid w:val="007B2DB0"/>
    <w:rsid w:val="007B3385"/>
    <w:rsid w:val="007B3639"/>
    <w:rsid w:val="007B3654"/>
    <w:rsid w:val="007B37CA"/>
    <w:rsid w:val="007B3890"/>
    <w:rsid w:val="007B3CA9"/>
    <w:rsid w:val="007B4052"/>
    <w:rsid w:val="007B49C7"/>
    <w:rsid w:val="007B4F91"/>
    <w:rsid w:val="007B50CA"/>
    <w:rsid w:val="007B5701"/>
    <w:rsid w:val="007B5D1B"/>
    <w:rsid w:val="007B5DE1"/>
    <w:rsid w:val="007B5E7B"/>
    <w:rsid w:val="007B5FE5"/>
    <w:rsid w:val="007B6489"/>
    <w:rsid w:val="007B6547"/>
    <w:rsid w:val="007B66D3"/>
    <w:rsid w:val="007B6DF2"/>
    <w:rsid w:val="007B6F52"/>
    <w:rsid w:val="007B6FBF"/>
    <w:rsid w:val="007B7658"/>
    <w:rsid w:val="007B787B"/>
    <w:rsid w:val="007B78A4"/>
    <w:rsid w:val="007B7AB4"/>
    <w:rsid w:val="007B7B45"/>
    <w:rsid w:val="007B7F0A"/>
    <w:rsid w:val="007B7F78"/>
    <w:rsid w:val="007C015F"/>
    <w:rsid w:val="007C01D1"/>
    <w:rsid w:val="007C02BC"/>
    <w:rsid w:val="007C072A"/>
    <w:rsid w:val="007C099F"/>
    <w:rsid w:val="007C09D1"/>
    <w:rsid w:val="007C0C1A"/>
    <w:rsid w:val="007C0CD5"/>
    <w:rsid w:val="007C0FB2"/>
    <w:rsid w:val="007C101A"/>
    <w:rsid w:val="007C132C"/>
    <w:rsid w:val="007C1526"/>
    <w:rsid w:val="007C1AB7"/>
    <w:rsid w:val="007C1BB9"/>
    <w:rsid w:val="007C1D4B"/>
    <w:rsid w:val="007C1DCA"/>
    <w:rsid w:val="007C2689"/>
    <w:rsid w:val="007C326D"/>
    <w:rsid w:val="007C3896"/>
    <w:rsid w:val="007C3A4D"/>
    <w:rsid w:val="007C408B"/>
    <w:rsid w:val="007C434E"/>
    <w:rsid w:val="007C49EC"/>
    <w:rsid w:val="007C4CA5"/>
    <w:rsid w:val="007C4EE5"/>
    <w:rsid w:val="007C532C"/>
    <w:rsid w:val="007C56D6"/>
    <w:rsid w:val="007C5ED1"/>
    <w:rsid w:val="007C63B7"/>
    <w:rsid w:val="007C63F2"/>
    <w:rsid w:val="007C6877"/>
    <w:rsid w:val="007C6CD0"/>
    <w:rsid w:val="007C6D2D"/>
    <w:rsid w:val="007C6D2E"/>
    <w:rsid w:val="007C6DB4"/>
    <w:rsid w:val="007C7BC4"/>
    <w:rsid w:val="007C7E88"/>
    <w:rsid w:val="007C7EF2"/>
    <w:rsid w:val="007C7F47"/>
    <w:rsid w:val="007D00F6"/>
    <w:rsid w:val="007D024A"/>
    <w:rsid w:val="007D04DA"/>
    <w:rsid w:val="007D0AD7"/>
    <w:rsid w:val="007D0B1C"/>
    <w:rsid w:val="007D0F17"/>
    <w:rsid w:val="007D11AB"/>
    <w:rsid w:val="007D1462"/>
    <w:rsid w:val="007D14E7"/>
    <w:rsid w:val="007D1749"/>
    <w:rsid w:val="007D1771"/>
    <w:rsid w:val="007D1FF0"/>
    <w:rsid w:val="007D286C"/>
    <w:rsid w:val="007D29C7"/>
    <w:rsid w:val="007D2C3A"/>
    <w:rsid w:val="007D32A5"/>
    <w:rsid w:val="007D3349"/>
    <w:rsid w:val="007D3840"/>
    <w:rsid w:val="007D3CB6"/>
    <w:rsid w:val="007D3D03"/>
    <w:rsid w:val="007D3DB4"/>
    <w:rsid w:val="007D424D"/>
    <w:rsid w:val="007D4476"/>
    <w:rsid w:val="007D457B"/>
    <w:rsid w:val="007D45EF"/>
    <w:rsid w:val="007D4944"/>
    <w:rsid w:val="007D4AB3"/>
    <w:rsid w:val="007D4AFD"/>
    <w:rsid w:val="007D4C97"/>
    <w:rsid w:val="007D4D9C"/>
    <w:rsid w:val="007D6466"/>
    <w:rsid w:val="007D6663"/>
    <w:rsid w:val="007D67DB"/>
    <w:rsid w:val="007D6952"/>
    <w:rsid w:val="007D69D6"/>
    <w:rsid w:val="007D6BCF"/>
    <w:rsid w:val="007D6D3C"/>
    <w:rsid w:val="007D71AB"/>
    <w:rsid w:val="007D7792"/>
    <w:rsid w:val="007D787C"/>
    <w:rsid w:val="007D7C6F"/>
    <w:rsid w:val="007D7D5F"/>
    <w:rsid w:val="007E0023"/>
    <w:rsid w:val="007E01A4"/>
    <w:rsid w:val="007E0626"/>
    <w:rsid w:val="007E0A45"/>
    <w:rsid w:val="007E0B9F"/>
    <w:rsid w:val="007E0CD1"/>
    <w:rsid w:val="007E0D40"/>
    <w:rsid w:val="007E0E23"/>
    <w:rsid w:val="007E0EFE"/>
    <w:rsid w:val="007E1220"/>
    <w:rsid w:val="007E12D8"/>
    <w:rsid w:val="007E13FD"/>
    <w:rsid w:val="007E16F2"/>
    <w:rsid w:val="007E1812"/>
    <w:rsid w:val="007E1920"/>
    <w:rsid w:val="007E1B43"/>
    <w:rsid w:val="007E21A7"/>
    <w:rsid w:val="007E24CA"/>
    <w:rsid w:val="007E263F"/>
    <w:rsid w:val="007E26E0"/>
    <w:rsid w:val="007E2C3A"/>
    <w:rsid w:val="007E2FB7"/>
    <w:rsid w:val="007E3099"/>
    <w:rsid w:val="007E311E"/>
    <w:rsid w:val="007E3492"/>
    <w:rsid w:val="007E3E5B"/>
    <w:rsid w:val="007E41F3"/>
    <w:rsid w:val="007E4213"/>
    <w:rsid w:val="007E4812"/>
    <w:rsid w:val="007E529A"/>
    <w:rsid w:val="007E53DC"/>
    <w:rsid w:val="007E5894"/>
    <w:rsid w:val="007E5F8A"/>
    <w:rsid w:val="007E6455"/>
    <w:rsid w:val="007E6AE4"/>
    <w:rsid w:val="007E712C"/>
    <w:rsid w:val="007E73C6"/>
    <w:rsid w:val="007E784F"/>
    <w:rsid w:val="007E7A6F"/>
    <w:rsid w:val="007E7A83"/>
    <w:rsid w:val="007E7C07"/>
    <w:rsid w:val="007E7CE2"/>
    <w:rsid w:val="007E7D14"/>
    <w:rsid w:val="007E7D2C"/>
    <w:rsid w:val="007E7D5B"/>
    <w:rsid w:val="007F0288"/>
    <w:rsid w:val="007F036C"/>
    <w:rsid w:val="007F099A"/>
    <w:rsid w:val="007F122F"/>
    <w:rsid w:val="007F1833"/>
    <w:rsid w:val="007F1AC1"/>
    <w:rsid w:val="007F21A9"/>
    <w:rsid w:val="007F21B6"/>
    <w:rsid w:val="007F2238"/>
    <w:rsid w:val="007F239D"/>
    <w:rsid w:val="007F2432"/>
    <w:rsid w:val="007F25C2"/>
    <w:rsid w:val="007F2A10"/>
    <w:rsid w:val="007F2A28"/>
    <w:rsid w:val="007F2DF6"/>
    <w:rsid w:val="007F314C"/>
    <w:rsid w:val="007F3350"/>
    <w:rsid w:val="007F338B"/>
    <w:rsid w:val="007F3727"/>
    <w:rsid w:val="007F3C42"/>
    <w:rsid w:val="007F3D73"/>
    <w:rsid w:val="007F3F37"/>
    <w:rsid w:val="007F411D"/>
    <w:rsid w:val="007F45EB"/>
    <w:rsid w:val="007F48FA"/>
    <w:rsid w:val="007F49B8"/>
    <w:rsid w:val="007F4CBF"/>
    <w:rsid w:val="007F4E3D"/>
    <w:rsid w:val="007F5301"/>
    <w:rsid w:val="007F53F9"/>
    <w:rsid w:val="007F5794"/>
    <w:rsid w:val="007F5887"/>
    <w:rsid w:val="007F671B"/>
    <w:rsid w:val="007F6B55"/>
    <w:rsid w:val="007F6C7C"/>
    <w:rsid w:val="007F73CA"/>
    <w:rsid w:val="007F73DF"/>
    <w:rsid w:val="007F7417"/>
    <w:rsid w:val="007F74B0"/>
    <w:rsid w:val="007F7574"/>
    <w:rsid w:val="007F7883"/>
    <w:rsid w:val="007F7AA4"/>
    <w:rsid w:val="007F7BC3"/>
    <w:rsid w:val="007F7D8B"/>
    <w:rsid w:val="0080029D"/>
    <w:rsid w:val="00800912"/>
    <w:rsid w:val="00800914"/>
    <w:rsid w:val="0080096E"/>
    <w:rsid w:val="00800BDE"/>
    <w:rsid w:val="00800CF0"/>
    <w:rsid w:val="00800E1C"/>
    <w:rsid w:val="008015E7"/>
    <w:rsid w:val="00801B97"/>
    <w:rsid w:val="00801C93"/>
    <w:rsid w:val="00801CF0"/>
    <w:rsid w:val="00802118"/>
    <w:rsid w:val="00802333"/>
    <w:rsid w:val="008023ED"/>
    <w:rsid w:val="00802759"/>
    <w:rsid w:val="00802A0D"/>
    <w:rsid w:val="00802D0D"/>
    <w:rsid w:val="00802F97"/>
    <w:rsid w:val="0080308B"/>
    <w:rsid w:val="00803153"/>
    <w:rsid w:val="00803400"/>
    <w:rsid w:val="008034FA"/>
    <w:rsid w:val="0080376F"/>
    <w:rsid w:val="008038EB"/>
    <w:rsid w:val="00803955"/>
    <w:rsid w:val="008039FC"/>
    <w:rsid w:val="00803CDC"/>
    <w:rsid w:val="00803DED"/>
    <w:rsid w:val="00803F0D"/>
    <w:rsid w:val="008045C9"/>
    <w:rsid w:val="00804646"/>
    <w:rsid w:val="00804CDA"/>
    <w:rsid w:val="00804D35"/>
    <w:rsid w:val="00805392"/>
    <w:rsid w:val="008054AD"/>
    <w:rsid w:val="00805692"/>
    <w:rsid w:val="008058F0"/>
    <w:rsid w:val="00805C12"/>
    <w:rsid w:val="00805DAF"/>
    <w:rsid w:val="00805F2C"/>
    <w:rsid w:val="00806195"/>
    <w:rsid w:val="0080679D"/>
    <w:rsid w:val="00806841"/>
    <w:rsid w:val="00806C36"/>
    <w:rsid w:val="00806F3F"/>
    <w:rsid w:val="0080740D"/>
    <w:rsid w:val="00807869"/>
    <w:rsid w:val="00807B29"/>
    <w:rsid w:val="00807BD6"/>
    <w:rsid w:val="00810597"/>
    <w:rsid w:val="0081090B"/>
    <w:rsid w:val="00810955"/>
    <w:rsid w:val="00810B89"/>
    <w:rsid w:val="00811021"/>
    <w:rsid w:val="00811199"/>
    <w:rsid w:val="008111E1"/>
    <w:rsid w:val="00811230"/>
    <w:rsid w:val="00811255"/>
    <w:rsid w:val="00811878"/>
    <w:rsid w:val="008118CE"/>
    <w:rsid w:val="00811AF6"/>
    <w:rsid w:val="00812B5F"/>
    <w:rsid w:val="00812D8D"/>
    <w:rsid w:val="00812EF2"/>
    <w:rsid w:val="00813294"/>
    <w:rsid w:val="00813485"/>
    <w:rsid w:val="00813566"/>
    <w:rsid w:val="00813AC1"/>
    <w:rsid w:val="00813F1E"/>
    <w:rsid w:val="00814473"/>
    <w:rsid w:val="00814584"/>
    <w:rsid w:val="00814D9B"/>
    <w:rsid w:val="00815257"/>
    <w:rsid w:val="008154BD"/>
    <w:rsid w:val="00815645"/>
    <w:rsid w:val="00815F24"/>
    <w:rsid w:val="008160D0"/>
    <w:rsid w:val="008161FA"/>
    <w:rsid w:val="00816541"/>
    <w:rsid w:val="008165A8"/>
    <w:rsid w:val="00816B24"/>
    <w:rsid w:val="00816BC7"/>
    <w:rsid w:val="008173F2"/>
    <w:rsid w:val="008179EC"/>
    <w:rsid w:val="00817C5F"/>
    <w:rsid w:val="00820200"/>
    <w:rsid w:val="00820347"/>
    <w:rsid w:val="0082040B"/>
    <w:rsid w:val="008204CA"/>
    <w:rsid w:val="00820523"/>
    <w:rsid w:val="008207E7"/>
    <w:rsid w:val="00820880"/>
    <w:rsid w:val="00820C9B"/>
    <w:rsid w:val="00821054"/>
    <w:rsid w:val="00821405"/>
    <w:rsid w:val="008214DF"/>
    <w:rsid w:val="008217FE"/>
    <w:rsid w:val="00821FEC"/>
    <w:rsid w:val="0082227B"/>
    <w:rsid w:val="008224F4"/>
    <w:rsid w:val="008225B5"/>
    <w:rsid w:val="008225D2"/>
    <w:rsid w:val="00822E2F"/>
    <w:rsid w:val="0082359B"/>
    <w:rsid w:val="00823807"/>
    <w:rsid w:val="00823AFC"/>
    <w:rsid w:val="00823B91"/>
    <w:rsid w:val="00823E04"/>
    <w:rsid w:val="00823E2C"/>
    <w:rsid w:val="00824252"/>
    <w:rsid w:val="00824C98"/>
    <w:rsid w:val="00824E2C"/>
    <w:rsid w:val="0082510C"/>
    <w:rsid w:val="0082522D"/>
    <w:rsid w:val="0082527D"/>
    <w:rsid w:val="0082533F"/>
    <w:rsid w:val="00825367"/>
    <w:rsid w:val="00825631"/>
    <w:rsid w:val="00825A34"/>
    <w:rsid w:val="00825C15"/>
    <w:rsid w:val="00825C70"/>
    <w:rsid w:val="008261E4"/>
    <w:rsid w:val="008264E1"/>
    <w:rsid w:val="008269FB"/>
    <w:rsid w:val="00826A4D"/>
    <w:rsid w:val="00826AD5"/>
    <w:rsid w:val="00826BFB"/>
    <w:rsid w:val="00826CC7"/>
    <w:rsid w:val="008272B4"/>
    <w:rsid w:val="00827922"/>
    <w:rsid w:val="00827DB9"/>
    <w:rsid w:val="0083010B"/>
    <w:rsid w:val="0083014A"/>
    <w:rsid w:val="00830643"/>
    <w:rsid w:val="00830794"/>
    <w:rsid w:val="008307BC"/>
    <w:rsid w:val="00830859"/>
    <w:rsid w:val="008309D2"/>
    <w:rsid w:val="00830BA3"/>
    <w:rsid w:val="00831017"/>
    <w:rsid w:val="0083114A"/>
    <w:rsid w:val="0083191F"/>
    <w:rsid w:val="00831D2A"/>
    <w:rsid w:val="00832009"/>
    <w:rsid w:val="00832187"/>
    <w:rsid w:val="008322AD"/>
    <w:rsid w:val="00832428"/>
    <w:rsid w:val="0083242D"/>
    <w:rsid w:val="008324D6"/>
    <w:rsid w:val="0083266A"/>
    <w:rsid w:val="0083267C"/>
    <w:rsid w:val="00832D0A"/>
    <w:rsid w:val="0083318C"/>
    <w:rsid w:val="008334D6"/>
    <w:rsid w:val="00833E04"/>
    <w:rsid w:val="00834079"/>
    <w:rsid w:val="00834181"/>
    <w:rsid w:val="0083444C"/>
    <w:rsid w:val="00834669"/>
    <w:rsid w:val="00834671"/>
    <w:rsid w:val="008346A0"/>
    <w:rsid w:val="00834899"/>
    <w:rsid w:val="008349AF"/>
    <w:rsid w:val="00834F51"/>
    <w:rsid w:val="0083545C"/>
    <w:rsid w:val="008359D0"/>
    <w:rsid w:val="00835C0A"/>
    <w:rsid w:val="008363D2"/>
    <w:rsid w:val="00836474"/>
    <w:rsid w:val="00836972"/>
    <w:rsid w:val="00836E64"/>
    <w:rsid w:val="00837059"/>
    <w:rsid w:val="0083713A"/>
    <w:rsid w:val="008377F0"/>
    <w:rsid w:val="0083788E"/>
    <w:rsid w:val="00837919"/>
    <w:rsid w:val="00837A9E"/>
    <w:rsid w:val="00837B9F"/>
    <w:rsid w:val="00837C20"/>
    <w:rsid w:val="00837FA0"/>
    <w:rsid w:val="00837FC8"/>
    <w:rsid w:val="00840098"/>
    <w:rsid w:val="00840559"/>
    <w:rsid w:val="0084072B"/>
    <w:rsid w:val="008407B8"/>
    <w:rsid w:val="00840B61"/>
    <w:rsid w:val="008411BB"/>
    <w:rsid w:val="008412AC"/>
    <w:rsid w:val="00841750"/>
    <w:rsid w:val="008419E8"/>
    <w:rsid w:val="008425A1"/>
    <w:rsid w:val="00842A60"/>
    <w:rsid w:val="00842F7A"/>
    <w:rsid w:val="00843028"/>
    <w:rsid w:val="0084358B"/>
    <w:rsid w:val="0084377A"/>
    <w:rsid w:val="0084382E"/>
    <w:rsid w:val="00843A1B"/>
    <w:rsid w:val="00843F53"/>
    <w:rsid w:val="0084408A"/>
    <w:rsid w:val="008445F8"/>
    <w:rsid w:val="0084489D"/>
    <w:rsid w:val="00844A7E"/>
    <w:rsid w:val="00845191"/>
    <w:rsid w:val="008452AF"/>
    <w:rsid w:val="00845879"/>
    <w:rsid w:val="00845A02"/>
    <w:rsid w:val="00845AF7"/>
    <w:rsid w:val="008460D5"/>
    <w:rsid w:val="00846133"/>
    <w:rsid w:val="008464E5"/>
    <w:rsid w:val="008468C8"/>
    <w:rsid w:val="0084696A"/>
    <w:rsid w:val="008469C2"/>
    <w:rsid w:val="00846CE9"/>
    <w:rsid w:val="00846FAD"/>
    <w:rsid w:val="00847093"/>
    <w:rsid w:val="0084734D"/>
    <w:rsid w:val="008473CD"/>
    <w:rsid w:val="008479F3"/>
    <w:rsid w:val="00847AFB"/>
    <w:rsid w:val="00847DEF"/>
    <w:rsid w:val="00847ECC"/>
    <w:rsid w:val="008503B5"/>
    <w:rsid w:val="0085041E"/>
    <w:rsid w:val="00850A35"/>
    <w:rsid w:val="00850C61"/>
    <w:rsid w:val="00850F0F"/>
    <w:rsid w:val="00850F1B"/>
    <w:rsid w:val="00851362"/>
    <w:rsid w:val="008513E2"/>
    <w:rsid w:val="008515E8"/>
    <w:rsid w:val="00851B78"/>
    <w:rsid w:val="00851CA0"/>
    <w:rsid w:val="00851DA1"/>
    <w:rsid w:val="008522DE"/>
    <w:rsid w:val="00852DFD"/>
    <w:rsid w:val="00852EFE"/>
    <w:rsid w:val="008530ED"/>
    <w:rsid w:val="0085319D"/>
    <w:rsid w:val="0085375C"/>
    <w:rsid w:val="00853797"/>
    <w:rsid w:val="0085396D"/>
    <w:rsid w:val="00853ACF"/>
    <w:rsid w:val="00853B38"/>
    <w:rsid w:val="00853CCC"/>
    <w:rsid w:val="008544BE"/>
    <w:rsid w:val="0085534A"/>
    <w:rsid w:val="008555EB"/>
    <w:rsid w:val="008557E7"/>
    <w:rsid w:val="00855BD7"/>
    <w:rsid w:val="008561B5"/>
    <w:rsid w:val="008562E5"/>
    <w:rsid w:val="0085679B"/>
    <w:rsid w:val="00856C0F"/>
    <w:rsid w:val="00856DA8"/>
    <w:rsid w:val="00856FFB"/>
    <w:rsid w:val="0085732E"/>
    <w:rsid w:val="0085736C"/>
    <w:rsid w:val="008573FA"/>
    <w:rsid w:val="00857679"/>
    <w:rsid w:val="00857910"/>
    <w:rsid w:val="00857B05"/>
    <w:rsid w:val="00857B27"/>
    <w:rsid w:val="00857CBB"/>
    <w:rsid w:val="00860226"/>
    <w:rsid w:val="00860283"/>
    <w:rsid w:val="00860EC3"/>
    <w:rsid w:val="008610DB"/>
    <w:rsid w:val="0086113D"/>
    <w:rsid w:val="008611B9"/>
    <w:rsid w:val="0086132D"/>
    <w:rsid w:val="00861C15"/>
    <w:rsid w:val="00861C16"/>
    <w:rsid w:val="00861CAA"/>
    <w:rsid w:val="00862112"/>
    <w:rsid w:val="0086230E"/>
    <w:rsid w:val="008623C0"/>
    <w:rsid w:val="008626FD"/>
    <w:rsid w:val="0086284A"/>
    <w:rsid w:val="00862C15"/>
    <w:rsid w:val="00862D3D"/>
    <w:rsid w:val="00862E7E"/>
    <w:rsid w:val="0086329E"/>
    <w:rsid w:val="00863439"/>
    <w:rsid w:val="008637E4"/>
    <w:rsid w:val="008638B8"/>
    <w:rsid w:val="00863CCC"/>
    <w:rsid w:val="00863E96"/>
    <w:rsid w:val="0086407C"/>
    <w:rsid w:val="0086442A"/>
    <w:rsid w:val="008644C0"/>
    <w:rsid w:val="00864F6D"/>
    <w:rsid w:val="00864F72"/>
    <w:rsid w:val="008650E8"/>
    <w:rsid w:val="008654D1"/>
    <w:rsid w:val="008657D6"/>
    <w:rsid w:val="008658BC"/>
    <w:rsid w:val="008659CF"/>
    <w:rsid w:val="00865C88"/>
    <w:rsid w:val="008663EB"/>
    <w:rsid w:val="008664C9"/>
    <w:rsid w:val="00866966"/>
    <w:rsid w:val="00866F59"/>
    <w:rsid w:val="00866F7A"/>
    <w:rsid w:val="00867167"/>
    <w:rsid w:val="00867355"/>
    <w:rsid w:val="008673B0"/>
    <w:rsid w:val="008674AF"/>
    <w:rsid w:val="008675B0"/>
    <w:rsid w:val="00867E6E"/>
    <w:rsid w:val="00870359"/>
    <w:rsid w:val="008704A1"/>
    <w:rsid w:val="00870559"/>
    <w:rsid w:val="008705B4"/>
    <w:rsid w:val="00870831"/>
    <w:rsid w:val="00870A08"/>
    <w:rsid w:val="00870C43"/>
    <w:rsid w:val="00870CA5"/>
    <w:rsid w:val="00870DE2"/>
    <w:rsid w:val="00871184"/>
    <w:rsid w:val="0087127E"/>
    <w:rsid w:val="00871404"/>
    <w:rsid w:val="0087162F"/>
    <w:rsid w:val="008717DA"/>
    <w:rsid w:val="00872347"/>
    <w:rsid w:val="0087261C"/>
    <w:rsid w:val="00872A76"/>
    <w:rsid w:val="00872F57"/>
    <w:rsid w:val="00873320"/>
    <w:rsid w:val="00873D8D"/>
    <w:rsid w:val="00873DAC"/>
    <w:rsid w:val="0087451B"/>
    <w:rsid w:val="008746A1"/>
    <w:rsid w:val="00874889"/>
    <w:rsid w:val="00874AE7"/>
    <w:rsid w:val="00874DE8"/>
    <w:rsid w:val="00874F90"/>
    <w:rsid w:val="00875165"/>
    <w:rsid w:val="008754F5"/>
    <w:rsid w:val="00875965"/>
    <w:rsid w:val="00875B7F"/>
    <w:rsid w:val="00875D9A"/>
    <w:rsid w:val="00875EC2"/>
    <w:rsid w:val="00875FA7"/>
    <w:rsid w:val="00876060"/>
    <w:rsid w:val="00876077"/>
    <w:rsid w:val="00876582"/>
    <w:rsid w:val="00876602"/>
    <w:rsid w:val="008766DF"/>
    <w:rsid w:val="00876701"/>
    <w:rsid w:val="00876806"/>
    <w:rsid w:val="00877768"/>
    <w:rsid w:val="008778AE"/>
    <w:rsid w:val="00877BEF"/>
    <w:rsid w:val="008800C0"/>
    <w:rsid w:val="008800E0"/>
    <w:rsid w:val="0088066B"/>
    <w:rsid w:val="00880864"/>
    <w:rsid w:val="00880F11"/>
    <w:rsid w:val="00881082"/>
    <w:rsid w:val="0088119F"/>
    <w:rsid w:val="0088135A"/>
    <w:rsid w:val="008813F9"/>
    <w:rsid w:val="0088154D"/>
    <w:rsid w:val="008816FE"/>
    <w:rsid w:val="008818B6"/>
    <w:rsid w:val="00881ACA"/>
    <w:rsid w:val="00881D74"/>
    <w:rsid w:val="00881F6B"/>
    <w:rsid w:val="0088251F"/>
    <w:rsid w:val="008828FE"/>
    <w:rsid w:val="00882CDF"/>
    <w:rsid w:val="00882E35"/>
    <w:rsid w:val="0088348B"/>
    <w:rsid w:val="00883654"/>
    <w:rsid w:val="00883A1B"/>
    <w:rsid w:val="00883BF0"/>
    <w:rsid w:val="00884008"/>
    <w:rsid w:val="0088401C"/>
    <w:rsid w:val="00884689"/>
    <w:rsid w:val="00884853"/>
    <w:rsid w:val="008849A3"/>
    <w:rsid w:val="00884C45"/>
    <w:rsid w:val="00884CFE"/>
    <w:rsid w:val="00885520"/>
    <w:rsid w:val="008855D6"/>
    <w:rsid w:val="008857F3"/>
    <w:rsid w:val="00885CCD"/>
    <w:rsid w:val="0088649F"/>
    <w:rsid w:val="00886A3F"/>
    <w:rsid w:val="00886DA1"/>
    <w:rsid w:val="00886FA8"/>
    <w:rsid w:val="00887109"/>
    <w:rsid w:val="0088714F"/>
    <w:rsid w:val="008871DD"/>
    <w:rsid w:val="00887306"/>
    <w:rsid w:val="00887A5E"/>
    <w:rsid w:val="00887B4D"/>
    <w:rsid w:val="0089012C"/>
    <w:rsid w:val="0089014C"/>
    <w:rsid w:val="008904D0"/>
    <w:rsid w:val="00890556"/>
    <w:rsid w:val="00890566"/>
    <w:rsid w:val="008910B8"/>
    <w:rsid w:val="00891603"/>
    <w:rsid w:val="008918F4"/>
    <w:rsid w:val="0089215B"/>
    <w:rsid w:val="00892381"/>
    <w:rsid w:val="00892420"/>
    <w:rsid w:val="00892B82"/>
    <w:rsid w:val="00892B96"/>
    <w:rsid w:val="00892DEF"/>
    <w:rsid w:val="00892F04"/>
    <w:rsid w:val="00892FF4"/>
    <w:rsid w:val="008930FA"/>
    <w:rsid w:val="00893536"/>
    <w:rsid w:val="00893DFB"/>
    <w:rsid w:val="00893E9D"/>
    <w:rsid w:val="008945D3"/>
    <w:rsid w:val="008945DF"/>
    <w:rsid w:val="008945EB"/>
    <w:rsid w:val="00894703"/>
    <w:rsid w:val="00894950"/>
    <w:rsid w:val="008949E5"/>
    <w:rsid w:val="00894C98"/>
    <w:rsid w:val="00894D6E"/>
    <w:rsid w:val="0089513B"/>
    <w:rsid w:val="00895360"/>
    <w:rsid w:val="0089573C"/>
    <w:rsid w:val="00895908"/>
    <w:rsid w:val="00895E83"/>
    <w:rsid w:val="00896B3D"/>
    <w:rsid w:val="0089702C"/>
    <w:rsid w:val="0089706F"/>
    <w:rsid w:val="0089785A"/>
    <w:rsid w:val="00897AC8"/>
    <w:rsid w:val="008A008F"/>
    <w:rsid w:val="008A034E"/>
    <w:rsid w:val="008A05A4"/>
    <w:rsid w:val="008A05B3"/>
    <w:rsid w:val="008A05ED"/>
    <w:rsid w:val="008A0689"/>
    <w:rsid w:val="008A074B"/>
    <w:rsid w:val="008A1302"/>
    <w:rsid w:val="008A1A1A"/>
    <w:rsid w:val="008A1B2C"/>
    <w:rsid w:val="008A1EC5"/>
    <w:rsid w:val="008A1F05"/>
    <w:rsid w:val="008A2175"/>
    <w:rsid w:val="008A21C9"/>
    <w:rsid w:val="008A29A8"/>
    <w:rsid w:val="008A2CE3"/>
    <w:rsid w:val="008A3487"/>
    <w:rsid w:val="008A366A"/>
    <w:rsid w:val="008A3945"/>
    <w:rsid w:val="008A3C07"/>
    <w:rsid w:val="008A3EE3"/>
    <w:rsid w:val="008A417C"/>
    <w:rsid w:val="008A4419"/>
    <w:rsid w:val="008A4466"/>
    <w:rsid w:val="008A453B"/>
    <w:rsid w:val="008A46DA"/>
    <w:rsid w:val="008A46E3"/>
    <w:rsid w:val="008A4E32"/>
    <w:rsid w:val="008A5164"/>
    <w:rsid w:val="008A519E"/>
    <w:rsid w:val="008A5223"/>
    <w:rsid w:val="008A522B"/>
    <w:rsid w:val="008A52C8"/>
    <w:rsid w:val="008A54AB"/>
    <w:rsid w:val="008A58AD"/>
    <w:rsid w:val="008A5AA8"/>
    <w:rsid w:val="008A5C3E"/>
    <w:rsid w:val="008A6051"/>
    <w:rsid w:val="008A605E"/>
    <w:rsid w:val="008A6373"/>
    <w:rsid w:val="008A651A"/>
    <w:rsid w:val="008A65B9"/>
    <w:rsid w:val="008A67A3"/>
    <w:rsid w:val="008A68F3"/>
    <w:rsid w:val="008A6909"/>
    <w:rsid w:val="008A6E58"/>
    <w:rsid w:val="008A7284"/>
    <w:rsid w:val="008A73BA"/>
    <w:rsid w:val="008A7420"/>
    <w:rsid w:val="008A7876"/>
    <w:rsid w:val="008A7966"/>
    <w:rsid w:val="008A7D61"/>
    <w:rsid w:val="008B044A"/>
    <w:rsid w:val="008B0523"/>
    <w:rsid w:val="008B067A"/>
    <w:rsid w:val="008B06F3"/>
    <w:rsid w:val="008B079D"/>
    <w:rsid w:val="008B081F"/>
    <w:rsid w:val="008B0826"/>
    <w:rsid w:val="008B0DDE"/>
    <w:rsid w:val="008B0F4D"/>
    <w:rsid w:val="008B1235"/>
    <w:rsid w:val="008B130C"/>
    <w:rsid w:val="008B1843"/>
    <w:rsid w:val="008B191E"/>
    <w:rsid w:val="008B19D9"/>
    <w:rsid w:val="008B1A16"/>
    <w:rsid w:val="008B214F"/>
    <w:rsid w:val="008B22A2"/>
    <w:rsid w:val="008B27CD"/>
    <w:rsid w:val="008B282B"/>
    <w:rsid w:val="008B2A1F"/>
    <w:rsid w:val="008B2B58"/>
    <w:rsid w:val="008B2D0D"/>
    <w:rsid w:val="008B2F24"/>
    <w:rsid w:val="008B36D6"/>
    <w:rsid w:val="008B3995"/>
    <w:rsid w:val="008B39F8"/>
    <w:rsid w:val="008B3D21"/>
    <w:rsid w:val="008B3D8A"/>
    <w:rsid w:val="008B3FF5"/>
    <w:rsid w:val="008B444D"/>
    <w:rsid w:val="008B4464"/>
    <w:rsid w:val="008B4568"/>
    <w:rsid w:val="008B4C4F"/>
    <w:rsid w:val="008B4E2C"/>
    <w:rsid w:val="008B51EF"/>
    <w:rsid w:val="008B5503"/>
    <w:rsid w:val="008B5542"/>
    <w:rsid w:val="008B57C8"/>
    <w:rsid w:val="008B5B85"/>
    <w:rsid w:val="008B5F43"/>
    <w:rsid w:val="008B61D2"/>
    <w:rsid w:val="008B6348"/>
    <w:rsid w:val="008B63CE"/>
    <w:rsid w:val="008B6655"/>
    <w:rsid w:val="008B6A3C"/>
    <w:rsid w:val="008B6CFF"/>
    <w:rsid w:val="008B6D0D"/>
    <w:rsid w:val="008B6DC1"/>
    <w:rsid w:val="008B6E8E"/>
    <w:rsid w:val="008B753B"/>
    <w:rsid w:val="008B76B0"/>
    <w:rsid w:val="008B7824"/>
    <w:rsid w:val="008B7B86"/>
    <w:rsid w:val="008B7BAA"/>
    <w:rsid w:val="008C0138"/>
    <w:rsid w:val="008C02BB"/>
    <w:rsid w:val="008C045B"/>
    <w:rsid w:val="008C0528"/>
    <w:rsid w:val="008C068A"/>
    <w:rsid w:val="008C06CA"/>
    <w:rsid w:val="008C07F7"/>
    <w:rsid w:val="008C09F1"/>
    <w:rsid w:val="008C0B4B"/>
    <w:rsid w:val="008C0E68"/>
    <w:rsid w:val="008C1154"/>
    <w:rsid w:val="008C183C"/>
    <w:rsid w:val="008C1843"/>
    <w:rsid w:val="008C1948"/>
    <w:rsid w:val="008C1B90"/>
    <w:rsid w:val="008C2247"/>
    <w:rsid w:val="008C27EB"/>
    <w:rsid w:val="008C2C29"/>
    <w:rsid w:val="008C2E57"/>
    <w:rsid w:val="008C3000"/>
    <w:rsid w:val="008C3135"/>
    <w:rsid w:val="008C3227"/>
    <w:rsid w:val="008C3A35"/>
    <w:rsid w:val="008C3EAB"/>
    <w:rsid w:val="008C4530"/>
    <w:rsid w:val="008C4721"/>
    <w:rsid w:val="008C47B2"/>
    <w:rsid w:val="008C4B04"/>
    <w:rsid w:val="008C4B2F"/>
    <w:rsid w:val="008C4BAB"/>
    <w:rsid w:val="008C4EEA"/>
    <w:rsid w:val="008C4FFA"/>
    <w:rsid w:val="008C5186"/>
    <w:rsid w:val="008C52DB"/>
    <w:rsid w:val="008C530F"/>
    <w:rsid w:val="008C5595"/>
    <w:rsid w:val="008C56E2"/>
    <w:rsid w:val="008C63C7"/>
    <w:rsid w:val="008C646E"/>
    <w:rsid w:val="008C6627"/>
    <w:rsid w:val="008C67B2"/>
    <w:rsid w:val="008C6A87"/>
    <w:rsid w:val="008C6CAA"/>
    <w:rsid w:val="008C6D66"/>
    <w:rsid w:val="008C6EB4"/>
    <w:rsid w:val="008C7744"/>
    <w:rsid w:val="008C7767"/>
    <w:rsid w:val="008C78E3"/>
    <w:rsid w:val="008C7F4A"/>
    <w:rsid w:val="008D01F6"/>
    <w:rsid w:val="008D071D"/>
    <w:rsid w:val="008D07A5"/>
    <w:rsid w:val="008D0DEB"/>
    <w:rsid w:val="008D0F0F"/>
    <w:rsid w:val="008D1133"/>
    <w:rsid w:val="008D12B5"/>
    <w:rsid w:val="008D13A6"/>
    <w:rsid w:val="008D1472"/>
    <w:rsid w:val="008D15DB"/>
    <w:rsid w:val="008D1C9C"/>
    <w:rsid w:val="008D1D06"/>
    <w:rsid w:val="008D1F4E"/>
    <w:rsid w:val="008D2726"/>
    <w:rsid w:val="008D29B8"/>
    <w:rsid w:val="008D2ADE"/>
    <w:rsid w:val="008D3445"/>
    <w:rsid w:val="008D34A6"/>
    <w:rsid w:val="008D390B"/>
    <w:rsid w:val="008D3AD4"/>
    <w:rsid w:val="008D3AF8"/>
    <w:rsid w:val="008D3B3B"/>
    <w:rsid w:val="008D3DF2"/>
    <w:rsid w:val="008D3EFE"/>
    <w:rsid w:val="008D44EC"/>
    <w:rsid w:val="008D463F"/>
    <w:rsid w:val="008D4738"/>
    <w:rsid w:val="008D483C"/>
    <w:rsid w:val="008D5053"/>
    <w:rsid w:val="008D51FC"/>
    <w:rsid w:val="008D5222"/>
    <w:rsid w:val="008D5238"/>
    <w:rsid w:val="008D5551"/>
    <w:rsid w:val="008D5844"/>
    <w:rsid w:val="008D5981"/>
    <w:rsid w:val="008D5B21"/>
    <w:rsid w:val="008D5CC5"/>
    <w:rsid w:val="008D5CDD"/>
    <w:rsid w:val="008D609B"/>
    <w:rsid w:val="008D60C5"/>
    <w:rsid w:val="008D622B"/>
    <w:rsid w:val="008D62DD"/>
    <w:rsid w:val="008D6591"/>
    <w:rsid w:val="008D6D28"/>
    <w:rsid w:val="008D7056"/>
    <w:rsid w:val="008D706A"/>
    <w:rsid w:val="008D7DCA"/>
    <w:rsid w:val="008E0299"/>
    <w:rsid w:val="008E09B0"/>
    <w:rsid w:val="008E0B64"/>
    <w:rsid w:val="008E0C78"/>
    <w:rsid w:val="008E0EB4"/>
    <w:rsid w:val="008E15D4"/>
    <w:rsid w:val="008E1987"/>
    <w:rsid w:val="008E248E"/>
    <w:rsid w:val="008E2D34"/>
    <w:rsid w:val="008E30B8"/>
    <w:rsid w:val="008E33BA"/>
    <w:rsid w:val="008E33D8"/>
    <w:rsid w:val="008E3420"/>
    <w:rsid w:val="008E34D6"/>
    <w:rsid w:val="008E368A"/>
    <w:rsid w:val="008E3827"/>
    <w:rsid w:val="008E390A"/>
    <w:rsid w:val="008E3931"/>
    <w:rsid w:val="008E3CBE"/>
    <w:rsid w:val="008E40A5"/>
    <w:rsid w:val="008E46CA"/>
    <w:rsid w:val="008E4A08"/>
    <w:rsid w:val="008E53FF"/>
    <w:rsid w:val="008E5699"/>
    <w:rsid w:val="008E5AE4"/>
    <w:rsid w:val="008E5FC2"/>
    <w:rsid w:val="008E5FD7"/>
    <w:rsid w:val="008E6153"/>
    <w:rsid w:val="008E63FF"/>
    <w:rsid w:val="008E670A"/>
    <w:rsid w:val="008E6929"/>
    <w:rsid w:val="008E693C"/>
    <w:rsid w:val="008E69FD"/>
    <w:rsid w:val="008E6A33"/>
    <w:rsid w:val="008E6B51"/>
    <w:rsid w:val="008E6CE6"/>
    <w:rsid w:val="008E6E5A"/>
    <w:rsid w:val="008E6E5B"/>
    <w:rsid w:val="008E75BF"/>
    <w:rsid w:val="008E784D"/>
    <w:rsid w:val="008E7E0F"/>
    <w:rsid w:val="008E7ECB"/>
    <w:rsid w:val="008E7FCE"/>
    <w:rsid w:val="008F058C"/>
    <w:rsid w:val="008F126A"/>
    <w:rsid w:val="008F1731"/>
    <w:rsid w:val="008F1E0D"/>
    <w:rsid w:val="008F1E54"/>
    <w:rsid w:val="008F2AFE"/>
    <w:rsid w:val="008F2B48"/>
    <w:rsid w:val="008F2C12"/>
    <w:rsid w:val="008F2C78"/>
    <w:rsid w:val="008F2EF9"/>
    <w:rsid w:val="008F311B"/>
    <w:rsid w:val="008F3442"/>
    <w:rsid w:val="008F367F"/>
    <w:rsid w:val="008F37D0"/>
    <w:rsid w:val="008F39A6"/>
    <w:rsid w:val="008F3DE0"/>
    <w:rsid w:val="008F40AB"/>
    <w:rsid w:val="008F4327"/>
    <w:rsid w:val="008F47D1"/>
    <w:rsid w:val="008F49BA"/>
    <w:rsid w:val="008F51D4"/>
    <w:rsid w:val="008F5738"/>
    <w:rsid w:val="008F5746"/>
    <w:rsid w:val="008F5964"/>
    <w:rsid w:val="008F59C2"/>
    <w:rsid w:val="008F6439"/>
    <w:rsid w:val="008F6541"/>
    <w:rsid w:val="008F676E"/>
    <w:rsid w:val="008F6D2F"/>
    <w:rsid w:val="008F7003"/>
    <w:rsid w:val="008F7326"/>
    <w:rsid w:val="008F74C3"/>
    <w:rsid w:val="008F7DD7"/>
    <w:rsid w:val="008F7E1C"/>
    <w:rsid w:val="00900070"/>
    <w:rsid w:val="00900445"/>
    <w:rsid w:val="0090063A"/>
    <w:rsid w:val="009009D6"/>
    <w:rsid w:val="0090125B"/>
    <w:rsid w:val="009013C5"/>
    <w:rsid w:val="009016C5"/>
    <w:rsid w:val="009017C6"/>
    <w:rsid w:val="009018F5"/>
    <w:rsid w:val="00901AC1"/>
    <w:rsid w:val="00901D82"/>
    <w:rsid w:val="00901ECC"/>
    <w:rsid w:val="009023FE"/>
    <w:rsid w:val="0090275D"/>
    <w:rsid w:val="009027F4"/>
    <w:rsid w:val="00902D27"/>
    <w:rsid w:val="00902E56"/>
    <w:rsid w:val="0090367A"/>
    <w:rsid w:val="00903850"/>
    <w:rsid w:val="00903911"/>
    <w:rsid w:val="00903CB5"/>
    <w:rsid w:val="00903E3E"/>
    <w:rsid w:val="00903EE2"/>
    <w:rsid w:val="00904282"/>
    <w:rsid w:val="0090450D"/>
    <w:rsid w:val="00904510"/>
    <w:rsid w:val="00904CEB"/>
    <w:rsid w:val="0090513B"/>
    <w:rsid w:val="0090532E"/>
    <w:rsid w:val="009054A8"/>
    <w:rsid w:val="00905545"/>
    <w:rsid w:val="009055CF"/>
    <w:rsid w:val="009056A2"/>
    <w:rsid w:val="00905D79"/>
    <w:rsid w:val="00906815"/>
    <w:rsid w:val="00906AA0"/>
    <w:rsid w:val="00906AFD"/>
    <w:rsid w:val="00906E6F"/>
    <w:rsid w:val="00906F10"/>
    <w:rsid w:val="0090708B"/>
    <w:rsid w:val="00907227"/>
    <w:rsid w:val="00907613"/>
    <w:rsid w:val="00907668"/>
    <w:rsid w:val="00907896"/>
    <w:rsid w:val="00907DB2"/>
    <w:rsid w:val="00907FD8"/>
    <w:rsid w:val="00910206"/>
    <w:rsid w:val="00910294"/>
    <w:rsid w:val="00910442"/>
    <w:rsid w:val="00910577"/>
    <w:rsid w:val="00910679"/>
    <w:rsid w:val="009108E6"/>
    <w:rsid w:val="0091096E"/>
    <w:rsid w:val="00910CD7"/>
    <w:rsid w:val="00910D09"/>
    <w:rsid w:val="00910D52"/>
    <w:rsid w:val="00910F01"/>
    <w:rsid w:val="00911047"/>
    <w:rsid w:val="0091105B"/>
    <w:rsid w:val="00911074"/>
    <w:rsid w:val="009111FF"/>
    <w:rsid w:val="0091152D"/>
    <w:rsid w:val="009118F8"/>
    <w:rsid w:val="009119D4"/>
    <w:rsid w:val="00911B20"/>
    <w:rsid w:val="00911BB2"/>
    <w:rsid w:val="00911D60"/>
    <w:rsid w:val="00911DD0"/>
    <w:rsid w:val="00912150"/>
    <w:rsid w:val="00912233"/>
    <w:rsid w:val="0091230A"/>
    <w:rsid w:val="00912C5D"/>
    <w:rsid w:val="00913238"/>
    <w:rsid w:val="009132B1"/>
    <w:rsid w:val="00913338"/>
    <w:rsid w:val="009134CA"/>
    <w:rsid w:val="00913998"/>
    <w:rsid w:val="00913EEC"/>
    <w:rsid w:val="00914245"/>
    <w:rsid w:val="009144A5"/>
    <w:rsid w:val="00914B05"/>
    <w:rsid w:val="00914FC8"/>
    <w:rsid w:val="009150AE"/>
    <w:rsid w:val="00915136"/>
    <w:rsid w:val="009152E0"/>
    <w:rsid w:val="0091532A"/>
    <w:rsid w:val="009154F2"/>
    <w:rsid w:val="009155BC"/>
    <w:rsid w:val="00915664"/>
    <w:rsid w:val="00916072"/>
    <w:rsid w:val="00916191"/>
    <w:rsid w:val="0091642F"/>
    <w:rsid w:val="009164DB"/>
    <w:rsid w:val="009169D9"/>
    <w:rsid w:val="0091745E"/>
    <w:rsid w:val="0091764B"/>
    <w:rsid w:val="00917AC2"/>
    <w:rsid w:val="00917C68"/>
    <w:rsid w:val="00920314"/>
    <w:rsid w:val="0092044D"/>
    <w:rsid w:val="009206FD"/>
    <w:rsid w:val="00920C57"/>
    <w:rsid w:val="00920DB0"/>
    <w:rsid w:val="00920E4C"/>
    <w:rsid w:val="00921006"/>
    <w:rsid w:val="0092102C"/>
    <w:rsid w:val="00921048"/>
    <w:rsid w:val="00921491"/>
    <w:rsid w:val="00921721"/>
    <w:rsid w:val="0092195F"/>
    <w:rsid w:val="00921B69"/>
    <w:rsid w:val="00921BB7"/>
    <w:rsid w:val="00921DEB"/>
    <w:rsid w:val="00921F2E"/>
    <w:rsid w:val="00922560"/>
    <w:rsid w:val="009225D2"/>
    <w:rsid w:val="009228D7"/>
    <w:rsid w:val="00922971"/>
    <w:rsid w:val="00922A1F"/>
    <w:rsid w:val="00922B33"/>
    <w:rsid w:val="00922F22"/>
    <w:rsid w:val="009233AF"/>
    <w:rsid w:val="00923629"/>
    <w:rsid w:val="009236CD"/>
    <w:rsid w:val="00923984"/>
    <w:rsid w:val="00923B23"/>
    <w:rsid w:val="00923D49"/>
    <w:rsid w:val="00923ECF"/>
    <w:rsid w:val="0092415E"/>
    <w:rsid w:val="00924305"/>
    <w:rsid w:val="00924CB6"/>
    <w:rsid w:val="0092541F"/>
    <w:rsid w:val="00925774"/>
    <w:rsid w:val="00925815"/>
    <w:rsid w:val="00925833"/>
    <w:rsid w:val="0092599D"/>
    <w:rsid w:val="00925EF0"/>
    <w:rsid w:val="00925F6A"/>
    <w:rsid w:val="0092651B"/>
    <w:rsid w:val="00926669"/>
    <w:rsid w:val="009266B4"/>
    <w:rsid w:val="0092736F"/>
    <w:rsid w:val="009273D6"/>
    <w:rsid w:val="009275F8"/>
    <w:rsid w:val="00927A6B"/>
    <w:rsid w:val="00927BA0"/>
    <w:rsid w:val="00927D3B"/>
    <w:rsid w:val="00927FB8"/>
    <w:rsid w:val="00930150"/>
    <w:rsid w:val="00930216"/>
    <w:rsid w:val="009304CB"/>
    <w:rsid w:val="009306C3"/>
    <w:rsid w:val="00930ADC"/>
    <w:rsid w:val="00930BFB"/>
    <w:rsid w:val="009310C7"/>
    <w:rsid w:val="00931AEE"/>
    <w:rsid w:val="00932078"/>
    <w:rsid w:val="00932222"/>
    <w:rsid w:val="0093230D"/>
    <w:rsid w:val="00932AC0"/>
    <w:rsid w:val="00932E03"/>
    <w:rsid w:val="009331A1"/>
    <w:rsid w:val="009331DA"/>
    <w:rsid w:val="00933AE5"/>
    <w:rsid w:val="00933B79"/>
    <w:rsid w:val="00933C3D"/>
    <w:rsid w:val="00933F2F"/>
    <w:rsid w:val="0093400D"/>
    <w:rsid w:val="00934248"/>
    <w:rsid w:val="009344D7"/>
    <w:rsid w:val="0093463D"/>
    <w:rsid w:val="00934E5B"/>
    <w:rsid w:val="0093567A"/>
    <w:rsid w:val="009359BA"/>
    <w:rsid w:val="00935E9D"/>
    <w:rsid w:val="00935FDE"/>
    <w:rsid w:val="00936502"/>
    <w:rsid w:val="009368D6"/>
    <w:rsid w:val="009368FF"/>
    <w:rsid w:val="00936AA2"/>
    <w:rsid w:val="00936BAD"/>
    <w:rsid w:val="00936BB7"/>
    <w:rsid w:val="00936D23"/>
    <w:rsid w:val="00936F46"/>
    <w:rsid w:val="00936F53"/>
    <w:rsid w:val="0093715E"/>
    <w:rsid w:val="00937200"/>
    <w:rsid w:val="00937221"/>
    <w:rsid w:val="00937349"/>
    <w:rsid w:val="00937690"/>
    <w:rsid w:val="00937E1E"/>
    <w:rsid w:val="00940118"/>
    <w:rsid w:val="00940AFE"/>
    <w:rsid w:val="00941202"/>
    <w:rsid w:val="0094129F"/>
    <w:rsid w:val="009413FB"/>
    <w:rsid w:val="009414D2"/>
    <w:rsid w:val="009415D4"/>
    <w:rsid w:val="00941803"/>
    <w:rsid w:val="00941892"/>
    <w:rsid w:val="009419B8"/>
    <w:rsid w:val="0094219E"/>
    <w:rsid w:val="00942287"/>
    <w:rsid w:val="009424D0"/>
    <w:rsid w:val="00942528"/>
    <w:rsid w:val="00942602"/>
    <w:rsid w:val="009427A8"/>
    <w:rsid w:val="00942D02"/>
    <w:rsid w:val="00942EFC"/>
    <w:rsid w:val="00943364"/>
    <w:rsid w:val="00943526"/>
    <w:rsid w:val="00943564"/>
    <w:rsid w:val="00943867"/>
    <w:rsid w:val="00943E33"/>
    <w:rsid w:val="009444F8"/>
    <w:rsid w:val="00944A46"/>
    <w:rsid w:val="00944C49"/>
    <w:rsid w:val="00944DB6"/>
    <w:rsid w:val="00944E79"/>
    <w:rsid w:val="00944E98"/>
    <w:rsid w:val="00944F5E"/>
    <w:rsid w:val="00944FAF"/>
    <w:rsid w:val="00945181"/>
    <w:rsid w:val="00945480"/>
    <w:rsid w:val="009455A1"/>
    <w:rsid w:val="00945D1D"/>
    <w:rsid w:val="00946046"/>
    <w:rsid w:val="00946759"/>
    <w:rsid w:val="00946B7F"/>
    <w:rsid w:val="00946EE0"/>
    <w:rsid w:val="00946EE2"/>
    <w:rsid w:val="00947887"/>
    <w:rsid w:val="009478A0"/>
    <w:rsid w:val="00947AB7"/>
    <w:rsid w:val="00947B98"/>
    <w:rsid w:val="00947C93"/>
    <w:rsid w:val="0095017E"/>
    <w:rsid w:val="00950FE6"/>
    <w:rsid w:val="009511DE"/>
    <w:rsid w:val="00951B1C"/>
    <w:rsid w:val="00951DFB"/>
    <w:rsid w:val="00951F9F"/>
    <w:rsid w:val="0095268F"/>
    <w:rsid w:val="0095324B"/>
    <w:rsid w:val="009536EA"/>
    <w:rsid w:val="00954175"/>
    <w:rsid w:val="00954258"/>
    <w:rsid w:val="0095447A"/>
    <w:rsid w:val="0095461A"/>
    <w:rsid w:val="00954A1F"/>
    <w:rsid w:val="00954E3E"/>
    <w:rsid w:val="00954EB3"/>
    <w:rsid w:val="00955438"/>
    <w:rsid w:val="0095548E"/>
    <w:rsid w:val="00955685"/>
    <w:rsid w:val="00955EE2"/>
    <w:rsid w:val="00956281"/>
    <w:rsid w:val="00956A11"/>
    <w:rsid w:val="00956BFB"/>
    <w:rsid w:val="00956F65"/>
    <w:rsid w:val="009571CC"/>
    <w:rsid w:val="0095765A"/>
    <w:rsid w:val="009578F9"/>
    <w:rsid w:val="009579AA"/>
    <w:rsid w:val="00957AAF"/>
    <w:rsid w:val="00957FCB"/>
    <w:rsid w:val="0096010D"/>
    <w:rsid w:val="009603E8"/>
    <w:rsid w:val="009605B8"/>
    <w:rsid w:val="00960622"/>
    <w:rsid w:val="00960CE7"/>
    <w:rsid w:val="00960D40"/>
    <w:rsid w:val="00960D65"/>
    <w:rsid w:val="00960FDF"/>
    <w:rsid w:val="0096125F"/>
    <w:rsid w:val="009616FB"/>
    <w:rsid w:val="00962538"/>
    <w:rsid w:val="00962CDF"/>
    <w:rsid w:val="0096331B"/>
    <w:rsid w:val="0096345F"/>
    <w:rsid w:val="0096395F"/>
    <w:rsid w:val="00963E8D"/>
    <w:rsid w:val="00963FB8"/>
    <w:rsid w:val="0096436E"/>
    <w:rsid w:val="009643F3"/>
    <w:rsid w:val="009646E1"/>
    <w:rsid w:val="009647C7"/>
    <w:rsid w:val="00964BEF"/>
    <w:rsid w:val="00965814"/>
    <w:rsid w:val="00965879"/>
    <w:rsid w:val="009659DC"/>
    <w:rsid w:val="00965A7E"/>
    <w:rsid w:val="00966232"/>
    <w:rsid w:val="0096685A"/>
    <w:rsid w:val="009668B6"/>
    <w:rsid w:val="00966CA5"/>
    <w:rsid w:val="00967472"/>
    <w:rsid w:val="00967524"/>
    <w:rsid w:val="009675CD"/>
    <w:rsid w:val="00967A06"/>
    <w:rsid w:val="00967B22"/>
    <w:rsid w:val="00967C65"/>
    <w:rsid w:val="00967DB1"/>
    <w:rsid w:val="00970056"/>
    <w:rsid w:val="009706AD"/>
    <w:rsid w:val="0097079D"/>
    <w:rsid w:val="00970822"/>
    <w:rsid w:val="00970887"/>
    <w:rsid w:val="00970C43"/>
    <w:rsid w:val="0097102F"/>
    <w:rsid w:val="009712F4"/>
    <w:rsid w:val="009719DA"/>
    <w:rsid w:val="00971D05"/>
    <w:rsid w:val="00971D3B"/>
    <w:rsid w:val="009720F4"/>
    <w:rsid w:val="00972507"/>
    <w:rsid w:val="009725EB"/>
    <w:rsid w:val="00972A26"/>
    <w:rsid w:val="00972A56"/>
    <w:rsid w:val="00972C3A"/>
    <w:rsid w:val="00972F40"/>
    <w:rsid w:val="00973962"/>
    <w:rsid w:val="009739B5"/>
    <w:rsid w:val="00973AAD"/>
    <w:rsid w:val="00974305"/>
    <w:rsid w:val="009745A0"/>
    <w:rsid w:val="00974958"/>
    <w:rsid w:val="00974C94"/>
    <w:rsid w:val="00974D60"/>
    <w:rsid w:val="00974D86"/>
    <w:rsid w:val="009750B9"/>
    <w:rsid w:val="00975100"/>
    <w:rsid w:val="009755F1"/>
    <w:rsid w:val="009758AB"/>
    <w:rsid w:val="009758FB"/>
    <w:rsid w:val="00976095"/>
    <w:rsid w:val="009764CB"/>
    <w:rsid w:val="0097694B"/>
    <w:rsid w:val="00976E5F"/>
    <w:rsid w:val="00976F82"/>
    <w:rsid w:val="0097713A"/>
    <w:rsid w:val="00977215"/>
    <w:rsid w:val="0097763E"/>
    <w:rsid w:val="00977EFB"/>
    <w:rsid w:val="0098012A"/>
    <w:rsid w:val="0098067F"/>
    <w:rsid w:val="0098082F"/>
    <w:rsid w:val="00980B5F"/>
    <w:rsid w:val="00980BDA"/>
    <w:rsid w:val="00981399"/>
    <w:rsid w:val="00981625"/>
    <w:rsid w:val="0098175F"/>
    <w:rsid w:val="0098192E"/>
    <w:rsid w:val="00981943"/>
    <w:rsid w:val="0098194E"/>
    <w:rsid w:val="00981B65"/>
    <w:rsid w:val="00981D10"/>
    <w:rsid w:val="00981E37"/>
    <w:rsid w:val="00982343"/>
    <w:rsid w:val="009825FB"/>
    <w:rsid w:val="00982937"/>
    <w:rsid w:val="00982C3F"/>
    <w:rsid w:val="009830CF"/>
    <w:rsid w:val="0098342F"/>
    <w:rsid w:val="00983C62"/>
    <w:rsid w:val="00983E11"/>
    <w:rsid w:val="0098403E"/>
    <w:rsid w:val="00984137"/>
    <w:rsid w:val="009844BB"/>
    <w:rsid w:val="00984957"/>
    <w:rsid w:val="009849BB"/>
    <w:rsid w:val="00984B34"/>
    <w:rsid w:val="00984CE6"/>
    <w:rsid w:val="00984E61"/>
    <w:rsid w:val="00984F6F"/>
    <w:rsid w:val="00985064"/>
    <w:rsid w:val="00985183"/>
    <w:rsid w:val="00985AE1"/>
    <w:rsid w:val="00985C57"/>
    <w:rsid w:val="00985CA1"/>
    <w:rsid w:val="0098610A"/>
    <w:rsid w:val="009861B7"/>
    <w:rsid w:val="00986788"/>
    <w:rsid w:val="009867AD"/>
    <w:rsid w:val="00986E6C"/>
    <w:rsid w:val="00986F70"/>
    <w:rsid w:val="0098710B"/>
    <w:rsid w:val="009872DA"/>
    <w:rsid w:val="0098738F"/>
    <w:rsid w:val="00987674"/>
    <w:rsid w:val="009876C9"/>
    <w:rsid w:val="009878FA"/>
    <w:rsid w:val="00987C9D"/>
    <w:rsid w:val="00987D8A"/>
    <w:rsid w:val="00990380"/>
    <w:rsid w:val="009904E0"/>
    <w:rsid w:val="009904F9"/>
    <w:rsid w:val="00990A36"/>
    <w:rsid w:val="00990A66"/>
    <w:rsid w:val="00990ABB"/>
    <w:rsid w:val="00990E26"/>
    <w:rsid w:val="00991509"/>
    <w:rsid w:val="00991697"/>
    <w:rsid w:val="00991BCD"/>
    <w:rsid w:val="00991BEF"/>
    <w:rsid w:val="00991D6F"/>
    <w:rsid w:val="00991E6B"/>
    <w:rsid w:val="00991E8E"/>
    <w:rsid w:val="00992085"/>
    <w:rsid w:val="0099225D"/>
    <w:rsid w:val="0099229C"/>
    <w:rsid w:val="00992365"/>
    <w:rsid w:val="00992700"/>
    <w:rsid w:val="009927BA"/>
    <w:rsid w:val="009928A0"/>
    <w:rsid w:val="00992BBD"/>
    <w:rsid w:val="00992D57"/>
    <w:rsid w:val="00992F26"/>
    <w:rsid w:val="00992F40"/>
    <w:rsid w:val="0099300B"/>
    <w:rsid w:val="0099308E"/>
    <w:rsid w:val="009930DB"/>
    <w:rsid w:val="0099326A"/>
    <w:rsid w:val="0099345D"/>
    <w:rsid w:val="00993560"/>
    <w:rsid w:val="00993997"/>
    <w:rsid w:val="00993C12"/>
    <w:rsid w:val="00993CFA"/>
    <w:rsid w:val="00993DB7"/>
    <w:rsid w:val="00994270"/>
    <w:rsid w:val="00994720"/>
    <w:rsid w:val="009949AE"/>
    <w:rsid w:val="00994B8D"/>
    <w:rsid w:val="00994D12"/>
    <w:rsid w:val="00994FFD"/>
    <w:rsid w:val="009952EC"/>
    <w:rsid w:val="00995459"/>
    <w:rsid w:val="009954E3"/>
    <w:rsid w:val="009954F5"/>
    <w:rsid w:val="0099591B"/>
    <w:rsid w:val="0099592E"/>
    <w:rsid w:val="00995931"/>
    <w:rsid w:val="00995BE9"/>
    <w:rsid w:val="00995D41"/>
    <w:rsid w:val="0099617E"/>
    <w:rsid w:val="00996307"/>
    <w:rsid w:val="00996415"/>
    <w:rsid w:val="0099683C"/>
    <w:rsid w:val="00996847"/>
    <w:rsid w:val="00996A0C"/>
    <w:rsid w:val="00996A64"/>
    <w:rsid w:val="00996CCF"/>
    <w:rsid w:val="00996DD1"/>
    <w:rsid w:val="00997163"/>
    <w:rsid w:val="0099748B"/>
    <w:rsid w:val="009979BB"/>
    <w:rsid w:val="00997C55"/>
    <w:rsid w:val="00997E23"/>
    <w:rsid w:val="00997E56"/>
    <w:rsid w:val="00997F4C"/>
    <w:rsid w:val="009A0315"/>
    <w:rsid w:val="009A05FD"/>
    <w:rsid w:val="009A060F"/>
    <w:rsid w:val="009A081E"/>
    <w:rsid w:val="009A098F"/>
    <w:rsid w:val="009A0CB0"/>
    <w:rsid w:val="009A0CCE"/>
    <w:rsid w:val="009A1503"/>
    <w:rsid w:val="009A163B"/>
    <w:rsid w:val="009A165F"/>
    <w:rsid w:val="009A16AF"/>
    <w:rsid w:val="009A16F4"/>
    <w:rsid w:val="009A1A80"/>
    <w:rsid w:val="009A1B3E"/>
    <w:rsid w:val="009A1BA9"/>
    <w:rsid w:val="009A222C"/>
    <w:rsid w:val="009A22E5"/>
    <w:rsid w:val="009A2461"/>
    <w:rsid w:val="009A2977"/>
    <w:rsid w:val="009A2E69"/>
    <w:rsid w:val="009A34A4"/>
    <w:rsid w:val="009A3563"/>
    <w:rsid w:val="009A3B2A"/>
    <w:rsid w:val="009A4147"/>
    <w:rsid w:val="009A4272"/>
    <w:rsid w:val="009A4667"/>
    <w:rsid w:val="009A4A35"/>
    <w:rsid w:val="009A4C8F"/>
    <w:rsid w:val="009A4D80"/>
    <w:rsid w:val="009A5269"/>
    <w:rsid w:val="009A53E5"/>
    <w:rsid w:val="009A559A"/>
    <w:rsid w:val="009A5E25"/>
    <w:rsid w:val="009A5FE2"/>
    <w:rsid w:val="009A6013"/>
    <w:rsid w:val="009A605E"/>
    <w:rsid w:val="009A6144"/>
    <w:rsid w:val="009A622B"/>
    <w:rsid w:val="009A624F"/>
    <w:rsid w:val="009A6430"/>
    <w:rsid w:val="009A6B9A"/>
    <w:rsid w:val="009A6C26"/>
    <w:rsid w:val="009A6E0C"/>
    <w:rsid w:val="009A71D1"/>
    <w:rsid w:val="009A79D0"/>
    <w:rsid w:val="009A7A6D"/>
    <w:rsid w:val="009A7CD8"/>
    <w:rsid w:val="009B051D"/>
    <w:rsid w:val="009B077A"/>
    <w:rsid w:val="009B079D"/>
    <w:rsid w:val="009B0B4E"/>
    <w:rsid w:val="009B10ED"/>
    <w:rsid w:val="009B1729"/>
    <w:rsid w:val="009B1AA1"/>
    <w:rsid w:val="009B1B00"/>
    <w:rsid w:val="009B1BD0"/>
    <w:rsid w:val="009B1E23"/>
    <w:rsid w:val="009B1E53"/>
    <w:rsid w:val="009B2803"/>
    <w:rsid w:val="009B2CA2"/>
    <w:rsid w:val="009B2F2C"/>
    <w:rsid w:val="009B3326"/>
    <w:rsid w:val="009B389A"/>
    <w:rsid w:val="009B38FB"/>
    <w:rsid w:val="009B3A88"/>
    <w:rsid w:val="009B3DC2"/>
    <w:rsid w:val="009B3E51"/>
    <w:rsid w:val="009B42B1"/>
    <w:rsid w:val="009B4394"/>
    <w:rsid w:val="009B454D"/>
    <w:rsid w:val="009B5804"/>
    <w:rsid w:val="009B5BE0"/>
    <w:rsid w:val="009B5D6D"/>
    <w:rsid w:val="009B60A4"/>
    <w:rsid w:val="009B6705"/>
    <w:rsid w:val="009B6783"/>
    <w:rsid w:val="009B693A"/>
    <w:rsid w:val="009B6E39"/>
    <w:rsid w:val="009C0246"/>
    <w:rsid w:val="009C029E"/>
    <w:rsid w:val="009C0518"/>
    <w:rsid w:val="009C0619"/>
    <w:rsid w:val="009C09E4"/>
    <w:rsid w:val="009C0B0B"/>
    <w:rsid w:val="009C0C72"/>
    <w:rsid w:val="009C0D83"/>
    <w:rsid w:val="009C0E0F"/>
    <w:rsid w:val="009C10DA"/>
    <w:rsid w:val="009C1223"/>
    <w:rsid w:val="009C1776"/>
    <w:rsid w:val="009C1B7F"/>
    <w:rsid w:val="009C1C2F"/>
    <w:rsid w:val="009C2385"/>
    <w:rsid w:val="009C2A44"/>
    <w:rsid w:val="009C3277"/>
    <w:rsid w:val="009C38CE"/>
    <w:rsid w:val="009C3BD6"/>
    <w:rsid w:val="009C3DFE"/>
    <w:rsid w:val="009C3FC6"/>
    <w:rsid w:val="009C4748"/>
    <w:rsid w:val="009C4891"/>
    <w:rsid w:val="009C4B68"/>
    <w:rsid w:val="009C4D9C"/>
    <w:rsid w:val="009C51B1"/>
    <w:rsid w:val="009C51C4"/>
    <w:rsid w:val="009C5347"/>
    <w:rsid w:val="009C5369"/>
    <w:rsid w:val="009C5C71"/>
    <w:rsid w:val="009C635D"/>
    <w:rsid w:val="009C66A3"/>
    <w:rsid w:val="009C66F6"/>
    <w:rsid w:val="009C714D"/>
    <w:rsid w:val="009C72DE"/>
    <w:rsid w:val="009C76EA"/>
    <w:rsid w:val="009C7A90"/>
    <w:rsid w:val="009C7F6A"/>
    <w:rsid w:val="009C7FB0"/>
    <w:rsid w:val="009D00D2"/>
    <w:rsid w:val="009D019F"/>
    <w:rsid w:val="009D02A0"/>
    <w:rsid w:val="009D05F7"/>
    <w:rsid w:val="009D0CF2"/>
    <w:rsid w:val="009D0E65"/>
    <w:rsid w:val="009D1078"/>
    <w:rsid w:val="009D112A"/>
    <w:rsid w:val="009D1194"/>
    <w:rsid w:val="009D1575"/>
    <w:rsid w:val="009D17D5"/>
    <w:rsid w:val="009D193C"/>
    <w:rsid w:val="009D19D8"/>
    <w:rsid w:val="009D1A53"/>
    <w:rsid w:val="009D1AB2"/>
    <w:rsid w:val="009D207D"/>
    <w:rsid w:val="009D2248"/>
    <w:rsid w:val="009D23AA"/>
    <w:rsid w:val="009D250C"/>
    <w:rsid w:val="009D2896"/>
    <w:rsid w:val="009D29EF"/>
    <w:rsid w:val="009D2C6F"/>
    <w:rsid w:val="009D2EFC"/>
    <w:rsid w:val="009D2F7E"/>
    <w:rsid w:val="009D3B1C"/>
    <w:rsid w:val="009D3FA6"/>
    <w:rsid w:val="009D42E7"/>
    <w:rsid w:val="009D444C"/>
    <w:rsid w:val="009D44AC"/>
    <w:rsid w:val="009D4782"/>
    <w:rsid w:val="009D4DD7"/>
    <w:rsid w:val="009D4E8F"/>
    <w:rsid w:val="009D4F40"/>
    <w:rsid w:val="009D5041"/>
    <w:rsid w:val="009D51AA"/>
    <w:rsid w:val="009D5504"/>
    <w:rsid w:val="009D593F"/>
    <w:rsid w:val="009D59F0"/>
    <w:rsid w:val="009D5EFB"/>
    <w:rsid w:val="009D5FA6"/>
    <w:rsid w:val="009D6080"/>
    <w:rsid w:val="009D61C2"/>
    <w:rsid w:val="009D6582"/>
    <w:rsid w:val="009D6728"/>
    <w:rsid w:val="009D695A"/>
    <w:rsid w:val="009D69E8"/>
    <w:rsid w:val="009D6B39"/>
    <w:rsid w:val="009D6F27"/>
    <w:rsid w:val="009D6F5F"/>
    <w:rsid w:val="009D716B"/>
    <w:rsid w:val="009D729F"/>
    <w:rsid w:val="009D7347"/>
    <w:rsid w:val="009D7561"/>
    <w:rsid w:val="009D77FE"/>
    <w:rsid w:val="009D7FB8"/>
    <w:rsid w:val="009E07CB"/>
    <w:rsid w:val="009E0C14"/>
    <w:rsid w:val="009E0F85"/>
    <w:rsid w:val="009E1836"/>
    <w:rsid w:val="009E18C3"/>
    <w:rsid w:val="009E18EA"/>
    <w:rsid w:val="009E1A41"/>
    <w:rsid w:val="009E1AEC"/>
    <w:rsid w:val="009E1C79"/>
    <w:rsid w:val="009E223F"/>
    <w:rsid w:val="009E25A6"/>
    <w:rsid w:val="009E2871"/>
    <w:rsid w:val="009E28AC"/>
    <w:rsid w:val="009E2AB3"/>
    <w:rsid w:val="009E2CD4"/>
    <w:rsid w:val="009E2D74"/>
    <w:rsid w:val="009E2E82"/>
    <w:rsid w:val="009E3287"/>
    <w:rsid w:val="009E328A"/>
    <w:rsid w:val="009E32DC"/>
    <w:rsid w:val="009E3560"/>
    <w:rsid w:val="009E3581"/>
    <w:rsid w:val="009E3815"/>
    <w:rsid w:val="009E3D6F"/>
    <w:rsid w:val="009E3F08"/>
    <w:rsid w:val="009E3F4A"/>
    <w:rsid w:val="009E4240"/>
    <w:rsid w:val="009E4687"/>
    <w:rsid w:val="009E4C00"/>
    <w:rsid w:val="009E4ECC"/>
    <w:rsid w:val="009E53CC"/>
    <w:rsid w:val="009E5467"/>
    <w:rsid w:val="009E580B"/>
    <w:rsid w:val="009E582A"/>
    <w:rsid w:val="009E59D0"/>
    <w:rsid w:val="009E5AA6"/>
    <w:rsid w:val="009E5BB2"/>
    <w:rsid w:val="009E6001"/>
    <w:rsid w:val="009E635F"/>
    <w:rsid w:val="009E68E5"/>
    <w:rsid w:val="009E6A8C"/>
    <w:rsid w:val="009E7187"/>
    <w:rsid w:val="009E739D"/>
    <w:rsid w:val="009E7E4D"/>
    <w:rsid w:val="009F032B"/>
    <w:rsid w:val="009F0CAD"/>
    <w:rsid w:val="009F0F95"/>
    <w:rsid w:val="009F112B"/>
    <w:rsid w:val="009F1187"/>
    <w:rsid w:val="009F1F17"/>
    <w:rsid w:val="009F1FA9"/>
    <w:rsid w:val="009F201C"/>
    <w:rsid w:val="009F246B"/>
    <w:rsid w:val="009F276F"/>
    <w:rsid w:val="009F293D"/>
    <w:rsid w:val="009F2A15"/>
    <w:rsid w:val="009F2A46"/>
    <w:rsid w:val="009F2B5F"/>
    <w:rsid w:val="009F2D75"/>
    <w:rsid w:val="009F2F26"/>
    <w:rsid w:val="009F309D"/>
    <w:rsid w:val="009F339A"/>
    <w:rsid w:val="009F3698"/>
    <w:rsid w:val="009F3B5C"/>
    <w:rsid w:val="009F3BD3"/>
    <w:rsid w:val="009F3D4D"/>
    <w:rsid w:val="009F56A9"/>
    <w:rsid w:val="009F578A"/>
    <w:rsid w:val="009F57FA"/>
    <w:rsid w:val="009F5966"/>
    <w:rsid w:val="009F5D39"/>
    <w:rsid w:val="009F5DC8"/>
    <w:rsid w:val="009F5E6F"/>
    <w:rsid w:val="009F5F4F"/>
    <w:rsid w:val="009F63E9"/>
    <w:rsid w:val="009F68DA"/>
    <w:rsid w:val="009F72D8"/>
    <w:rsid w:val="009F7366"/>
    <w:rsid w:val="009F73F6"/>
    <w:rsid w:val="009F79E0"/>
    <w:rsid w:val="009F7D2C"/>
    <w:rsid w:val="009F7D97"/>
    <w:rsid w:val="009F7DAF"/>
    <w:rsid w:val="00A00026"/>
    <w:rsid w:val="00A004CA"/>
    <w:rsid w:val="00A00A49"/>
    <w:rsid w:val="00A00BF4"/>
    <w:rsid w:val="00A00C3C"/>
    <w:rsid w:val="00A00C42"/>
    <w:rsid w:val="00A00D57"/>
    <w:rsid w:val="00A01071"/>
    <w:rsid w:val="00A01223"/>
    <w:rsid w:val="00A0152F"/>
    <w:rsid w:val="00A018DB"/>
    <w:rsid w:val="00A01902"/>
    <w:rsid w:val="00A01D10"/>
    <w:rsid w:val="00A025B9"/>
    <w:rsid w:val="00A025FF"/>
    <w:rsid w:val="00A02672"/>
    <w:rsid w:val="00A0292F"/>
    <w:rsid w:val="00A02A37"/>
    <w:rsid w:val="00A02D84"/>
    <w:rsid w:val="00A0307B"/>
    <w:rsid w:val="00A03333"/>
    <w:rsid w:val="00A033F3"/>
    <w:rsid w:val="00A0355F"/>
    <w:rsid w:val="00A03933"/>
    <w:rsid w:val="00A03A30"/>
    <w:rsid w:val="00A03B97"/>
    <w:rsid w:val="00A040A3"/>
    <w:rsid w:val="00A040C7"/>
    <w:rsid w:val="00A043E5"/>
    <w:rsid w:val="00A04545"/>
    <w:rsid w:val="00A0484E"/>
    <w:rsid w:val="00A05762"/>
    <w:rsid w:val="00A05834"/>
    <w:rsid w:val="00A0584F"/>
    <w:rsid w:val="00A058B1"/>
    <w:rsid w:val="00A059B0"/>
    <w:rsid w:val="00A05D47"/>
    <w:rsid w:val="00A0639A"/>
    <w:rsid w:val="00A0643E"/>
    <w:rsid w:val="00A0649C"/>
    <w:rsid w:val="00A068EB"/>
    <w:rsid w:val="00A06A3D"/>
    <w:rsid w:val="00A06C63"/>
    <w:rsid w:val="00A06ED2"/>
    <w:rsid w:val="00A07114"/>
    <w:rsid w:val="00A071EB"/>
    <w:rsid w:val="00A07372"/>
    <w:rsid w:val="00A0774E"/>
    <w:rsid w:val="00A077D6"/>
    <w:rsid w:val="00A079CC"/>
    <w:rsid w:val="00A07DEE"/>
    <w:rsid w:val="00A07E2B"/>
    <w:rsid w:val="00A100A9"/>
    <w:rsid w:val="00A101F6"/>
    <w:rsid w:val="00A1061D"/>
    <w:rsid w:val="00A106CA"/>
    <w:rsid w:val="00A108D3"/>
    <w:rsid w:val="00A1114A"/>
    <w:rsid w:val="00A112BF"/>
    <w:rsid w:val="00A11331"/>
    <w:rsid w:val="00A1193F"/>
    <w:rsid w:val="00A119AF"/>
    <w:rsid w:val="00A11E08"/>
    <w:rsid w:val="00A12062"/>
    <w:rsid w:val="00A1215F"/>
    <w:rsid w:val="00A1258B"/>
    <w:rsid w:val="00A12B91"/>
    <w:rsid w:val="00A12F17"/>
    <w:rsid w:val="00A13133"/>
    <w:rsid w:val="00A131D1"/>
    <w:rsid w:val="00A1355B"/>
    <w:rsid w:val="00A13F2F"/>
    <w:rsid w:val="00A13F98"/>
    <w:rsid w:val="00A13FC3"/>
    <w:rsid w:val="00A141F1"/>
    <w:rsid w:val="00A14544"/>
    <w:rsid w:val="00A1497B"/>
    <w:rsid w:val="00A14A6A"/>
    <w:rsid w:val="00A14BDF"/>
    <w:rsid w:val="00A14CAE"/>
    <w:rsid w:val="00A15593"/>
    <w:rsid w:val="00A15636"/>
    <w:rsid w:val="00A15644"/>
    <w:rsid w:val="00A162FF"/>
    <w:rsid w:val="00A16694"/>
    <w:rsid w:val="00A16890"/>
    <w:rsid w:val="00A16ACD"/>
    <w:rsid w:val="00A16C13"/>
    <w:rsid w:val="00A171A8"/>
    <w:rsid w:val="00A17584"/>
    <w:rsid w:val="00A175D8"/>
    <w:rsid w:val="00A17FCD"/>
    <w:rsid w:val="00A2000D"/>
    <w:rsid w:val="00A2016C"/>
    <w:rsid w:val="00A20264"/>
    <w:rsid w:val="00A203EF"/>
    <w:rsid w:val="00A204E8"/>
    <w:rsid w:val="00A205FB"/>
    <w:rsid w:val="00A20878"/>
    <w:rsid w:val="00A20C26"/>
    <w:rsid w:val="00A20E57"/>
    <w:rsid w:val="00A21074"/>
    <w:rsid w:val="00A2126A"/>
    <w:rsid w:val="00A213AB"/>
    <w:rsid w:val="00A213BA"/>
    <w:rsid w:val="00A21BF5"/>
    <w:rsid w:val="00A21CDA"/>
    <w:rsid w:val="00A22743"/>
    <w:rsid w:val="00A22878"/>
    <w:rsid w:val="00A228E5"/>
    <w:rsid w:val="00A22DD0"/>
    <w:rsid w:val="00A2383D"/>
    <w:rsid w:val="00A23E77"/>
    <w:rsid w:val="00A241A5"/>
    <w:rsid w:val="00A24242"/>
    <w:rsid w:val="00A24430"/>
    <w:rsid w:val="00A245A9"/>
    <w:rsid w:val="00A2461F"/>
    <w:rsid w:val="00A24829"/>
    <w:rsid w:val="00A24B2A"/>
    <w:rsid w:val="00A24E05"/>
    <w:rsid w:val="00A24ED4"/>
    <w:rsid w:val="00A24FA3"/>
    <w:rsid w:val="00A24FC5"/>
    <w:rsid w:val="00A2543C"/>
    <w:rsid w:val="00A25943"/>
    <w:rsid w:val="00A25E0F"/>
    <w:rsid w:val="00A2602C"/>
    <w:rsid w:val="00A26205"/>
    <w:rsid w:val="00A26345"/>
    <w:rsid w:val="00A2684E"/>
    <w:rsid w:val="00A2693F"/>
    <w:rsid w:val="00A26FDD"/>
    <w:rsid w:val="00A27285"/>
    <w:rsid w:val="00A272F0"/>
    <w:rsid w:val="00A2733E"/>
    <w:rsid w:val="00A273FA"/>
    <w:rsid w:val="00A27499"/>
    <w:rsid w:val="00A27D4E"/>
    <w:rsid w:val="00A27EE5"/>
    <w:rsid w:val="00A30800"/>
    <w:rsid w:val="00A3092C"/>
    <w:rsid w:val="00A30C5B"/>
    <w:rsid w:val="00A30D8B"/>
    <w:rsid w:val="00A31024"/>
    <w:rsid w:val="00A31220"/>
    <w:rsid w:val="00A312F3"/>
    <w:rsid w:val="00A31622"/>
    <w:rsid w:val="00A316A7"/>
    <w:rsid w:val="00A31864"/>
    <w:rsid w:val="00A31872"/>
    <w:rsid w:val="00A31A3F"/>
    <w:rsid w:val="00A31E35"/>
    <w:rsid w:val="00A321C3"/>
    <w:rsid w:val="00A324AA"/>
    <w:rsid w:val="00A32AF5"/>
    <w:rsid w:val="00A32D6B"/>
    <w:rsid w:val="00A32E50"/>
    <w:rsid w:val="00A330E3"/>
    <w:rsid w:val="00A33297"/>
    <w:rsid w:val="00A334DA"/>
    <w:rsid w:val="00A336B4"/>
    <w:rsid w:val="00A33876"/>
    <w:rsid w:val="00A33B30"/>
    <w:rsid w:val="00A33BD2"/>
    <w:rsid w:val="00A33C04"/>
    <w:rsid w:val="00A33F27"/>
    <w:rsid w:val="00A33FD8"/>
    <w:rsid w:val="00A3421A"/>
    <w:rsid w:val="00A3429E"/>
    <w:rsid w:val="00A344D8"/>
    <w:rsid w:val="00A34533"/>
    <w:rsid w:val="00A34926"/>
    <w:rsid w:val="00A34C7E"/>
    <w:rsid w:val="00A34FCE"/>
    <w:rsid w:val="00A35458"/>
    <w:rsid w:val="00A354D9"/>
    <w:rsid w:val="00A35B35"/>
    <w:rsid w:val="00A35EF5"/>
    <w:rsid w:val="00A35FEC"/>
    <w:rsid w:val="00A362A8"/>
    <w:rsid w:val="00A36429"/>
    <w:rsid w:val="00A3653D"/>
    <w:rsid w:val="00A36A72"/>
    <w:rsid w:val="00A36C9A"/>
    <w:rsid w:val="00A36D32"/>
    <w:rsid w:val="00A36EAA"/>
    <w:rsid w:val="00A36FC1"/>
    <w:rsid w:val="00A37318"/>
    <w:rsid w:val="00A375AF"/>
    <w:rsid w:val="00A37925"/>
    <w:rsid w:val="00A37A4D"/>
    <w:rsid w:val="00A37B81"/>
    <w:rsid w:val="00A37BA6"/>
    <w:rsid w:val="00A37C36"/>
    <w:rsid w:val="00A37D2A"/>
    <w:rsid w:val="00A37DB5"/>
    <w:rsid w:val="00A400BF"/>
    <w:rsid w:val="00A40235"/>
    <w:rsid w:val="00A40301"/>
    <w:rsid w:val="00A403BB"/>
    <w:rsid w:val="00A405BB"/>
    <w:rsid w:val="00A40653"/>
    <w:rsid w:val="00A40654"/>
    <w:rsid w:val="00A4066C"/>
    <w:rsid w:val="00A40746"/>
    <w:rsid w:val="00A40B85"/>
    <w:rsid w:val="00A40D39"/>
    <w:rsid w:val="00A4105A"/>
    <w:rsid w:val="00A410EC"/>
    <w:rsid w:val="00A41122"/>
    <w:rsid w:val="00A4115F"/>
    <w:rsid w:val="00A41189"/>
    <w:rsid w:val="00A411E1"/>
    <w:rsid w:val="00A418CB"/>
    <w:rsid w:val="00A41F58"/>
    <w:rsid w:val="00A42264"/>
    <w:rsid w:val="00A42445"/>
    <w:rsid w:val="00A42585"/>
    <w:rsid w:val="00A4285E"/>
    <w:rsid w:val="00A42D42"/>
    <w:rsid w:val="00A42E07"/>
    <w:rsid w:val="00A43E3E"/>
    <w:rsid w:val="00A43EB4"/>
    <w:rsid w:val="00A43F57"/>
    <w:rsid w:val="00A44909"/>
    <w:rsid w:val="00A44F2E"/>
    <w:rsid w:val="00A45291"/>
    <w:rsid w:val="00A4539E"/>
    <w:rsid w:val="00A45C83"/>
    <w:rsid w:val="00A4662D"/>
    <w:rsid w:val="00A4663F"/>
    <w:rsid w:val="00A4670C"/>
    <w:rsid w:val="00A467D0"/>
    <w:rsid w:val="00A46AFE"/>
    <w:rsid w:val="00A46BB3"/>
    <w:rsid w:val="00A46E30"/>
    <w:rsid w:val="00A46E5A"/>
    <w:rsid w:val="00A46F47"/>
    <w:rsid w:val="00A47164"/>
    <w:rsid w:val="00A4722B"/>
    <w:rsid w:val="00A47497"/>
    <w:rsid w:val="00A477BF"/>
    <w:rsid w:val="00A47A53"/>
    <w:rsid w:val="00A47E57"/>
    <w:rsid w:val="00A47F55"/>
    <w:rsid w:val="00A50B43"/>
    <w:rsid w:val="00A50CC1"/>
    <w:rsid w:val="00A50DC6"/>
    <w:rsid w:val="00A51064"/>
    <w:rsid w:val="00A51079"/>
    <w:rsid w:val="00A511F9"/>
    <w:rsid w:val="00A51BE5"/>
    <w:rsid w:val="00A52103"/>
    <w:rsid w:val="00A5217F"/>
    <w:rsid w:val="00A5244A"/>
    <w:rsid w:val="00A526DF"/>
    <w:rsid w:val="00A529CC"/>
    <w:rsid w:val="00A52CBB"/>
    <w:rsid w:val="00A53132"/>
    <w:rsid w:val="00A531CD"/>
    <w:rsid w:val="00A53273"/>
    <w:rsid w:val="00A53365"/>
    <w:rsid w:val="00A533B2"/>
    <w:rsid w:val="00A53AB6"/>
    <w:rsid w:val="00A53C15"/>
    <w:rsid w:val="00A53C68"/>
    <w:rsid w:val="00A53CD9"/>
    <w:rsid w:val="00A546F4"/>
    <w:rsid w:val="00A54A89"/>
    <w:rsid w:val="00A54C5C"/>
    <w:rsid w:val="00A54D1A"/>
    <w:rsid w:val="00A54E6E"/>
    <w:rsid w:val="00A550C5"/>
    <w:rsid w:val="00A55274"/>
    <w:rsid w:val="00A556F7"/>
    <w:rsid w:val="00A55770"/>
    <w:rsid w:val="00A55930"/>
    <w:rsid w:val="00A55BCB"/>
    <w:rsid w:val="00A5640D"/>
    <w:rsid w:val="00A567A4"/>
    <w:rsid w:val="00A56815"/>
    <w:rsid w:val="00A57375"/>
    <w:rsid w:val="00A57D28"/>
    <w:rsid w:val="00A57EC6"/>
    <w:rsid w:val="00A57ED4"/>
    <w:rsid w:val="00A60154"/>
    <w:rsid w:val="00A60197"/>
    <w:rsid w:val="00A605E3"/>
    <w:rsid w:val="00A60850"/>
    <w:rsid w:val="00A60A3A"/>
    <w:rsid w:val="00A60BD4"/>
    <w:rsid w:val="00A60CC7"/>
    <w:rsid w:val="00A60FF8"/>
    <w:rsid w:val="00A613C9"/>
    <w:rsid w:val="00A61477"/>
    <w:rsid w:val="00A614CB"/>
    <w:rsid w:val="00A61553"/>
    <w:rsid w:val="00A61584"/>
    <w:rsid w:val="00A6184A"/>
    <w:rsid w:val="00A6197D"/>
    <w:rsid w:val="00A61C73"/>
    <w:rsid w:val="00A61DF4"/>
    <w:rsid w:val="00A62013"/>
    <w:rsid w:val="00A623DE"/>
    <w:rsid w:val="00A62930"/>
    <w:rsid w:val="00A62A4D"/>
    <w:rsid w:val="00A62D83"/>
    <w:rsid w:val="00A63057"/>
    <w:rsid w:val="00A6325B"/>
    <w:rsid w:val="00A63350"/>
    <w:rsid w:val="00A635C3"/>
    <w:rsid w:val="00A63613"/>
    <w:rsid w:val="00A63674"/>
    <w:rsid w:val="00A63691"/>
    <w:rsid w:val="00A63A45"/>
    <w:rsid w:val="00A63B4C"/>
    <w:rsid w:val="00A63D92"/>
    <w:rsid w:val="00A64149"/>
    <w:rsid w:val="00A641CF"/>
    <w:rsid w:val="00A6451E"/>
    <w:rsid w:val="00A64873"/>
    <w:rsid w:val="00A64A2E"/>
    <w:rsid w:val="00A64DD2"/>
    <w:rsid w:val="00A653B2"/>
    <w:rsid w:val="00A65591"/>
    <w:rsid w:val="00A65603"/>
    <w:rsid w:val="00A657E1"/>
    <w:rsid w:val="00A65854"/>
    <w:rsid w:val="00A65B91"/>
    <w:rsid w:val="00A65FE6"/>
    <w:rsid w:val="00A661DB"/>
    <w:rsid w:val="00A66656"/>
    <w:rsid w:val="00A66711"/>
    <w:rsid w:val="00A66A23"/>
    <w:rsid w:val="00A66A3C"/>
    <w:rsid w:val="00A66D7D"/>
    <w:rsid w:val="00A6718C"/>
    <w:rsid w:val="00A67305"/>
    <w:rsid w:val="00A673B6"/>
    <w:rsid w:val="00A67818"/>
    <w:rsid w:val="00A67AE6"/>
    <w:rsid w:val="00A67C1D"/>
    <w:rsid w:val="00A700EA"/>
    <w:rsid w:val="00A7017E"/>
    <w:rsid w:val="00A70365"/>
    <w:rsid w:val="00A709CA"/>
    <w:rsid w:val="00A70BE5"/>
    <w:rsid w:val="00A70C79"/>
    <w:rsid w:val="00A70F67"/>
    <w:rsid w:val="00A7130C"/>
    <w:rsid w:val="00A7143A"/>
    <w:rsid w:val="00A715ED"/>
    <w:rsid w:val="00A71973"/>
    <w:rsid w:val="00A71C50"/>
    <w:rsid w:val="00A71C5C"/>
    <w:rsid w:val="00A71CA7"/>
    <w:rsid w:val="00A71E90"/>
    <w:rsid w:val="00A72074"/>
    <w:rsid w:val="00A72214"/>
    <w:rsid w:val="00A72618"/>
    <w:rsid w:val="00A729CF"/>
    <w:rsid w:val="00A729E6"/>
    <w:rsid w:val="00A72ACF"/>
    <w:rsid w:val="00A72D52"/>
    <w:rsid w:val="00A72F73"/>
    <w:rsid w:val="00A731F3"/>
    <w:rsid w:val="00A7325A"/>
    <w:rsid w:val="00A734CE"/>
    <w:rsid w:val="00A74532"/>
    <w:rsid w:val="00A745C6"/>
    <w:rsid w:val="00A746BF"/>
    <w:rsid w:val="00A747BB"/>
    <w:rsid w:val="00A7481B"/>
    <w:rsid w:val="00A7485D"/>
    <w:rsid w:val="00A74999"/>
    <w:rsid w:val="00A74EA7"/>
    <w:rsid w:val="00A74F20"/>
    <w:rsid w:val="00A75AB7"/>
    <w:rsid w:val="00A75C66"/>
    <w:rsid w:val="00A7607A"/>
    <w:rsid w:val="00A76230"/>
    <w:rsid w:val="00A76658"/>
    <w:rsid w:val="00A76896"/>
    <w:rsid w:val="00A76918"/>
    <w:rsid w:val="00A76C40"/>
    <w:rsid w:val="00A76D11"/>
    <w:rsid w:val="00A76EB1"/>
    <w:rsid w:val="00A76FBA"/>
    <w:rsid w:val="00A771ED"/>
    <w:rsid w:val="00A77611"/>
    <w:rsid w:val="00A7784C"/>
    <w:rsid w:val="00A80237"/>
    <w:rsid w:val="00A80442"/>
    <w:rsid w:val="00A807CE"/>
    <w:rsid w:val="00A80917"/>
    <w:rsid w:val="00A80D30"/>
    <w:rsid w:val="00A81217"/>
    <w:rsid w:val="00A8132A"/>
    <w:rsid w:val="00A8185F"/>
    <w:rsid w:val="00A81D67"/>
    <w:rsid w:val="00A81DB2"/>
    <w:rsid w:val="00A81EF3"/>
    <w:rsid w:val="00A822FA"/>
    <w:rsid w:val="00A82393"/>
    <w:rsid w:val="00A825FE"/>
    <w:rsid w:val="00A828D8"/>
    <w:rsid w:val="00A83196"/>
    <w:rsid w:val="00A8344B"/>
    <w:rsid w:val="00A8348E"/>
    <w:rsid w:val="00A8360E"/>
    <w:rsid w:val="00A83826"/>
    <w:rsid w:val="00A8392A"/>
    <w:rsid w:val="00A839F7"/>
    <w:rsid w:val="00A83A5A"/>
    <w:rsid w:val="00A83DB1"/>
    <w:rsid w:val="00A84034"/>
    <w:rsid w:val="00A840A2"/>
    <w:rsid w:val="00A84143"/>
    <w:rsid w:val="00A84498"/>
    <w:rsid w:val="00A848FC"/>
    <w:rsid w:val="00A85137"/>
    <w:rsid w:val="00A8520F"/>
    <w:rsid w:val="00A856F7"/>
    <w:rsid w:val="00A859C0"/>
    <w:rsid w:val="00A85F19"/>
    <w:rsid w:val="00A86A93"/>
    <w:rsid w:val="00A86C95"/>
    <w:rsid w:val="00A87405"/>
    <w:rsid w:val="00A87782"/>
    <w:rsid w:val="00A8785F"/>
    <w:rsid w:val="00A87AF5"/>
    <w:rsid w:val="00A87B9B"/>
    <w:rsid w:val="00A87C9D"/>
    <w:rsid w:val="00A87FA7"/>
    <w:rsid w:val="00A90A66"/>
    <w:rsid w:val="00A90C83"/>
    <w:rsid w:val="00A9139A"/>
    <w:rsid w:val="00A91812"/>
    <w:rsid w:val="00A91B40"/>
    <w:rsid w:val="00A91D32"/>
    <w:rsid w:val="00A922B2"/>
    <w:rsid w:val="00A923D7"/>
    <w:rsid w:val="00A92432"/>
    <w:rsid w:val="00A92A48"/>
    <w:rsid w:val="00A93480"/>
    <w:rsid w:val="00A93703"/>
    <w:rsid w:val="00A93949"/>
    <w:rsid w:val="00A93A0E"/>
    <w:rsid w:val="00A93AFC"/>
    <w:rsid w:val="00A93E24"/>
    <w:rsid w:val="00A94123"/>
    <w:rsid w:val="00A94854"/>
    <w:rsid w:val="00A94912"/>
    <w:rsid w:val="00A94B95"/>
    <w:rsid w:val="00A94EE7"/>
    <w:rsid w:val="00A957E4"/>
    <w:rsid w:val="00A95B0A"/>
    <w:rsid w:val="00A9636E"/>
    <w:rsid w:val="00A963FF"/>
    <w:rsid w:val="00A96582"/>
    <w:rsid w:val="00A965E7"/>
    <w:rsid w:val="00A9662E"/>
    <w:rsid w:val="00A9683A"/>
    <w:rsid w:val="00A96C92"/>
    <w:rsid w:val="00A96D53"/>
    <w:rsid w:val="00A96E89"/>
    <w:rsid w:val="00A96F4B"/>
    <w:rsid w:val="00A96F74"/>
    <w:rsid w:val="00A970FC"/>
    <w:rsid w:val="00A97187"/>
    <w:rsid w:val="00A971BE"/>
    <w:rsid w:val="00A97AA6"/>
    <w:rsid w:val="00A97DB2"/>
    <w:rsid w:val="00AA05F5"/>
    <w:rsid w:val="00AA0625"/>
    <w:rsid w:val="00AA0681"/>
    <w:rsid w:val="00AA0706"/>
    <w:rsid w:val="00AA078B"/>
    <w:rsid w:val="00AA0C14"/>
    <w:rsid w:val="00AA1030"/>
    <w:rsid w:val="00AA1751"/>
    <w:rsid w:val="00AA17AA"/>
    <w:rsid w:val="00AA196F"/>
    <w:rsid w:val="00AA1E0F"/>
    <w:rsid w:val="00AA2141"/>
    <w:rsid w:val="00AA21B5"/>
    <w:rsid w:val="00AA22E3"/>
    <w:rsid w:val="00AA27AE"/>
    <w:rsid w:val="00AA2909"/>
    <w:rsid w:val="00AA32EF"/>
    <w:rsid w:val="00AA3994"/>
    <w:rsid w:val="00AA3E44"/>
    <w:rsid w:val="00AA4164"/>
    <w:rsid w:val="00AA41A9"/>
    <w:rsid w:val="00AA41D3"/>
    <w:rsid w:val="00AA4415"/>
    <w:rsid w:val="00AA511A"/>
    <w:rsid w:val="00AA52F5"/>
    <w:rsid w:val="00AA5497"/>
    <w:rsid w:val="00AA54F8"/>
    <w:rsid w:val="00AA5576"/>
    <w:rsid w:val="00AA5CE2"/>
    <w:rsid w:val="00AA5F13"/>
    <w:rsid w:val="00AA606C"/>
    <w:rsid w:val="00AA65BA"/>
    <w:rsid w:val="00AA6CF2"/>
    <w:rsid w:val="00AA70D4"/>
    <w:rsid w:val="00AA7434"/>
    <w:rsid w:val="00AA74F5"/>
    <w:rsid w:val="00AA768F"/>
    <w:rsid w:val="00AA76DC"/>
    <w:rsid w:val="00AA7DA7"/>
    <w:rsid w:val="00AB02EF"/>
    <w:rsid w:val="00AB141D"/>
    <w:rsid w:val="00AB15A2"/>
    <w:rsid w:val="00AB16A4"/>
    <w:rsid w:val="00AB1763"/>
    <w:rsid w:val="00AB17A4"/>
    <w:rsid w:val="00AB1C60"/>
    <w:rsid w:val="00AB1C80"/>
    <w:rsid w:val="00AB1CEA"/>
    <w:rsid w:val="00AB2357"/>
    <w:rsid w:val="00AB2470"/>
    <w:rsid w:val="00AB2B24"/>
    <w:rsid w:val="00AB2CA1"/>
    <w:rsid w:val="00AB2D6F"/>
    <w:rsid w:val="00AB3583"/>
    <w:rsid w:val="00AB37F7"/>
    <w:rsid w:val="00AB3AAF"/>
    <w:rsid w:val="00AB411C"/>
    <w:rsid w:val="00AB413B"/>
    <w:rsid w:val="00AB42E0"/>
    <w:rsid w:val="00AB4894"/>
    <w:rsid w:val="00AB4CD6"/>
    <w:rsid w:val="00AB4D9F"/>
    <w:rsid w:val="00AB5507"/>
    <w:rsid w:val="00AB58EB"/>
    <w:rsid w:val="00AB5D2C"/>
    <w:rsid w:val="00AB6111"/>
    <w:rsid w:val="00AB61BF"/>
    <w:rsid w:val="00AB6302"/>
    <w:rsid w:val="00AB65DE"/>
    <w:rsid w:val="00AB6EEF"/>
    <w:rsid w:val="00AB72D8"/>
    <w:rsid w:val="00AB778F"/>
    <w:rsid w:val="00AB7E95"/>
    <w:rsid w:val="00AB7F6B"/>
    <w:rsid w:val="00AB7F90"/>
    <w:rsid w:val="00AC01AA"/>
    <w:rsid w:val="00AC02B7"/>
    <w:rsid w:val="00AC0897"/>
    <w:rsid w:val="00AC0934"/>
    <w:rsid w:val="00AC0B58"/>
    <w:rsid w:val="00AC0BF1"/>
    <w:rsid w:val="00AC0D99"/>
    <w:rsid w:val="00AC1035"/>
    <w:rsid w:val="00AC10E6"/>
    <w:rsid w:val="00AC11F0"/>
    <w:rsid w:val="00AC1A56"/>
    <w:rsid w:val="00AC1C7D"/>
    <w:rsid w:val="00AC2032"/>
    <w:rsid w:val="00AC2039"/>
    <w:rsid w:val="00AC237D"/>
    <w:rsid w:val="00AC2C33"/>
    <w:rsid w:val="00AC3733"/>
    <w:rsid w:val="00AC3879"/>
    <w:rsid w:val="00AC3C49"/>
    <w:rsid w:val="00AC3DD9"/>
    <w:rsid w:val="00AC3E03"/>
    <w:rsid w:val="00AC4085"/>
    <w:rsid w:val="00AC42F5"/>
    <w:rsid w:val="00AC4703"/>
    <w:rsid w:val="00AC4BC7"/>
    <w:rsid w:val="00AC4BFE"/>
    <w:rsid w:val="00AC4DC4"/>
    <w:rsid w:val="00AC52E8"/>
    <w:rsid w:val="00AC532C"/>
    <w:rsid w:val="00AC543E"/>
    <w:rsid w:val="00AC5724"/>
    <w:rsid w:val="00AC5BA3"/>
    <w:rsid w:val="00AC5E79"/>
    <w:rsid w:val="00AC5EA7"/>
    <w:rsid w:val="00AC5FE7"/>
    <w:rsid w:val="00AC6664"/>
    <w:rsid w:val="00AC6E5D"/>
    <w:rsid w:val="00AC6F5E"/>
    <w:rsid w:val="00AC728A"/>
    <w:rsid w:val="00AD02E1"/>
    <w:rsid w:val="00AD0483"/>
    <w:rsid w:val="00AD084F"/>
    <w:rsid w:val="00AD0966"/>
    <w:rsid w:val="00AD09D1"/>
    <w:rsid w:val="00AD0B1C"/>
    <w:rsid w:val="00AD0C80"/>
    <w:rsid w:val="00AD0CAC"/>
    <w:rsid w:val="00AD0DB4"/>
    <w:rsid w:val="00AD1185"/>
    <w:rsid w:val="00AD175A"/>
    <w:rsid w:val="00AD1E05"/>
    <w:rsid w:val="00AD1E1F"/>
    <w:rsid w:val="00AD1F23"/>
    <w:rsid w:val="00AD1F33"/>
    <w:rsid w:val="00AD206C"/>
    <w:rsid w:val="00AD21FA"/>
    <w:rsid w:val="00AD251F"/>
    <w:rsid w:val="00AD25A5"/>
    <w:rsid w:val="00AD2618"/>
    <w:rsid w:val="00AD269B"/>
    <w:rsid w:val="00AD28BF"/>
    <w:rsid w:val="00AD2AE7"/>
    <w:rsid w:val="00AD2AF4"/>
    <w:rsid w:val="00AD2D80"/>
    <w:rsid w:val="00AD30F5"/>
    <w:rsid w:val="00AD315B"/>
    <w:rsid w:val="00AD319A"/>
    <w:rsid w:val="00AD37AE"/>
    <w:rsid w:val="00AD38D5"/>
    <w:rsid w:val="00AD3BCB"/>
    <w:rsid w:val="00AD3EC6"/>
    <w:rsid w:val="00AD4041"/>
    <w:rsid w:val="00AD466B"/>
    <w:rsid w:val="00AD477C"/>
    <w:rsid w:val="00AD4890"/>
    <w:rsid w:val="00AD497F"/>
    <w:rsid w:val="00AD49BF"/>
    <w:rsid w:val="00AD4C32"/>
    <w:rsid w:val="00AD4E19"/>
    <w:rsid w:val="00AD50BB"/>
    <w:rsid w:val="00AD516C"/>
    <w:rsid w:val="00AD565F"/>
    <w:rsid w:val="00AD59FE"/>
    <w:rsid w:val="00AD5AFD"/>
    <w:rsid w:val="00AD5C84"/>
    <w:rsid w:val="00AD5D82"/>
    <w:rsid w:val="00AD5F19"/>
    <w:rsid w:val="00AD5FAD"/>
    <w:rsid w:val="00AD6542"/>
    <w:rsid w:val="00AD66EF"/>
    <w:rsid w:val="00AD6F59"/>
    <w:rsid w:val="00AD716B"/>
    <w:rsid w:val="00AD7277"/>
    <w:rsid w:val="00AD7291"/>
    <w:rsid w:val="00AD75D6"/>
    <w:rsid w:val="00AD76A7"/>
    <w:rsid w:val="00AE00B8"/>
    <w:rsid w:val="00AE056E"/>
    <w:rsid w:val="00AE075A"/>
    <w:rsid w:val="00AE0792"/>
    <w:rsid w:val="00AE07CD"/>
    <w:rsid w:val="00AE0B96"/>
    <w:rsid w:val="00AE114C"/>
    <w:rsid w:val="00AE144E"/>
    <w:rsid w:val="00AE14E3"/>
    <w:rsid w:val="00AE162F"/>
    <w:rsid w:val="00AE1A04"/>
    <w:rsid w:val="00AE1A46"/>
    <w:rsid w:val="00AE1EE9"/>
    <w:rsid w:val="00AE2103"/>
    <w:rsid w:val="00AE2FF6"/>
    <w:rsid w:val="00AE3173"/>
    <w:rsid w:val="00AE3542"/>
    <w:rsid w:val="00AE3840"/>
    <w:rsid w:val="00AE39D5"/>
    <w:rsid w:val="00AE4214"/>
    <w:rsid w:val="00AE42F9"/>
    <w:rsid w:val="00AE444B"/>
    <w:rsid w:val="00AE45A1"/>
    <w:rsid w:val="00AE45F1"/>
    <w:rsid w:val="00AE4654"/>
    <w:rsid w:val="00AE479A"/>
    <w:rsid w:val="00AE498A"/>
    <w:rsid w:val="00AE49D9"/>
    <w:rsid w:val="00AE4EF1"/>
    <w:rsid w:val="00AE4FC0"/>
    <w:rsid w:val="00AE54D7"/>
    <w:rsid w:val="00AE56D1"/>
    <w:rsid w:val="00AE59EB"/>
    <w:rsid w:val="00AE5D25"/>
    <w:rsid w:val="00AE63EA"/>
    <w:rsid w:val="00AE68BC"/>
    <w:rsid w:val="00AE69C7"/>
    <w:rsid w:val="00AE6A78"/>
    <w:rsid w:val="00AE6B0A"/>
    <w:rsid w:val="00AE6CA4"/>
    <w:rsid w:val="00AE723E"/>
    <w:rsid w:val="00AE72BA"/>
    <w:rsid w:val="00AE7364"/>
    <w:rsid w:val="00AE741E"/>
    <w:rsid w:val="00AE7675"/>
    <w:rsid w:val="00AE76F6"/>
    <w:rsid w:val="00AF0231"/>
    <w:rsid w:val="00AF02DD"/>
    <w:rsid w:val="00AF0882"/>
    <w:rsid w:val="00AF0935"/>
    <w:rsid w:val="00AF0C7B"/>
    <w:rsid w:val="00AF1331"/>
    <w:rsid w:val="00AF1397"/>
    <w:rsid w:val="00AF1472"/>
    <w:rsid w:val="00AF1AD5"/>
    <w:rsid w:val="00AF1EB5"/>
    <w:rsid w:val="00AF2056"/>
    <w:rsid w:val="00AF2466"/>
    <w:rsid w:val="00AF25F5"/>
    <w:rsid w:val="00AF29FC"/>
    <w:rsid w:val="00AF2E29"/>
    <w:rsid w:val="00AF317E"/>
    <w:rsid w:val="00AF333E"/>
    <w:rsid w:val="00AF3583"/>
    <w:rsid w:val="00AF35C2"/>
    <w:rsid w:val="00AF3AE8"/>
    <w:rsid w:val="00AF3CD5"/>
    <w:rsid w:val="00AF3DBE"/>
    <w:rsid w:val="00AF4006"/>
    <w:rsid w:val="00AF4067"/>
    <w:rsid w:val="00AF46A2"/>
    <w:rsid w:val="00AF47E2"/>
    <w:rsid w:val="00AF4B9A"/>
    <w:rsid w:val="00AF5351"/>
    <w:rsid w:val="00AF53C6"/>
    <w:rsid w:val="00AF56FD"/>
    <w:rsid w:val="00AF58C7"/>
    <w:rsid w:val="00AF5C3F"/>
    <w:rsid w:val="00AF613A"/>
    <w:rsid w:val="00AF659C"/>
    <w:rsid w:val="00AF6B3E"/>
    <w:rsid w:val="00AF6BBD"/>
    <w:rsid w:val="00AF6FD1"/>
    <w:rsid w:val="00AF6FDD"/>
    <w:rsid w:val="00AF7069"/>
    <w:rsid w:val="00AF72CF"/>
    <w:rsid w:val="00AF76D5"/>
    <w:rsid w:val="00AF7A56"/>
    <w:rsid w:val="00B00282"/>
    <w:rsid w:val="00B01294"/>
    <w:rsid w:val="00B01752"/>
    <w:rsid w:val="00B01A2F"/>
    <w:rsid w:val="00B02BCC"/>
    <w:rsid w:val="00B02DCA"/>
    <w:rsid w:val="00B02E3C"/>
    <w:rsid w:val="00B02FF1"/>
    <w:rsid w:val="00B03088"/>
    <w:rsid w:val="00B032A4"/>
    <w:rsid w:val="00B03374"/>
    <w:rsid w:val="00B03968"/>
    <w:rsid w:val="00B03B4E"/>
    <w:rsid w:val="00B04277"/>
    <w:rsid w:val="00B042CB"/>
    <w:rsid w:val="00B0470A"/>
    <w:rsid w:val="00B04BBB"/>
    <w:rsid w:val="00B04C37"/>
    <w:rsid w:val="00B04D6E"/>
    <w:rsid w:val="00B050D5"/>
    <w:rsid w:val="00B05142"/>
    <w:rsid w:val="00B05748"/>
    <w:rsid w:val="00B05E06"/>
    <w:rsid w:val="00B063E3"/>
    <w:rsid w:val="00B0667B"/>
    <w:rsid w:val="00B06BBA"/>
    <w:rsid w:val="00B06C4D"/>
    <w:rsid w:val="00B07133"/>
    <w:rsid w:val="00B07203"/>
    <w:rsid w:val="00B07856"/>
    <w:rsid w:val="00B079B5"/>
    <w:rsid w:val="00B07BB1"/>
    <w:rsid w:val="00B07FFB"/>
    <w:rsid w:val="00B100B7"/>
    <w:rsid w:val="00B10189"/>
    <w:rsid w:val="00B1026C"/>
    <w:rsid w:val="00B10852"/>
    <w:rsid w:val="00B1109E"/>
    <w:rsid w:val="00B1131C"/>
    <w:rsid w:val="00B1133C"/>
    <w:rsid w:val="00B11571"/>
    <w:rsid w:val="00B116BA"/>
    <w:rsid w:val="00B116C5"/>
    <w:rsid w:val="00B11DB9"/>
    <w:rsid w:val="00B11E65"/>
    <w:rsid w:val="00B11EFF"/>
    <w:rsid w:val="00B11F4E"/>
    <w:rsid w:val="00B11FB2"/>
    <w:rsid w:val="00B1237B"/>
    <w:rsid w:val="00B128C1"/>
    <w:rsid w:val="00B1311B"/>
    <w:rsid w:val="00B13156"/>
    <w:rsid w:val="00B13334"/>
    <w:rsid w:val="00B134EC"/>
    <w:rsid w:val="00B13731"/>
    <w:rsid w:val="00B13A93"/>
    <w:rsid w:val="00B1402E"/>
    <w:rsid w:val="00B141F5"/>
    <w:rsid w:val="00B1485A"/>
    <w:rsid w:val="00B14B2E"/>
    <w:rsid w:val="00B14D7A"/>
    <w:rsid w:val="00B14E9D"/>
    <w:rsid w:val="00B15438"/>
    <w:rsid w:val="00B15684"/>
    <w:rsid w:val="00B16111"/>
    <w:rsid w:val="00B161E7"/>
    <w:rsid w:val="00B165D3"/>
    <w:rsid w:val="00B16608"/>
    <w:rsid w:val="00B1666C"/>
    <w:rsid w:val="00B16E75"/>
    <w:rsid w:val="00B17380"/>
    <w:rsid w:val="00B177FB"/>
    <w:rsid w:val="00B17DFD"/>
    <w:rsid w:val="00B17EF5"/>
    <w:rsid w:val="00B20654"/>
    <w:rsid w:val="00B20BA4"/>
    <w:rsid w:val="00B20D3D"/>
    <w:rsid w:val="00B20DCC"/>
    <w:rsid w:val="00B2109B"/>
    <w:rsid w:val="00B210CC"/>
    <w:rsid w:val="00B2131B"/>
    <w:rsid w:val="00B2131F"/>
    <w:rsid w:val="00B2162F"/>
    <w:rsid w:val="00B21B9C"/>
    <w:rsid w:val="00B21C8D"/>
    <w:rsid w:val="00B21F5C"/>
    <w:rsid w:val="00B22134"/>
    <w:rsid w:val="00B22190"/>
    <w:rsid w:val="00B22466"/>
    <w:rsid w:val="00B22924"/>
    <w:rsid w:val="00B22D70"/>
    <w:rsid w:val="00B22DE6"/>
    <w:rsid w:val="00B23242"/>
    <w:rsid w:val="00B2380F"/>
    <w:rsid w:val="00B23940"/>
    <w:rsid w:val="00B23C1B"/>
    <w:rsid w:val="00B24965"/>
    <w:rsid w:val="00B24A9A"/>
    <w:rsid w:val="00B24B59"/>
    <w:rsid w:val="00B24CBC"/>
    <w:rsid w:val="00B24E37"/>
    <w:rsid w:val="00B24EDC"/>
    <w:rsid w:val="00B24F24"/>
    <w:rsid w:val="00B24F6B"/>
    <w:rsid w:val="00B24FED"/>
    <w:rsid w:val="00B24FFD"/>
    <w:rsid w:val="00B25181"/>
    <w:rsid w:val="00B258DC"/>
    <w:rsid w:val="00B259F6"/>
    <w:rsid w:val="00B25A78"/>
    <w:rsid w:val="00B2609F"/>
    <w:rsid w:val="00B26CDD"/>
    <w:rsid w:val="00B27513"/>
    <w:rsid w:val="00B27609"/>
    <w:rsid w:val="00B279F4"/>
    <w:rsid w:val="00B27D57"/>
    <w:rsid w:val="00B30098"/>
    <w:rsid w:val="00B301B0"/>
    <w:rsid w:val="00B304D0"/>
    <w:rsid w:val="00B307A7"/>
    <w:rsid w:val="00B30B87"/>
    <w:rsid w:val="00B30E69"/>
    <w:rsid w:val="00B3154A"/>
    <w:rsid w:val="00B31A8D"/>
    <w:rsid w:val="00B31B3D"/>
    <w:rsid w:val="00B320A6"/>
    <w:rsid w:val="00B32566"/>
    <w:rsid w:val="00B32A3E"/>
    <w:rsid w:val="00B32CA4"/>
    <w:rsid w:val="00B32F8F"/>
    <w:rsid w:val="00B335F5"/>
    <w:rsid w:val="00B33855"/>
    <w:rsid w:val="00B33E7E"/>
    <w:rsid w:val="00B341D2"/>
    <w:rsid w:val="00B34E11"/>
    <w:rsid w:val="00B35040"/>
    <w:rsid w:val="00B35088"/>
    <w:rsid w:val="00B358C6"/>
    <w:rsid w:val="00B35980"/>
    <w:rsid w:val="00B35C81"/>
    <w:rsid w:val="00B360E4"/>
    <w:rsid w:val="00B364E5"/>
    <w:rsid w:val="00B369C7"/>
    <w:rsid w:val="00B36C71"/>
    <w:rsid w:val="00B370DC"/>
    <w:rsid w:val="00B372E0"/>
    <w:rsid w:val="00B37460"/>
    <w:rsid w:val="00B37610"/>
    <w:rsid w:val="00B3766C"/>
    <w:rsid w:val="00B37782"/>
    <w:rsid w:val="00B37FD0"/>
    <w:rsid w:val="00B37FE8"/>
    <w:rsid w:val="00B40215"/>
    <w:rsid w:val="00B4026A"/>
    <w:rsid w:val="00B4029C"/>
    <w:rsid w:val="00B40361"/>
    <w:rsid w:val="00B403E1"/>
    <w:rsid w:val="00B4041E"/>
    <w:rsid w:val="00B406A7"/>
    <w:rsid w:val="00B40B76"/>
    <w:rsid w:val="00B41368"/>
    <w:rsid w:val="00B41624"/>
    <w:rsid w:val="00B42238"/>
    <w:rsid w:val="00B426D0"/>
    <w:rsid w:val="00B4281E"/>
    <w:rsid w:val="00B42950"/>
    <w:rsid w:val="00B42989"/>
    <w:rsid w:val="00B42AD8"/>
    <w:rsid w:val="00B42CD2"/>
    <w:rsid w:val="00B43422"/>
    <w:rsid w:val="00B4381B"/>
    <w:rsid w:val="00B4425C"/>
    <w:rsid w:val="00B4435D"/>
    <w:rsid w:val="00B443A7"/>
    <w:rsid w:val="00B4448A"/>
    <w:rsid w:val="00B44896"/>
    <w:rsid w:val="00B448C3"/>
    <w:rsid w:val="00B44FF3"/>
    <w:rsid w:val="00B4501D"/>
    <w:rsid w:val="00B4505D"/>
    <w:rsid w:val="00B46743"/>
    <w:rsid w:val="00B46BB8"/>
    <w:rsid w:val="00B46C66"/>
    <w:rsid w:val="00B46E62"/>
    <w:rsid w:val="00B4776A"/>
    <w:rsid w:val="00B477EC"/>
    <w:rsid w:val="00B500DE"/>
    <w:rsid w:val="00B50694"/>
    <w:rsid w:val="00B50F64"/>
    <w:rsid w:val="00B510C6"/>
    <w:rsid w:val="00B5122B"/>
    <w:rsid w:val="00B51562"/>
    <w:rsid w:val="00B51A8C"/>
    <w:rsid w:val="00B523D5"/>
    <w:rsid w:val="00B52906"/>
    <w:rsid w:val="00B52B3F"/>
    <w:rsid w:val="00B53310"/>
    <w:rsid w:val="00B53435"/>
    <w:rsid w:val="00B5378B"/>
    <w:rsid w:val="00B53CD0"/>
    <w:rsid w:val="00B53E46"/>
    <w:rsid w:val="00B547F0"/>
    <w:rsid w:val="00B547FF"/>
    <w:rsid w:val="00B5483F"/>
    <w:rsid w:val="00B54874"/>
    <w:rsid w:val="00B54B03"/>
    <w:rsid w:val="00B54B1C"/>
    <w:rsid w:val="00B54BAA"/>
    <w:rsid w:val="00B54DE9"/>
    <w:rsid w:val="00B54E4E"/>
    <w:rsid w:val="00B54FFD"/>
    <w:rsid w:val="00B552ED"/>
    <w:rsid w:val="00B5571F"/>
    <w:rsid w:val="00B55783"/>
    <w:rsid w:val="00B55BCC"/>
    <w:rsid w:val="00B55E29"/>
    <w:rsid w:val="00B563BB"/>
    <w:rsid w:val="00B56983"/>
    <w:rsid w:val="00B56ABA"/>
    <w:rsid w:val="00B56AD4"/>
    <w:rsid w:val="00B56C2A"/>
    <w:rsid w:val="00B577EA"/>
    <w:rsid w:val="00B57DDD"/>
    <w:rsid w:val="00B60007"/>
    <w:rsid w:val="00B60467"/>
    <w:rsid w:val="00B60763"/>
    <w:rsid w:val="00B60C23"/>
    <w:rsid w:val="00B60ED6"/>
    <w:rsid w:val="00B60F8E"/>
    <w:rsid w:val="00B619F1"/>
    <w:rsid w:val="00B61A8A"/>
    <w:rsid w:val="00B62424"/>
    <w:rsid w:val="00B6251E"/>
    <w:rsid w:val="00B62612"/>
    <w:rsid w:val="00B62B7D"/>
    <w:rsid w:val="00B62DEE"/>
    <w:rsid w:val="00B63174"/>
    <w:rsid w:val="00B63631"/>
    <w:rsid w:val="00B636BF"/>
    <w:rsid w:val="00B63CA8"/>
    <w:rsid w:val="00B640E4"/>
    <w:rsid w:val="00B642B1"/>
    <w:rsid w:val="00B6466C"/>
    <w:rsid w:val="00B648CF"/>
    <w:rsid w:val="00B64AF8"/>
    <w:rsid w:val="00B64B9C"/>
    <w:rsid w:val="00B64BF8"/>
    <w:rsid w:val="00B65056"/>
    <w:rsid w:val="00B6523B"/>
    <w:rsid w:val="00B65591"/>
    <w:rsid w:val="00B65A2E"/>
    <w:rsid w:val="00B65A47"/>
    <w:rsid w:val="00B6644E"/>
    <w:rsid w:val="00B66B2E"/>
    <w:rsid w:val="00B67044"/>
    <w:rsid w:val="00B6721F"/>
    <w:rsid w:val="00B67992"/>
    <w:rsid w:val="00B67C89"/>
    <w:rsid w:val="00B701C4"/>
    <w:rsid w:val="00B701D0"/>
    <w:rsid w:val="00B70664"/>
    <w:rsid w:val="00B70746"/>
    <w:rsid w:val="00B707D7"/>
    <w:rsid w:val="00B7080F"/>
    <w:rsid w:val="00B708DD"/>
    <w:rsid w:val="00B70BCB"/>
    <w:rsid w:val="00B70F28"/>
    <w:rsid w:val="00B712B7"/>
    <w:rsid w:val="00B71459"/>
    <w:rsid w:val="00B7168C"/>
    <w:rsid w:val="00B71761"/>
    <w:rsid w:val="00B719AD"/>
    <w:rsid w:val="00B72370"/>
    <w:rsid w:val="00B726C9"/>
    <w:rsid w:val="00B7272F"/>
    <w:rsid w:val="00B7273E"/>
    <w:rsid w:val="00B72CF8"/>
    <w:rsid w:val="00B73036"/>
    <w:rsid w:val="00B73B55"/>
    <w:rsid w:val="00B73C50"/>
    <w:rsid w:val="00B73D4C"/>
    <w:rsid w:val="00B73EAF"/>
    <w:rsid w:val="00B74289"/>
    <w:rsid w:val="00B74874"/>
    <w:rsid w:val="00B74A8A"/>
    <w:rsid w:val="00B74C9F"/>
    <w:rsid w:val="00B751E6"/>
    <w:rsid w:val="00B75471"/>
    <w:rsid w:val="00B7566E"/>
    <w:rsid w:val="00B75DA6"/>
    <w:rsid w:val="00B75DE6"/>
    <w:rsid w:val="00B75F20"/>
    <w:rsid w:val="00B76185"/>
    <w:rsid w:val="00B76849"/>
    <w:rsid w:val="00B76A68"/>
    <w:rsid w:val="00B7717E"/>
    <w:rsid w:val="00B7718C"/>
    <w:rsid w:val="00B775B1"/>
    <w:rsid w:val="00B778D5"/>
    <w:rsid w:val="00B77DEE"/>
    <w:rsid w:val="00B802F3"/>
    <w:rsid w:val="00B80637"/>
    <w:rsid w:val="00B807F5"/>
    <w:rsid w:val="00B80878"/>
    <w:rsid w:val="00B80E22"/>
    <w:rsid w:val="00B813B7"/>
    <w:rsid w:val="00B816B7"/>
    <w:rsid w:val="00B817C5"/>
    <w:rsid w:val="00B81993"/>
    <w:rsid w:val="00B819C5"/>
    <w:rsid w:val="00B81AEB"/>
    <w:rsid w:val="00B81CCB"/>
    <w:rsid w:val="00B81EB9"/>
    <w:rsid w:val="00B820BC"/>
    <w:rsid w:val="00B82178"/>
    <w:rsid w:val="00B8218B"/>
    <w:rsid w:val="00B82255"/>
    <w:rsid w:val="00B822EB"/>
    <w:rsid w:val="00B82364"/>
    <w:rsid w:val="00B830CF"/>
    <w:rsid w:val="00B83802"/>
    <w:rsid w:val="00B8389F"/>
    <w:rsid w:val="00B83AAB"/>
    <w:rsid w:val="00B84598"/>
    <w:rsid w:val="00B848E6"/>
    <w:rsid w:val="00B84B79"/>
    <w:rsid w:val="00B84DE1"/>
    <w:rsid w:val="00B8506A"/>
    <w:rsid w:val="00B852F1"/>
    <w:rsid w:val="00B852FA"/>
    <w:rsid w:val="00B8544D"/>
    <w:rsid w:val="00B85679"/>
    <w:rsid w:val="00B8584E"/>
    <w:rsid w:val="00B85867"/>
    <w:rsid w:val="00B858D9"/>
    <w:rsid w:val="00B85A7E"/>
    <w:rsid w:val="00B86701"/>
    <w:rsid w:val="00B86711"/>
    <w:rsid w:val="00B86935"/>
    <w:rsid w:val="00B86B63"/>
    <w:rsid w:val="00B873A5"/>
    <w:rsid w:val="00B87769"/>
    <w:rsid w:val="00B87A00"/>
    <w:rsid w:val="00B87AC6"/>
    <w:rsid w:val="00B87E3E"/>
    <w:rsid w:val="00B9010D"/>
    <w:rsid w:val="00B90192"/>
    <w:rsid w:val="00B901E9"/>
    <w:rsid w:val="00B90378"/>
    <w:rsid w:val="00B907CA"/>
    <w:rsid w:val="00B9093C"/>
    <w:rsid w:val="00B9117E"/>
    <w:rsid w:val="00B91376"/>
    <w:rsid w:val="00B91549"/>
    <w:rsid w:val="00B915B9"/>
    <w:rsid w:val="00B918F4"/>
    <w:rsid w:val="00B91B4E"/>
    <w:rsid w:val="00B91DFB"/>
    <w:rsid w:val="00B92584"/>
    <w:rsid w:val="00B9331D"/>
    <w:rsid w:val="00B93463"/>
    <w:rsid w:val="00B9366A"/>
    <w:rsid w:val="00B93C3F"/>
    <w:rsid w:val="00B93CFB"/>
    <w:rsid w:val="00B940CD"/>
    <w:rsid w:val="00B94587"/>
    <w:rsid w:val="00B9478F"/>
    <w:rsid w:val="00B955E1"/>
    <w:rsid w:val="00B958F2"/>
    <w:rsid w:val="00B95CAE"/>
    <w:rsid w:val="00B95D1C"/>
    <w:rsid w:val="00B95F7B"/>
    <w:rsid w:val="00B96009"/>
    <w:rsid w:val="00B960EE"/>
    <w:rsid w:val="00B96207"/>
    <w:rsid w:val="00B96486"/>
    <w:rsid w:val="00B96488"/>
    <w:rsid w:val="00B96510"/>
    <w:rsid w:val="00B968B8"/>
    <w:rsid w:val="00B96B4B"/>
    <w:rsid w:val="00B96D2A"/>
    <w:rsid w:val="00B97566"/>
    <w:rsid w:val="00B9772A"/>
    <w:rsid w:val="00B97CB8"/>
    <w:rsid w:val="00B97E80"/>
    <w:rsid w:val="00BA07AF"/>
    <w:rsid w:val="00BA08ED"/>
    <w:rsid w:val="00BA0E27"/>
    <w:rsid w:val="00BA0E52"/>
    <w:rsid w:val="00BA0FB2"/>
    <w:rsid w:val="00BA13C0"/>
    <w:rsid w:val="00BA13E6"/>
    <w:rsid w:val="00BA14EB"/>
    <w:rsid w:val="00BA1541"/>
    <w:rsid w:val="00BA17CA"/>
    <w:rsid w:val="00BA1E66"/>
    <w:rsid w:val="00BA211E"/>
    <w:rsid w:val="00BA2272"/>
    <w:rsid w:val="00BA2A22"/>
    <w:rsid w:val="00BA2AA9"/>
    <w:rsid w:val="00BA2D10"/>
    <w:rsid w:val="00BA2F28"/>
    <w:rsid w:val="00BA31C8"/>
    <w:rsid w:val="00BA32EE"/>
    <w:rsid w:val="00BA33F4"/>
    <w:rsid w:val="00BA37B8"/>
    <w:rsid w:val="00BA38CB"/>
    <w:rsid w:val="00BA3D14"/>
    <w:rsid w:val="00BA43F1"/>
    <w:rsid w:val="00BA446D"/>
    <w:rsid w:val="00BA4549"/>
    <w:rsid w:val="00BA47DF"/>
    <w:rsid w:val="00BA4D41"/>
    <w:rsid w:val="00BA4DDE"/>
    <w:rsid w:val="00BA4F57"/>
    <w:rsid w:val="00BA51FB"/>
    <w:rsid w:val="00BA52F7"/>
    <w:rsid w:val="00BA546A"/>
    <w:rsid w:val="00BA555B"/>
    <w:rsid w:val="00BA58B2"/>
    <w:rsid w:val="00BA5986"/>
    <w:rsid w:val="00BA59CA"/>
    <w:rsid w:val="00BA5B5A"/>
    <w:rsid w:val="00BA5D83"/>
    <w:rsid w:val="00BA61B6"/>
    <w:rsid w:val="00BA64AF"/>
    <w:rsid w:val="00BA661D"/>
    <w:rsid w:val="00BA68A4"/>
    <w:rsid w:val="00BA6963"/>
    <w:rsid w:val="00BA6A5B"/>
    <w:rsid w:val="00BA6BA5"/>
    <w:rsid w:val="00BA6CD4"/>
    <w:rsid w:val="00BA6E23"/>
    <w:rsid w:val="00BA6F5F"/>
    <w:rsid w:val="00BA703E"/>
    <w:rsid w:val="00BA7057"/>
    <w:rsid w:val="00BA708D"/>
    <w:rsid w:val="00BA77F6"/>
    <w:rsid w:val="00BA7EC9"/>
    <w:rsid w:val="00BB0018"/>
    <w:rsid w:val="00BB04AE"/>
    <w:rsid w:val="00BB09DC"/>
    <w:rsid w:val="00BB0F45"/>
    <w:rsid w:val="00BB1151"/>
    <w:rsid w:val="00BB11FE"/>
    <w:rsid w:val="00BB12F1"/>
    <w:rsid w:val="00BB1387"/>
    <w:rsid w:val="00BB14CB"/>
    <w:rsid w:val="00BB15AA"/>
    <w:rsid w:val="00BB1676"/>
    <w:rsid w:val="00BB16A0"/>
    <w:rsid w:val="00BB17C3"/>
    <w:rsid w:val="00BB17C4"/>
    <w:rsid w:val="00BB18FC"/>
    <w:rsid w:val="00BB19C9"/>
    <w:rsid w:val="00BB1B6B"/>
    <w:rsid w:val="00BB1D3D"/>
    <w:rsid w:val="00BB2157"/>
    <w:rsid w:val="00BB2259"/>
    <w:rsid w:val="00BB25ED"/>
    <w:rsid w:val="00BB2758"/>
    <w:rsid w:val="00BB2E64"/>
    <w:rsid w:val="00BB327D"/>
    <w:rsid w:val="00BB34FB"/>
    <w:rsid w:val="00BB36EE"/>
    <w:rsid w:val="00BB3D01"/>
    <w:rsid w:val="00BB422C"/>
    <w:rsid w:val="00BB4452"/>
    <w:rsid w:val="00BB469B"/>
    <w:rsid w:val="00BB57FE"/>
    <w:rsid w:val="00BB58ED"/>
    <w:rsid w:val="00BB59F0"/>
    <w:rsid w:val="00BB5C3E"/>
    <w:rsid w:val="00BB5D0B"/>
    <w:rsid w:val="00BB5DCA"/>
    <w:rsid w:val="00BB5EE4"/>
    <w:rsid w:val="00BB6456"/>
    <w:rsid w:val="00BB6882"/>
    <w:rsid w:val="00BB6A70"/>
    <w:rsid w:val="00BB6C27"/>
    <w:rsid w:val="00BB6EF0"/>
    <w:rsid w:val="00BB6F90"/>
    <w:rsid w:val="00BB708E"/>
    <w:rsid w:val="00BB70D4"/>
    <w:rsid w:val="00BB70FF"/>
    <w:rsid w:val="00BB79DE"/>
    <w:rsid w:val="00BB79E0"/>
    <w:rsid w:val="00BB7C78"/>
    <w:rsid w:val="00BB7D61"/>
    <w:rsid w:val="00BB7E64"/>
    <w:rsid w:val="00BC02A8"/>
    <w:rsid w:val="00BC05EA"/>
    <w:rsid w:val="00BC0811"/>
    <w:rsid w:val="00BC0B01"/>
    <w:rsid w:val="00BC102A"/>
    <w:rsid w:val="00BC1060"/>
    <w:rsid w:val="00BC10B0"/>
    <w:rsid w:val="00BC11DF"/>
    <w:rsid w:val="00BC1644"/>
    <w:rsid w:val="00BC16E6"/>
    <w:rsid w:val="00BC199B"/>
    <w:rsid w:val="00BC1C91"/>
    <w:rsid w:val="00BC2041"/>
    <w:rsid w:val="00BC214E"/>
    <w:rsid w:val="00BC22BB"/>
    <w:rsid w:val="00BC2544"/>
    <w:rsid w:val="00BC26A9"/>
    <w:rsid w:val="00BC276A"/>
    <w:rsid w:val="00BC2A81"/>
    <w:rsid w:val="00BC2EF1"/>
    <w:rsid w:val="00BC3504"/>
    <w:rsid w:val="00BC39C3"/>
    <w:rsid w:val="00BC4052"/>
    <w:rsid w:val="00BC413D"/>
    <w:rsid w:val="00BC41DA"/>
    <w:rsid w:val="00BC4357"/>
    <w:rsid w:val="00BC43E3"/>
    <w:rsid w:val="00BC4673"/>
    <w:rsid w:val="00BC4D91"/>
    <w:rsid w:val="00BC5018"/>
    <w:rsid w:val="00BC5126"/>
    <w:rsid w:val="00BC5680"/>
    <w:rsid w:val="00BC5A03"/>
    <w:rsid w:val="00BC5A45"/>
    <w:rsid w:val="00BC5B0E"/>
    <w:rsid w:val="00BC5BA9"/>
    <w:rsid w:val="00BC6389"/>
    <w:rsid w:val="00BC6B0E"/>
    <w:rsid w:val="00BC6C59"/>
    <w:rsid w:val="00BC6CB3"/>
    <w:rsid w:val="00BC75C8"/>
    <w:rsid w:val="00BC763E"/>
    <w:rsid w:val="00BC773D"/>
    <w:rsid w:val="00BC79D2"/>
    <w:rsid w:val="00BC7C6E"/>
    <w:rsid w:val="00BC7E7D"/>
    <w:rsid w:val="00BC7E99"/>
    <w:rsid w:val="00BD036F"/>
    <w:rsid w:val="00BD0799"/>
    <w:rsid w:val="00BD0E87"/>
    <w:rsid w:val="00BD114E"/>
    <w:rsid w:val="00BD18CE"/>
    <w:rsid w:val="00BD1A6A"/>
    <w:rsid w:val="00BD1AF0"/>
    <w:rsid w:val="00BD1C3F"/>
    <w:rsid w:val="00BD1CDC"/>
    <w:rsid w:val="00BD20BE"/>
    <w:rsid w:val="00BD20E9"/>
    <w:rsid w:val="00BD253A"/>
    <w:rsid w:val="00BD2564"/>
    <w:rsid w:val="00BD25BA"/>
    <w:rsid w:val="00BD2846"/>
    <w:rsid w:val="00BD2ABB"/>
    <w:rsid w:val="00BD2B3B"/>
    <w:rsid w:val="00BD2F52"/>
    <w:rsid w:val="00BD32FB"/>
    <w:rsid w:val="00BD3390"/>
    <w:rsid w:val="00BD345C"/>
    <w:rsid w:val="00BD34D0"/>
    <w:rsid w:val="00BD3832"/>
    <w:rsid w:val="00BD3D14"/>
    <w:rsid w:val="00BD3EBD"/>
    <w:rsid w:val="00BD41C1"/>
    <w:rsid w:val="00BD439B"/>
    <w:rsid w:val="00BD441F"/>
    <w:rsid w:val="00BD4469"/>
    <w:rsid w:val="00BD4D7E"/>
    <w:rsid w:val="00BD5032"/>
    <w:rsid w:val="00BD5437"/>
    <w:rsid w:val="00BD5448"/>
    <w:rsid w:val="00BD5456"/>
    <w:rsid w:val="00BD5508"/>
    <w:rsid w:val="00BD55DE"/>
    <w:rsid w:val="00BD57A2"/>
    <w:rsid w:val="00BD5E99"/>
    <w:rsid w:val="00BD6409"/>
    <w:rsid w:val="00BD739E"/>
    <w:rsid w:val="00BD76BB"/>
    <w:rsid w:val="00BD777B"/>
    <w:rsid w:val="00BD79CD"/>
    <w:rsid w:val="00BD79CF"/>
    <w:rsid w:val="00BD7C3E"/>
    <w:rsid w:val="00BE0103"/>
    <w:rsid w:val="00BE0230"/>
    <w:rsid w:val="00BE092B"/>
    <w:rsid w:val="00BE096E"/>
    <w:rsid w:val="00BE0A46"/>
    <w:rsid w:val="00BE0B94"/>
    <w:rsid w:val="00BE0BF7"/>
    <w:rsid w:val="00BE0C09"/>
    <w:rsid w:val="00BE0CFB"/>
    <w:rsid w:val="00BE0DE5"/>
    <w:rsid w:val="00BE1356"/>
    <w:rsid w:val="00BE148E"/>
    <w:rsid w:val="00BE1866"/>
    <w:rsid w:val="00BE1BEE"/>
    <w:rsid w:val="00BE1D92"/>
    <w:rsid w:val="00BE1EE7"/>
    <w:rsid w:val="00BE203F"/>
    <w:rsid w:val="00BE22AA"/>
    <w:rsid w:val="00BE266E"/>
    <w:rsid w:val="00BE27B7"/>
    <w:rsid w:val="00BE2A7B"/>
    <w:rsid w:val="00BE2FB6"/>
    <w:rsid w:val="00BE31E4"/>
    <w:rsid w:val="00BE38D6"/>
    <w:rsid w:val="00BE38DA"/>
    <w:rsid w:val="00BE3A34"/>
    <w:rsid w:val="00BE3D3C"/>
    <w:rsid w:val="00BE402D"/>
    <w:rsid w:val="00BE41E3"/>
    <w:rsid w:val="00BE44DB"/>
    <w:rsid w:val="00BE452E"/>
    <w:rsid w:val="00BE4610"/>
    <w:rsid w:val="00BE4D08"/>
    <w:rsid w:val="00BE51F2"/>
    <w:rsid w:val="00BE5358"/>
    <w:rsid w:val="00BE5377"/>
    <w:rsid w:val="00BE5434"/>
    <w:rsid w:val="00BE58C2"/>
    <w:rsid w:val="00BE5C1A"/>
    <w:rsid w:val="00BE606F"/>
    <w:rsid w:val="00BE6173"/>
    <w:rsid w:val="00BE66D2"/>
    <w:rsid w:val="00BE68E2"/>
    <w:rsid w:val="00BE6BCB"/>
    <w:rsid w:val="00BE6DF1"/>
    <w:rsid w:val="00BE749B"/>
    <w:rsid w:val="00BE74E3"/>
    <w:rsid w:val="00BE7672"/>
    <w:rsid w:val="00BE7937"/>
    <w:rsid w:val="00BE796E"/>
    <w:rsid w:val="00BF009F"/>
    <w:rsid w:val="00BF0657"/>
    <w:rsid w:val="00BF086A"/>
    <w:rsid w:val="00BF08EC"/>
    <w:rsid w:val="00BF0B45"/>
    <w:rsid w:val="00BF1137"/>
    <w:rsid w:val="00BF128E"/>
    <w:rsid w:val="00BF1409"/>
    <w:rsid w:val="00BF1916"/>
    <w:rsid w:val="00BF191C"/>
    <w:rsid w:val="00BF197A"/>
    <w:rsid w:val="00BF1C4D"/>
    <w:rsid w:val="00BF21DB"/>
    <w:rsid w:val="00BF21EF"/>
    <w:rsid w:val="00BF265E"/>
    <w:rsid w:val="00BF27EE"/>
    <w:rsid w:val="00BF2B91"/>
    <w:rsid w:val="00BF2B97"/>
    <w:rsid w:val="00BF2C8A"/>
    <w:rsid w:val="00BF2F80"/>
    <w:rsid w:val="00BF3272"/>
    <w:rsid w:val="00BF32AC"/>
    <w:rsid w:val="00BF33A5"/>
    <w:rsid w:val="00BF3884"/>
    <w:rsid w:val="00BF38AE"/>
    <w:rsid w:val="00BF3BEE"/>
    <w:rsid w:val="00BF3FEB"/>
    <w:rsid w:val="00BF40C0"/>
    <w:rsid w:val="00BF43B5"/>
    <w:rsid w:val="00BF484A"/>
    <w:rsid w:val="00BF497D"/>
    <w:rsid w:val="00BF4986"/>
    <w:rsid w:val="00BF4A59"/>
    <w:rsid w:val="00BF4BE1"/>
    <w:rsid w:val="00BF4C3B"/>
    <w:rsid w:val="00BF5D51"/>
    <w:rsid w:val="00BF5FB2"/>
    <w:rsid w:val="00BF6078"/>
    <w:rsid w:val="00BF63EA"/>
    <w:rsid w:val="00BF64BC"/>
    <w:rsid w:val="00BF71F1"/>
    <w:rsid w:val="00BF74D8"/>
    <w:rsid w:val="00BF7CA9"/>
    <w:rsid w:val="00BF7F83"/>
    <w:rsid w:val="00C0022A"/>
    <w:rsid w:val="00C004FF"/>
    <w:rsid w:val="00C00573"/>
    <w:rsid w:val="00C00685"/>
    <w:rsid w:val="00C0072C"/>
    <w:rsid w:val="00C00883"/>
    <w:rsid w:val="00C00A16"/>
    <w:rsid w:val="00C00B90"/>
    <w:rsid w:val="00C00D42"/>
    <w:rsid w:val="00C0111A"/>
    <w:rsid w:val="00C014C7"/>
    <w:rsid w:val="00C0165B"/>
    <w:rsid w:val="00C01774"/>
    <w:rsid w:val="00C01B5F"/>
    <w:rsid w:val="00C01BD4"/>
    <w:rsid w:val="00C01CD5"/>
    <w:rsid w:val="00C01DF6"/>
    <w:rsid w:val="00C01E04"/>
    <w:rsid w:val="00C02349"/>
    <w:rsid w:val="00C02C19"/>
    <w:rsid w:val="00C0321C"/>
    <w:rsid w:val="00C0322C"/>
    <w:rsid w:val="00C032EB"/>
    <w:rsid w:val="00C03320"/>
    <w:rsid w:val="00C03623"/>
    <w:rsid w:val="00C03C23"/>
    <w:rsid w:val="00C040D2"/>
    <w:rsid w:val="00C043AB"/>
    <w:rsid w:val="00C04429"/>
    <w:rsid w:val="00C04702"/>
    <w:rsid w:val="00C04B9D"/>
    <w:rsid w:val="00C0508A"/>
    <w:rsid w:val="00C05194"/>
    <w:rsid w:val="00C052E1"/>
    <w:rsid w:val="00C05318"/>
    <w:rsid w:val="00C05C28"/>
    <w:rsid w:val="00C05C74"/>
    <w:rsid w:val="00C061EF"/>
    <w:rsid w:val="00C066FA"/>
    <w:rsid w:val="00C06BCC"/>
    <w:rsid w:val="00C06D99"/>
    <w:rsid w:val="00C07185"/>
    <w:rsid w:val="00C07350"/>
    <w:rsid w:val="00C0752B"/>
    <w:rsid w:val="00C077ED"/>
    <w:rsid w:val="00C0790F"/>
    <w:rsid w:val="00C07F81"/>
    <w:rsid w:val="00C10276"/>
    <w:rsid w:val="00C10463"/>
    <w:rsid w:val="00C10543"/>
    <w:rsid w:val="00C1080A"/>
    <w:rsid w:val="00C10AA2"/>
    <w:rsid w:val="00C10C68"/>
    <w:rsid w:val="00C110A2"/>
    <w:rsid w:val="00C11231"/>
    <w:rsid w:val="00C11399"/>
    <w:rsid w:val="00C11B88"/>
    <w:rsid w:val="00C11BA2"/>
    <w:rsid w:val="00C11FB6"/>
    <w:rsid w:val="00C12190"/>
    <w:rsid w:val="00C12885"/>
    <w:rsid w:val="00C131E9"/>
    <w:rsid w:val="00C133F8"/>
    <w:rsid w:val="00C135EB"/>
    <w:rsid w:val="00C136F1"/>
    <w:rsid w:val="00C13711"/>
    <w:rsid w:val="00C138B6"/>
    <w:rsid w:val="00C13948"/>
    <w:rsid w:val="00C139F2"/>
    <w:rsid w:val="00C1409F"/>
    <w:rsid w:val="00C142A9"/>
    <w:rsid w:val="00C14B5A"/>
    <w:rsid w:val="00C14CDD"/>
    <w:rsid w:val="00C14E72"/>
    <w:rsid w:val="00C1502C"/>
    <w:rsid w:val="00C155ED"/>
    <w:rsid w:val="00C1584E"/>
    <w:rsid w:val="00C158F2"/>
    <w:rsid w:val="00C15A4E"/>
    <w:rsid w:val="00C15B32"/>
    <w:rsid w:val="00C15D67"/>
    <w:rsid w:val="00C15EA2"/>
    <w:rsid w:val="00C15FDF"/>
    <w:rsid w:val="00C1607D"/>
    <w:rsid w:val="00C167DE"/>
    <w:rsid w:val="00C16F78"/>
    <w:rsid w:val="00C17602"/>
    <w:rsid w:val="00C17D76"/>
    <w:rsid w:val="00C17FED"/>
    <w:rsid w:val="00C2002B"/>
    <w:rsid w:val="00C20047"/>
    <w:rsid w:val="00C20211"/>
    <w:rsid w:val="00C204D7"/>
    <w:rsid w:val="00C20652"/>
    <w:rsid w:val="00C20F23"/>
    <w:rsid w:val="00C21006"/>
    <w:rsid w:val="00C213E7"/>
    <w:rsid w:val="00C217CC"/>
    <w:rsid w:val="00C21CA4"/>
    <w:rsid w:val="00C21CD0"/>
    <w:rsid w:val="00C220DD"/>
    <w:rsid w:val="00C2247A"/>
    <w:rsid w:val="00C227F3"/>
    <w:rsid w:val="00C22CD8"/>
    <w:rsid w:val="00C22D65"/>
    <w:rsid w:val="00C22DBB"/>
    <w:rsid w:val="00C22DBF"/>
    <w:rsid w:val="00C2318A"/>
    <w:rsid w:val="00C2336E"/>
    <w:rsid w:val="00C2344B"/>
    <w:rsid w:val="00C2347D"/>
    <w:rsid w:val="00C234CF"/>
    <w:rsid w:val="00C23B14"/>
    <w:rsid w:val="00C23E0E"/>
    <w:rsid w:val="00C23EDC"/>
    <w:rsid w:val="00C241CD"/>
    <w:rsid w:val="00C2427D"/>
    <w:rsid w:val="00C2435E"/>
    <w:rsid w:val="00C243A4"/>
    <w:rsid w:val="00C244D2"/>
    <w:rsid w:val="00C246C7"/>
    <w:rsid w:val="00C247E7"/>
    <w:rsid w:val="00C249A2"/>
    <w:rsid w:val="00C24D4A"/>
    <w:rsid w:val="00C24ED1"/>
    <w:rsid w:val="00C25330"/>
    <w:rsid w:val="00C25B0D"/>
    <w:rsid w:val="00C25B3A"/>
    <w:rsid w:val="00C25FCD"/>
    <w:rsid w:val="00C260B2"/>
    <w:rsid w:val="00C26205"/>
    <w:rsid w:val="00C2628A"/>
    <w:rsid w:val="00C26702"/>
    <w:rsid w:val="00C26D36"/>
    <w:rsid w:val="00C26E78"/>
    <w:rsid w:val="00C270B6"/>
    <w:rsid w:val="00C2741C"/>
    <w:rsid w:val="00C275F4"/>
    <w:rsid w:val="00C27656"/>
    <w:rsid w:val="00C27750"/>
    <w:rsid w:val="00C27A3A"/>
    <w:rsid w:val="00C27A5E"/>
    <w:rsid w:val="00C27B17"/>
    <w:rsid w:val="00C27F28"/>
    <w:rsid w:val="00C3022B"/>
    <w:rsid w:val="00C305B6"/>
    <w:rsid w:val="00C3062C"/>
    <w:rsid w:val="00C30653"/>
    <w:rsid w:val="00C30AD6"/>
    <w:rsid w:val="00C30B62"/>
    <w:rsid w:val="00C30D20"/>
    <w:rsid w:val="00C31286"/>
    <w:rsid w:val="00C31507"/>
    <w:rsid w:val="00C315EC"/>
    <w:rsid w:val="00C31CB8"/>
    <w:rsid w:val="00C31DCC"/>
    <w:rsid w:val="00C32005"/>
    <w:rsid w:val="00C3205D"/>
    <w:rsid w:val="00C3247A"/>
    <w:rsid w:val="00C327C4"/>
    <w:rsid w:val="00C328C2"/>
    <w:rsid w:val="00C328EB"/>
    <w:rsid w:val="00C32AD0"/>
    <w:rsid w:val="00C3308E"/>
    <w:rsid w:val="00C335B5"/>
    <w:rsid w:val="00C33A7F"/>
    <w:rsid w:val="00C33A8D"/>
    <w:rsid w:val="00C33C12"/>
    <w:rsid w:val="00C33C15"/>
    <w:rsid w:val="00C34010"/>
    <w:rsid w:val="00C347B1"/>
    <w:rsid w:val="00C34A7B"/>
    <w:rsid w:val="00C34AD6"/>
    <w:rsid w:val="00C34B80"/>
    <w:rsid w:val="00C34C6D"/>
    <w:rsid w:val="00C3508B"/>
    <w:rsid w:val="00C3523E"/>
    <w:rsid w:val="00C35458"/>
    <w:rsid w:val="00C35643"/>
    <w:rsid w:val="00C35908"/>
    <w:rsid w:val="00C3628C"/>
    <w:rsid w:val="00C36798"/>
    <w:rsid w:val="00C36883"/>
    <w:rsid w:val="00C36E18"/>
    <w:rsid w:val="00C3741D"/>
    <w:rsid w:val="00C37852"/>
    <w:rsid w:val="00C379E6"/>
    <w:rsid w:val="00C40548"/>
    <w:rsid w:val="00C40578"/>
    <w:rsid w:val="00C408C2"/>
    <w:rsid w:val="00C4096A"/>
    <w:rsid w:val="00C413F4"/>
    <w:rsid w:val="00C4150A"/>
    <w:rsid w:val="00C4170E"/>
    <w:rsid w:val="00C4181A"/>
    <w:rsid w:val="00C419B3"/>
    <w:rsid w:val="00C41A17"/>
    <w:rsid w:val="00C422DB"/>
    <w:rsid w:val="00C422FF"/>
    <w:rsid w:val="00C42794"/>
    <w:rsid w:val="00C42C63"/>
    <w:rsid w:val="00C4337C"/>
    <w:rsid w:val="00C43769"/>
    <w:rsid w:val="00C439EF"/>
    <w:rsid w:val="00C43BD2"/>
    <w:rsid w:val="00C43E34"/>
    <w:rsid w:val="00C442A8"/>
    <w:rsid w:val="00C445AA"/>
    <w:rsid w:val="00C44980"/>
    <w:rsid w:val="00C44A5E"/>
    <w:rsid w:val="00C44C29"/>
    <w:rsid w:val="00C44E7F"/>
    <w:rsid w:val="00C45607"/>
    <w:rsid w:val="00C45A7E"/>
    <w:rsid w:val="00C45AE5"/>
    <w:rsid w:val="00C45B3D"/>
    <w:rsid w:val="00C45D01"/>
    <w:rsid w:val="00C466E7"/>
    <w:rsid w:val="00C4696F"/>
    <w:rsid w:val="00C46B2E"/>
    <w:rsid w:val="00C46CE1"/>
    <w:rsid w:val="00C46D36"/>
    <w:rsid w:val="00C46F75"/>
    <w:rsid w:val="00C470E6"/>
    <w:rsid w:val="00C472D0"/>
    <w:rsid w:val="00C47B99"/>
    <w:rsid w:val="00C47BB8"/>
    <w:rsid w:val="00C47C6E"/>
    <w:rsid w:val="00C47EAA"/>
    <w:rsid w:val="00C502F1"/>
    <w:rsid w:val="00C503BB"/>
    <w:rsid w:val="00C50591"/>
    <w:rsid w:val="00C50BAB"/>
    <w:rsid w:val="00C50CBC"/>
    <w:rsid w:val="00C50EBA"/>
    <w:rsid w:val="00C51337"/>
    <w:rsid w:val="00C5138D"/>
    <w:rsid w:val="00C51397"/>
    <w:rsid w:val="00C5140A"/>
    <w:rsid w:val="00C51664"/>
    <w:rsid w:val="00C51700"/>
    <w:rsid w:val="00C51A02"/>
    <w:rsid w:val="00C51AD5"/>
    <w:rsid w:val="00C51AF7"/>
    <w:rsid w:val="00C51CA4"/>
    <w:rsid w:val="00C51E64"/>
    <w:rsid w:val="00C51F40"/>
    <w:rsid w:val="00C521AD"/>
    <w:rsid w:val="00C52208"/>
    <w:rsid w:val="00C522AF"/>
    <w:rsid w:val="00C524D6"/>
    <w:rsid w:val="00C5280B"/>
    <w:rsid w:val="00C52B62"/>
    <w:rsid w:val="00C52FAB"/>
    <w:rsid w:val="00C530B5"/>
    <w:rsid w:val="00C53D38"/>
    <w:rsid w:val="00C53E7F"/>
    <w:rsid w:val="00C54262"/>
    <w:rsid w:val="00C547F2"/>
    <w:rsid w:val="00C54822"/>
    <w:rsid w:val="00C54B5C"/>
    <w:rsid w:val="00C54D1E"/>
    <w:rsid w:val="00C54F6E"/>
    <w:rsid w:val="00C55087"/>
    <w:rsid w:val="00C55331"/>
    <w:rsid w:val="00C553EF"/>
    <w:rsid w:val="00C556A9"/>
    <w:rsid w:val="00C55742"/>
    <w:rsid w:val="00C55AAF"/>
    <w:rsid w:val="00C55CFD"/>
    <w:rsid w:val="00C5605C"/>
    <w:rsid w:val="00C56561"/>
    <w:rsid w:val="00C56775"/>
    <w:rsid w:val="00C56796"/>
    <w:rsid w:val="00C57039"/>
    <w:rsid w:val="00C57101"/>
    <w:rsid w:val="00C57579"/>
    <w:rsid w:val="00C57A90"/>
    <w:rsid w:val="00C6001C"/>
    <w:rsid w:val="00C6004C"/>
    <w:rsid w:val="00C6017F"/>
    <w:rsid w:val="00C608B5"/>
    <w:rsid w:val="00C60915"/>
    <w:rsid w:val="00C60BF8"/>
    <w:rsid w:val="00C60C3B"/>
    <w:rsid w:val="00C60DDD"/>
    <w:rsid w:val="00C60F8B"/>
    <w:rsid w:val="00C61232"/>
    <w:rsid w:val="00C61306"/>
    <w:rsid w:val="00C615F3"/>
    <w:rsid w:val="00C61757"/>
    <w:rsid w:val="00C617EE"/>
    <w:rsid w:val="00C61A28"/>
    <w:rsid w:val="00C61DB4"/>
    <w:rsid w:val="00C625E9"/>
    <w:rsid w:val="00C62A1D"/>
    <w:rsid w:val="00C63031"/>
    <w:rsid w:val="00C6321E"/>
    <w:rsid w:val="00C635E1"/>
    <w:rsid w:val="00C63860"/>
    <w:rsid w:val="00C63E28"/>
    <w:rsid w:val="00C63F4C"/>
    <w:rsid w:val="00C63FC1"/>
    <w:rsid w:val="00C649B9"/>
    <w:rsid w:val="00C64AD6"/>
    <w:rsid w:val="00C64B61"/>
    <w:rsid w:val="00C64B87"/>
    <w:rsid w:val="00C64C2D"/>
    <w:rsid w:val="00C64CD6"/>
    <w:rsid w:val="00C64F0A"/>
    <w:rsid w:val="00C65050"/>
    <w:rsid w:val="00C651BD"/>
    <w:rsid w:val="00C6580B"/>
    <w:rsid w:val="00C65811"/>
    <w:rsid w:val="00C6584A"/>
    <w:rsid w:val="00C658D4"/>
    <w:rsid w:val="00C65C77"/>
    <w:rsid w:val="00C65E74"/>
    <w:rsid w:val="00C65F1D"/>
    <w:rsid w:val="00C662DC"/>
    <w:rsid w:val="00C66720"/>
    <w:rsid w:val="00C667F1"/>
    <w:rsid w:val="00C66D17"/>
    <w:rsid w:val="00C66E17"/>
    <w:rsid w:val="00C676EB"/>
    <w:rsid w:val="00C67B24"/>
    <w:rsid w:val="00C67F84"/>
    <w:rsid w:val="00C700F7"/>
    <w:rsid w:val="00C7020C"/>
    <w:rsid w:val="00C702DA"/>
    <w:rsid w:val="00C70332"/>
    <w:rsid w:val="00C70399"/>
    <w:rsid w:val="00C705B5"/>
    <w:rsid w:val="00C70A47"/>
    <w:rsid w:val="00C70D5E"/>
    <w:rsid w:val="00C71150"/>
    <w:rsid w:val="00C71320"/>
    <w:rsid w:val="00C7137F"/>
    <w:rsid w:val="00C7144A"/>
    <w:rsid w:val="00C7219D"/>
    <w:rsid w:val="00C72211"/>
    <w:rsid w:val="00C7249D"/>
    <w:rsid w:val="00C72796"/>
    <w:rsid w:val="00C72949"/>
    <w:rsid w:val="00C72C93"/>
    <w:rsid w:val="00C73501"/>
    <w:rsid w:val="00C7357B"/>
    <w:rsid w:val="00C7367A"/>
    <w:rsid w:val="00C74428"/>
    <w:rsid w:val="00C744FD"/>
    <w:rsid w:val="00C745C2"/>
    <w:rsid w:val="00C746E6"/>
    <w:rsid w:val="00C7474F"/>
    <w:rsid w:val="00C74A67"/>
    <w:rsid w:val="00C74F87"/>
    <w:rsid w:val="00C75201"/>
    <w:rsid w:val="00C752E2"/>
    <w:rsid w:val="00C7531B"/>
    <w:rsid w:val="00C75707"/>
    <w:rsid w:val="00C760FA"/>
    <w:rsid w:val="00C761CA"/>
    <w:rsid w:val="00C762FD"/>
    <w:rsid w:val="00C76385"/>
    <w:rsid w:val="00C767CC"/>
    <w:rsid w:val="00C7683B"/>
    <w:rsid w:val="00C768B2"/>
    <w:rsid w:val="00C77021"/>
    <w:rsid w:val="00C7713B"/>
    <w:rsid w:val="00C7737C"/>
    <w:rsid w:val="00C775E9"/>
    <w:rsid w:val="00C775EB"/>
    <w:rsid w:val="00C778F2"/>
    <w:rsid w:val="00C779B8"/>
    <w:rsid w:val="00C77EF9"/>
    <w:rsid w:val="00C80115"/>
    <w:rsid w:val="00C8030F"/>
    <w:rsid w:val="00C80A60"/>
    <w:rsid w:val="00C80E80"/>
    <w:rsid w:val="00C81332"/>
    <w:rsid w:val="00C814D1"/>
    <w:rsid w:val="00C815FB"/>
    <w:rsid w:val="00C81699"/>
    <w:rsid w:val="00C8173D"/>
    <w:rsid w:val="00C818A6"/>
    <w:rsid w:val="00C81938"/>
    <w:rsid w:val="00C81E74"/>
    <w:rsid w:val="00C81EB5"/>
    <w:rsid w:val="00C8238F"/>
    <w:rsid w:val="00C82442"/>
    <w:rsid w:val="00C8244A"/>
    <w:rsid w:val="00C82613"/>
    <w:rsid w:val="00C82634"/>
    <w:rsid w:val="00C82B36"/>
    <w:rsid w:val="00C82D08"/>
    <w:rsid w:val="00C830DA"/>
    <w:rsid w:val="00C83189"/>
    <w:rsid w:val="00C834AF"/>
    <w:rsid w:val="00C835EB"/>
    <w:rsid w:val="00C83B6E"/>
    <w:rsid w:val="00C83E3A"/>
    <w:rsid w:val="00C84918"/>
    <w:rsid w:val="00C84DC4"/>
    <w:rsid w:val="00C84F81"/>
    <w:rsid w:val="00C84FB1"/>
    <w:rsid w:val="00C850EE"/>
    <w:rsid w:val="00C85131"/>
    <w:rsid w:val="00C8517F"/>
    <w:rsid w:val="00C85383"/>
    <w:rsid w:val="00C85491"/>
    <w:rsid w:val="00C8587C"/>
    <w:rsid w:val="00C85A3E"/>
    <w:rsid w:val="00C85C7D"/>
    <w:rsid w:val="00C85DAD"/>
    <w:rsid w:val="00C85E1A"/>
    <w:rsid w:val="00C86062"/>
    <w:rsid w:val="00C86079"/>
    <w:rsid w:val="00C8621A"/>
    <w:rsid w:val="00C865D8"/>
    <w:rsid w:val="00C86929"/>
    <w:rsid w:val="00C86C18"/>
    <w:rsid w:val="00C87146"/>
    <w:rsid w:val="00C873DE"/>
    <w:rsid w:val="00C8745F"/>
    <w:rsid w:val="00C87670"/>
    <w:rsid w:val="00C8791E"/>
    <w:rsid w:val="00C900D5"/>
    <w:rsid w:val="00C901E9"/>
    <w:rsid w:val="00C90533"/>
    <w:rsid w:val="00C9096A"/>
    <w:rsid w:val="00C90A30"/>
    <w:rsid w:val="00C90C74"/>
    <w:rsid w:val="00C90D2B"/>
    <w:rsid w:val="00C90E6A"/>
    <w:rsid w:val="00C90EFF"/>
    <w:rsid w:val="00C90FE3"/>
    <w:rsid w:val="00C91167"/>
    <w:rsid w:val="00C9128C"/>
    <w:rsid w:val="00C9194A"/>
    <w:rsid w:val="00C91D75"/>
    <w:rsid w:val="00C92059"/>
    <w:rsid w:val="00C9210F"/>
    <w:rsid w:val="00C922CB"/>
    <w:rsid w:val="00C92BCE"/>
    <w:rsid w:val="00C92D1C"/>
    <w:rsid w:val="00C9301D"/>
    <w:rsid w:val="00C932F1"/>
    <w:rsid w:val="00C9335D"/>
    <w:rsid w:val="00C9344D"/>
    <w:rsid w:val="00C93635"/>
    <w:rsid w:val="00C936A5"/>
    <w:rsid w:val="00C93735"/>
    <w:rsid w:val="00C93ADD"/>
    <w:rsid w:val="00C93E1B"/>
    <w:rsid w:val="00C93E55"/>
    <w:rsid w:val="00C94012"/>
    <w:rsid w:val="00C9405D"/>
    <w:rsid w:val="00C940FB"/>
    <w:rsid w:val="00C94261"/>
    <w:rsid w:val="00C94462"/>
    <w:rsid w:val="00C944D0"/>
    <w:rsid w:val="00C94548"/>
    <w:rsid w:val="00C94619"/>
    <w:rsid w:val="00C94626"/>
    <w:rsid w:val="00C94800"/>
    <w:rsid w:val="00C94B2F"/>
    <w:rsid w:val="00C94CB9"/>
    <w:rsid w:val="00C94DF6"/>
    <w:rsid w:val="00C95093"/>
    <w:rsid w:val="00C9535E"/>
    <w:rsid w:val="00C95390"/>
    <w:rsid w:val="00C95407"/>
    <w:rsid w:val="00C9542F"/>
    <w:rsid w:val="00C95755"/>
    <w:rsid w:val="00C95E4E"/>
    <w:rsid w:val="00C95E93"/>
    <w:rsid w:val="00C96399"/>
    <w:rsid w:val="00C96447"/>
    <w:rsid w:val="00C964C6"/>
    <w:rsid w:val="00C96668"/>
    <w:rsid w:val="00C9671D"/>
    <w:rsid w:val="00C96880"/>
    <w:rsid w:val="00C9691B"/>
    <w:rsid w:val="00C96AAD"/>
    <w:rsid w:val="00C96B44"/>
    <w:rsid w:val="00C9708C"/>
    <w:rsid w:val="00C97107"/>
    <w:rsid w:val="00C97475"/>
    <w:rsid w:val="00C975BC"/>
    <w:rsid w:val="00C97702"/>
    <w:rsid w:val="00C97789"/>
    <w:rsid w:val="00C97828"/>
    <w:rsid w:val="00C97E2F"/>
    <w:rsid w:val="00C97E47"/>
    <w:rsid w:val="00CA023C"/>
    <w:rsid w:val="00CA0414"/>
    <w:rsid w:val="00CA0A45"/>
    <w:rsid w:val="00CA0BD5"/>
    <w:rsid w:val="00CA1163"/>
    <w:rsid w:val="00CA131F"/>
    <w:rsid w:val="00CA135B"/>
    <w:rsid w:val="00CA1448"/>
    <w:rsid w:val="00CA14A8"/>
    <w:rsid w:val="00CA1779"/>
    <w:rsid w:val="00CA1A2A"/>
    <w:rsid w:val="00CA1D16"/>
    <w:rsid w:val="00CA1DD2"/>
    <w:rsid w:val="00CA1DF9"/>
    <w:rsid w:val="00CA22C0"/>
    <w:rsid w:val="00CA25E3"/>
    <w:rsid w:val="00CA2947"/>
    <w:rsid w:val="00CA2B44"/>
    <w:rsid w:val="00CA2D33"/>
    <w:rsid w:val="00CA2E21"/>
    <w:rsid w:val="00CA2E96"/>
    <w:rsid w:val="00CA303D"/>
    <w:rsid w:val="00CA314E"/>
    <w:rsid w:val="00CA3806"/>
    <w:rsid w:val="00CA3844"/>
    <w:rsid w:val="00CA3861"/>
    <w:rsid w:val="00CA3DB7"/>
    <w:rsid w:val="00CA4394"/>
    <w:rsid w:val="00CA454F"/>
    <w:rsid w:val="00CA4561"/>
    <w:rsid w:val="00CA4778"/>
    <w:rsid w:val="00CA4C07"/>
    <w:rsid w:val="00CA4E18"/>
    <w:rsid w:val="00CA4E5F"/>
    <w:rsid w:val="00CA4F54"/>
    <w:rsid w:val="00CA4F63"/>
    <w:rsid w:val="00CA534C"/>
    <w:rsid w:val="00CA60BF"/>
    <w:rsid w:val="00CA614A"/>
    <w:rsid w:val="00CA6294"/>
    <w:rsid w:val="00CA62C7"/>
    <w:rsid w:val="00CA6801"/>
    <w:rsid w:val="00CA6945"/>
    <w:rsid w:val="00CA695C"/>
    <w:rsid w:val="00CA6E9A"/>
    <w:rsid w:val="00CA712A"/>
    <w:rsid w:val="00CA7456"/>
    <w:rsid w:val="00CA76EC"/>
    <w:rsid w:val="00CA7BE2"/>
    <w:rsid w:val="00CA7BF9"/>
    <w:rsid w:val="00CB0399"/>
    <w:rsid w:val="00CB06CD"/>
    <w:rsid w:val="00CB0C25"/>
    <w:rsid w:val="00CB0DF8"/>
    <w:rsid w:val="00CB1028"/>
    <w:rsid w:val="00CB10F4"/>
    <w:rsid w:val="00CB144F"/>
    <w:rsid w:val="00CB146C"/>
    <w:rsid w:val="00CB1CE0"/>
    <w:rsid w:val="00CB20E7"/>
    <w:rsid w:val="00CB2732"/>
    <w:rsid w:val="00CB2736"/>
    <w:rsid w:val="00CB3259"/>
    <w:rsid w:val="00CB35EF"/>
    <w:rsid w:val="00CB36C3"/>
    <w:rsid w:val="00CB3F22"/>
    <w:rsid w:val="00CB3FE8"/>
    <w:rsid w:val="00CB406E"/>
    <w:rsid w:val="00CB450B"/>
    <w:rsid w:val="00CB453B"/>
    <w:rsid w:val="00CB4914"/>
    <w:rsid w:val="00CB498B"/>
    <w:rsid w:val="00CB4EB7"/>
    <w:rsid w:val="00CB532B"/>
    <w:rsid w:val="00CB5644"/>
    <w:rsid w:val="00CB583B"/>
    <w:rsid w:val="00CB5C8B"/>
    <w:rsid w:val="00CB5DD8"/>
    <w:rsid w:val="00CB6261"/>
    <w:rsid w:val="00CB6AD6"/>
    <w:rsid w:val="00CB6CC9"/>
    <w:rsid w:val="00CB6F73"/>
    <w:rsid w:val="00CB70D3"/>
    <w:rsid w:val="00CB7419"/>
    <w:rsid w:val="00CB74AC"/>
    <w:rsid w:val="00CB75D9"/>
    <w:rsid w:val="00CB76C9"/>
    <w:rsid w:val="00CB7ADE"/>
    <w:rsid w:val="00CB7C49"/>
    <w:rsid w:val="00CC0356"/>
    <w:rsid w:val="00CC0359"/>
    <w:rsid w:val="00CC052D"/>
    <w:rsid w:val="00CC1547"/>
    <w:rsid w:val="00CC1586"/>
    <w:rsid w:val="00CC1963"/>
    <w:rsid w:val="00CC301D"/>
    <w:rsid w:val="00CC307B"/>
    <w:rsid w:val="00CC3489"/>
    <w:rsid w:val="00CC3792"/>
    <w:rsid w:val="00CC38F0"/>
    <w:rsid w:val="00CC397E"/>
    <w:rsid w:val="00CC3DE4"/>
    <w:rsid w:val="00CC4269"/>
    <w:rsid w:val="00CC42CD"/>
    <w:rsid w:val="00CC42FB"/>
    <w:rsid w:val="00CC46DC"/>
    <w:rsid w:val="00CC4791"/>
    <w:rsid w:val="00CC4A72"/>
    <w:rsid w:val="00CC4BE9"/>
    <w:rsid w:val="00CC4BF2"/>
    <w:rsid w:val="00CC53A1"/>
    <w:rsid w:val="00CC5433"/>
    <w:rsid w:val="00CC55CE"/>
    <w:rsid w:val="00CC5895"/>
    <w:rsid w:val="00CC5E95"/>
    <w:rsid w:val="00CC6090"/>
    <w:rsid w:val="00CC623A"/>
    <w:rsid w:val="00CC66FC"/>
    <w:rsid w:val="00CC69B3"/>
    <w:rsid w:val="00CC6B47"/>
    <w:rsid w:val="00CC6B7C"/>
    <w:rsid w:val="00CC6D3E"/>
    <w:rsid w:val="00CC6F3C"/>
    <w:rsid w:val="00CC7014"/>
    <w:rsid w:val="00CC7443"/>
    <w:rsid w:val="00CC7630"/>
    <w:rsid w:val="00CC7784"/>
    <w:rsid w:val="00CD00A4"/>
    <w:rsid w:val="00CD019D"/>
    <w:rsid w:val="00CD0298"/>
    <w:rsid w:val="00CD02B6"/>
    <w:rsid w:val="00CD0606"/>
    <w:rsid w:val="00CD066C"/>
    <w:rsid w:val="00CD0830"/>
    <w:rsid w:val="00CD0C0F"/>
    <w:rsid w:val="00CD0F7A"/>
    <w:rsid w:val="00CD0FDB"/>
    <w:rsid w:val="00CD127F"/>
    <w:rsid w:val="00CD15C6"/>
    <w:rsid w:val="00CD1E1C"/>
    <w:rsid w:val="00CD2508"/>
    <w:rsid w:val="00CD25CA"/>
    <w:rsid w:val="00CD2791"/>
    <w:rsid w:val="00CD2BEA"/>
    <w:rsid w:val="00CD3021"/>
    <w:rsid w:val="00CD30C1"/>
    <w:rsid w:val="00CD3134"/>
    <w:rsid w:val="00CD3315"/>
    <w:rsid w:val="00CD3490"/>
    <w:rsid w:val="00CD34BF"/>
    <w:rsid w:val="00CD3692"/>
    <w:rsid w:val="00CD36C5"/>
    <w:rsid w:val="00CD39E1"/>
    <w:rsid w:val="00CD3A1D"/>
    <w:rsid w:val="00CD4401"/>
    <w:rsid w:val="00CD4959"/>
    <w:rsid w:val="00CD4A5A"/>
    <w:rsid w:val="00CD4EA0"/>
    <w:rsid w:val="00CD4F27"/>
    <w:rsid w:val="00CD5092"/>
    <w:rsid w:val="00CD514C"/>
    <w:rsid w:val="00CD5195"/>
    <w:rsid w:val="00CD5622"/>
    <w:rsid w:val="00CD564B"/>
    <w:rsid w:val="00CD5724"/>
    <w:rsid w:val="00CD57DB"/>
    <w:rsid w:val="00CD5A41"/>
    <w:rsid w:val="00CD5BAE"/>
    <w:rsid w:val="00CD66E6"/>
    <w:rsid w:val="00CD72C1"/>
    <w:rsid w:val="00CD75AD"/>
    <w:rsid w:val="00CD79DE"/>
    <w:rsid w:val="00CD7A80"/>
    <w:rsid w:val="00CE009A"/>
    <w:rsid w:val="00CE0135"/>
    <w:rsid w:val="00CE0174"/>
    <w:rsid w:val="00CE0527"/>
    <w:rsid w:val="00CE05FF"/>
    <w:rsid w:val="00CE0902"/>
    <w:rsid w:val="00CE0D6A"/>
    <w:rsid w:val="00CE0DBF"/>
    <w:rsid w:val="00CE1446"/>
    <w:rsid w:val="00CE19DC"/>
    <w:rsid w:val="00CE1E09"/>
    <w:rsid w:val="00CE1E15"/>
    <w:rsid w:val="00CE1ED2"/>
    <w:rsid w:val="00CE20B9"/>
    <w:rsid w:val="00CE2544"/>
    <w:rsid w:val="00CE28CB"/>
    <w:rsid w:val="00CE2D09"/>
    <w:rsid w:val="00CE338C"/>
    <w:rsid w:val="00CE3761"/>
    <w:rsid w:val="00CE3AAB"/>
    <w:rsid w:val="00CE3D54"/>
    <w:rsid w:val="00CE3D76"/>
    <w:rsid w:val="00CE3E8B"/>
    <w:rsid w:val="00CE3F62"/>
    <w:rsid w:val="00CE43CD"/>
    <w:rsid w:val="00CE45E8"/>
    <w:rsid w:val="00CE45F8"/>
    <w:rsid w:val="00CE4719"/>
    <w:rsid w:val="00CE4789"/>
    <w:rsid w:val="00CE4825"/>
    <w:rsid w:val="00CE4BF6"/>
    <w:rsid w:val="00CE5046"/>
    <w:rsid w:val="00CE52A8"/>
    <w:rsid w:val="00CE5662"/>
    <w:rsid w:val="00CE5B32"/>
    <w:rsid w:val="00CE5CE5"/>
    <w:rsid w:val="00CE61D8"/>
    <w:rsid w:val="00CE673C"/>
    <w:rsid w:val="00CE689E"/>
    <w:rsid w:val="00CE68C7"/>
    <w:rsid w:val="00CE6B7E"/>
    <w:rsid w:val="00CE6E26"/>
    <w:rsid w:val="00CE6F2C"/>
    <w:rsid w:val="00CE6F8B"/>
    <w:rsid w:val="00CE72F6"/>
    <w:rsid w:val="00CE731B"/>
    <w:rsid w:val="00CE7413"/>
    <w:rsid w:val="00CE7445"/>
    <w:rsid w:val="00CE7EFD"/>
    <w:rsid w:val="00CF025C"/>
    <w:rsid w:val="00CF0358"/>
    <w:rsid w:val="00CF0985"/>
    <w:rsid w:val="00CF0AB9"/>
    <w:rsid w:val="00CF0B57"/>
    <w:rsid w:val="00CF0C6B"/>
    <w:rsid w:val="00CF0CCA"/>
    <w:rsid w:val="00CF0D3F"/>
    <w:rsid w:val="00CF10F9"/>
    <w:rsid w:val="00CF1282"/>
    <w:rsid w:val="00CF17D1"/>
    <w:rsid w:val="00CF207D"/>
    <w:rsid w:val="00CF2D0E"/>
    <w:rsid w:val="00CF2FF6"/>
    <w:rsid w:val="00CF345D"/>
    <w:rsid w:val="00CF3C8D"/>
    <w:rsid w:val="00CF3DA4"/>
    <w:rsid w:val="00CF40FB"/>
    <w:rsid w:val="00CF4760"/>
    <w:rsid w:val="00CF47E0"/>
    <w:rsid w:val="00CF4EB0"/>
    <w:rsid w:val="00CF4F63"/>
    <w:rsid w:val="00CF53F0"/>
    <w:rsid w:val="00CF5846"/>
    <w:rsid w:val="00CF5CFE"/>
    <w:rsid w:val="00CF5FC2"/>
    <w:rsid w:val="00CF61B2"/>
    <w:rsid w:val="00CF6481"/>
    <w:rsid w:val="00CF6A13"/>
    <w:rsid w:val="00CF6A20"/>
    <w:rsid w:val="00CF6A99"/>
    <w:rsid w:val="00CF6DBC"/>
    <w:rsid w:val="00CF6DE9"/>
    <w:rsid w:val="00CF6FBE"/>
    <w:rsid w:val="00CF703D"/>
    <w:rsid w:val="00CF7096"/>
    <w:rsid w:val="00CF7448"/>
    <w:rsid w:val="00CF75B2"/>
    <w:rsid w:val="00CF7F98"/>
    <w:rsid w:val="00D002BC"/>
    <w:rsid w:val="00D00340"/>
    <w:rsid w:val="00D00558"/>
    <w:rsid w:val="00D0107A"/>
    <w:rsid w:val="00D010E4"/>
    <w:rsid w:val="00D01441"/>
    <w:rsid w:val="00D014B6"/>
    <w:rsid w:val="00D016CE"/>
    <w:rsid w:val="00D01849"/>
    <w:rsid w:val="00D019D0"/>
    <w:rsid w:val="00D01A6A"/>
    <w:rsid w:val="00D01CB1"/>
    <w:rsid w:val="00D01D0C"/>
    <w:rsid w:val="00D0205D"/>
    <w:rsid w:val="00D0234E"/>
    <w:rsid w:val="00D02375"/>
    <w:rsid w:val="00D026D1"/>
    <w:rsid w:val="00D027C7"/>
    <w:rsid w:val="00D03427"/>
    <w:rsid w:val="00D03916"/>
    <w:rsid w:val="00D03CA0"/>
    <w:rsid w:val="00D040BE"/>
    <w:rsid w:val="00D041B2"/>
    <w:rsid w:val="00D0421D"/>
    <w:rsid w:val="00D043AE"/>
    <w:rsid w:val="00D0469F"/>
    <w:rsid w:val="00D0485D"/>
    <w:rsid w:val="00D04AF4"/>
    <w:rsid w:val="00D04E40"/>
    <w:rsid w:val="00D05024"/>
    <w:rsid w:val="00D05060"/>
    <w:rsid w:val="00D0540B"/>
    <w:rsid w:val="00D055CD"/>
    <w:rsid w:val="00D05624"/>
    <w:rsid w:val="00D05B1E"/>
    <w:rsid w:val="00D05D44"/>
    <w:rsid w:val="00D06129"/>
    <w:rsid w:val="00D063BB"/>
    <w:rsid w:val="00D067FD"/>
    <w:rsid w:val="00D06A8D"/>
    <w:rsid w:val="00D06BC8"/>
    <w:rsid w:val="00D070D7"/>
    <w:rsid w:val="00D076CF"/>
    <w:rsid w:val="00D07944"/>
    <w:rsid w:val="00D07A28"/>
    <w:rsid w:val="00D07B35"/>
    <w:rsid w:val="00D07DB0"/>
    <w:rsid w:val="00D07F61"/>
    <w:rsid w:val="00D106C8"/>
    <w:rsid w:val="00D10BC5"/>
    <w:rsid w:val="00D110A8"/>
    <w:rsid w:val="00D11179"/>
    <w:rsid w:val="00D116AF"/>
    <w:rsid w:val="00D11D1B"/>
    <w:rsid w:val="00D1213B"/>
    <w:rsid w:val="00D12240"/>
    <w:rsid w:val="00D122E3"/>
    <w:rsid w:val="00D12375"/>
    <w:rsid w:val="00D123D8"/>
    <w:rsid w:val="00D1290E"/>
    <w:rsid w:val="00D12CB1"/>
    <w:rsid w:val="00D12D85"/>
    <w:rsid w:val="00D1365D"/>
    <w:rsid w:val="00D136DD"/>
    <w:rsid w:val="00D1373E"/>
    <w:rsid w:val="00D13891"/>
    <w:rsid w:val="00D13C16"/>
    <w:rsid w:val="00D13E51"/>
    <w:rsid w:val="00D14630"/>
    <w:rsid w:val="00D14677"/>
    <w:rsid w:val="00D14E75"/>
    <w:rsid w:val="00D150CB"/>
    <w:rsid w:val="00D1510C"/>
    <w:rsid w:val="00D1527B"/>
    <w:rsid w:val="00D155DD"/>
    <w:rsid w:val="00D15611"/>
    <w:rsid w:val="00D156A2"/>
    <w:rsid w:val="00D1586E"/>
    <w:rsid w:val="00D15961"/>
    <w:rsid w:val="00D159AD"/>
    <w:rsid w:val="00D159B5"/>
    <w:rsid w:val="00D15B5B"/>
    <w:rsid w:val="00D15BA3"/>
    <w:rsid w:val="00D162DF"/>
    <w:rsid w:val="00D1643B"/>
    <w:rsid w:val="00D16C4B"/>
    <w:rsid w:val="00D174C5"/>
    <w:rsid w:val="00D174E1"/>
    <w:rsid w:val="00D1765D"/>
    <w:rsid w:val="00D17B65"/>
    <w:rsid w:val="00D17D04"/>
    <w:rsid w:val="00D20050"/>
    <w:rsid w:val="00D2019D"/>
    <w:rsid w:val="00D2090C"/>
    <w:rsid w:val="00D20D00"/>
    <w:rsid w:val="00D20E60"/>
    <w:rsid w:val="00D213D6"/>
    <w:rsid w:val="00D2151F"/>
    <w:rsid w:val="00D21697"/>
    <w:rsid w:val="00D218F9"/>
    <w:rsid w:val="00D220A6"/>
    <w:rsid w:val="00D2274F"/>
    <w:rsid w:val="00D22AAB"/>
    <w:rsid w:val="00D22B0F"/>
    <w:rsid w:val="00D22D03"/>
    <w:rsid w:val="00D22FB4"/>
    <w:rsid w:val="00D23065"/>
    <w:rsid w:val="00D233DA"/>
    <w:rsid w:val="00D23645"/>
    <w:rsid w:val="00D2366B"/>
    <w:rsid w:val="00D239E9"/>
    <w:rsid w:val="00D23A21"/>
    <w:rsid w:val="00D23AFD"/>
    <w:rsid w:val="00D23BA6"/>
    <w:rsid w:val="00D24036"/>
    <w:rsid w:val="00D24323"/>
    <w:rsid w:val="00D248EC"/>
    <w:rsid w:val="00D24B73"/>
    <w:rsid w:val="00D24B86"/>
    <w:rsid w:val="00D25093"/>
    <w:rsid w:val="00D251DA"/>
    <w:rsid w:val="00D252B6"/>
    <w:rsid w:val="00D2539C"/>
    <w:rsid w:val="00D25828"/>
    <w:rsid w:val="00D2587D"/>
    <w:rsid w:val="00D258A6"/>
    <w:rsid w:val="00D25A66"/>
    <w:rsid w:val="00D25A84"/>
    <w:rsid w:val="00D25AE3"/>
    <w:rsid w:val="00D25C95"/>
    <w:rsid w:val="00D26143"/>
    <w:rsid w:val="00D265DA"/>
    <w:rsid w:val="00D265FA"/>
    <w:rsid w:val="00D2685F"/>
    <w:rsid w:val="00D26A01"/>
    <w:rsid w:val="00D26D98"/>
    <w:rsid w:val="00D270E6"/>
    <w:rsid w:val="00D27213"/>
    <w:rsid w:val="00D27FCE"/>
    <w:rsid w:val="00D30100"/>
    <w:rsid w:val="00D303F8"/>
    <w:rsid w:val="00D307A7"/>
    <w:rsid w:val="00D30A06"/>
    <w:rsid w:val="00D30B47"/>
    <w:rsid w:val="00D30D57"/>
    <w:rsid w:val="00D30E3D"/>
    <w:rsid w:val="00D30E94"/>
    <w:rsid w:val="00D31738"/>
    <w:rsid w:val="00D31834"/>
    <w:rsid w:val="00D31D5F"/>
    <w:rsid w:val="00D31F1E"/>
    <w:rsid w:val="00D32583"/>
    <w:rsid w:val="00D3280F"/>
    <w:rsid w:val="00D3305B"/>
    <w:rsid w:val="00D33198"/>
    <w:rsid w:val="00D33509"/>
    <w:rsid w:val="00D33845"/>
    <w:rsid w:val="00D33854"/>
    <w:rsid w:val="00D33A45"/>
    <w:rsid w:val="00D33C2C"/>
    <w:rsid w:val="00D33DE1"/>
    <w:rsid w:val="00D349D0"/>
    <w:rsid w:val="00D3512E"/>
    <w:rsid w:val="00D3522E"/>
    <w:rsid w:val="00D35A09"/>
    <w:rsid w:val="00D35ABD"/>
    <w:rsid w:val="00D35C89"/>
    <w:rsid w:val="00D36ABA"/>
    <w:rsid w:val="00D36C1C"/>
    <w:rsid w:val="00D36CBC"/>
    <w:rsid w:val="00D36F6C"/>
    <w:rsid w:val="00D36FC7"/>
    <w:rsid w:val="00D37047"/>
    <w:rsid w:val="00D374A9"/>
    <w:rsid w:val="00D375A4"/>
    <w:rsid w:val="00D37A22"/>
    <w:rsid w:val="00D37DAA"/>
    <w:rsid w:val="00D4033F"/>
    <w:rsid w:val="00D405D8"/>
    <w:rsid w:val="00D407A4"/>
    <w:rsid w:val="00D407E9"/>
    <w:rsid w:val="00D40A1C"/>
    <w:rsid w:val="00D41558"/>
    <w:rsid w:val="00D4181B"/>
    <w:rsid w:val="00D41F09"/>
    <w:rsid w:val="00D421C7"/>
    <w:rsid w:val="00D425D5"/>
    <w:rsid w:val="00D4284D"/>
    <w:rsid w:val="00D42940"/>
    <w:rsid w:val="00D42952"/>
    <w:rsid w:val="00D42ADE"/>
    <w:rsid w:val="00D4324B"/>
    <w:rsid w:val="00D43270"/>
    <w:rsid w:val="00D43587"/>
    <w:rsid w:val="00D438A5"/>
    <w:rsid w:val="00D43D6E"/>
    <w:rsid w:val="00D4412A"/>
    <w:rsid w:val="00D44271"/>
    <w:rsid w:val="00D44A7C"/>
    <w:rsid w:val="00D44F29"/>
    <w:rsid w:val="00D4502D"/>
    <w:rsid w:val="00D455C6"/>
    <w:rsid w:val="00D4574C"/>
    <w:rsid w:val="00D45753"/>
    <w:rsid w:val="00D45C7C"/>
    <w:rsid w:val="00D45EB9"/>
    <w:rsid w:val="00D45F11"/>
    <w:rsid w:val="00D461D1"/>
    <w:rsid w:val="00D468DB"/>
    <w:rsid w:val="00D46BB7"/>
    <w:rsid w:val="00D47165"/>
    <w:rsid w:val="00D47464"/>
    <w:rsid w:val="00D477B6"/>
    <w:rsid w:val="00D478E6"/>
    <w:rsid w:val="00D50022"/>
    <w:rsid w:val="00D50111"/>
    <w:rsid w:val="00D5013F"/>
    <w:rsid w:val="00D503E1"/>
    <w:rsid w:val="00D50481"/>
    <w:rsid w:val="00D509C1"/>
    <w:rsid w:val="00D50D3D"/>
    <w:rsid w:val="00D51141"/>
    <w:rsid w:val="00D5146B"/>
    <w:rsid w:val="00D516FF"/>
    <w:rsid w:val="00D51B3E"/>
    <w:rsid w:val="00D520DF"/>
    <w:rsid w:val="00D521F6"/>
    <w:rsid w:val="00D5264D"/>
    <w:rsid w:val="00D52663"/>
    <w:rsid w:val="00D52948"/>
    <w:rsid w:val="00D52BF7"/>
    <w:rsid w:val="00D52DBD"/>
    <w:rsid w:val="00D52E7D"/>
    <w:rsid w:val="00D53237"/>
    <w:rsid w:val="00D535D6"/>
    <w:rsid w:val="00D53A42"/>
    <w:rsid w:val="00D53A6D"/>
    <w:rsid w:val="00D53E31"/>
    <w:rsid w:val="00D53EF5"/>
    <w:rsid w:val="00D54098"/>
    <w:rsid w:val="00D54506"/>
    <w:rsid w:val="00D546AE"/>
    <w:rsid w:val="00D549C2"/>
    <w:rsid w:val="00D54B0C"/>
    <w:rsid w:val="00D54F1F"/>
    <w:rsid w:val="00D54FB8"/>
    <w:rsid w:val="00D55B38"/>
    <w:rsid w:val="00D55BE8"/>
    <w:rsid w:val="00D55FF0"/>
    <w:rsid w:val="00D56242"/>
    <w:rsid w:val="00D56579"/>
    <w:rsid w:val="00D566F9"/>
    <w:rsid w:val="00D56EB1"/>
    <w:rsid w:val="00D56F5B"/>
    <w:rsid w:val="00D573CC"/>
    <w:rsid w:val="00D576E6"/>
    <w:rsid w:val="00D57861"/>
    <w:rsid w:val="00D57A92"/>
    <w:rsid w:val="00D57C6A"/>
    <w:rsid w:val="00D57E5C"/>
    <w:rsid w:val="00D602E8"/>
    <w:rsid w:val="00D60300"/>
    <w:rsid w:val="00D60315"/>
    <w:rsid w:val="00D60350"/>
    <w:rsid w:val="00D60606"/>
    <w:rsid w:val="00D60745"/>
    <w:rsid w:val="00D60A78"/>
    <w:rsid w:val="00D60E2D"/>
    <w:rsid w:val="00D60EDF"/>
    <w:rsid w:val="00D60F6D"/>
    <w:rsid w:val="00D61166"/>
    <w:rsid w:val="00D61264"/>
    <w:rsid w:val="00D6127D"/>
    <w:rsid w:val="00D614D2"/>
    <w:rsid w:val="00D61529"/>
    <w:rsid w:val="00D623F6"/>
    <w:rsid w:val="00D62AF8"/>
    <w:rsid w:val="00D62FCD"/>
    <w:rsid w:val="00D63110"/>
    <w:rsid w:val="00D63326"/>
    <w:rsid w:val="00D63352"/>
    <w:rsid w:val="00D63385"/>
    <w:rsid w:val="00D63401"/>
    <w:rsid w:val="00D6368A"/>
    <w:rsid w:val="00D63773"/>
    <w:rsid w:val="00D639E3"/>
    <w:rsid w:val="00D63AE6"/>
    <w:rsid w:val="00D63B85"/>
    <w:rsid w:val="00D63DBE"/>
    <w:rsid w:val="00D63E34"/>
    <w:rsid w:val="00D643C3"/>
    <w:rsid w:val="00D648A2"/>
    <w:rsid w:val="00D650FC"/>
    <w:rsid w:val="00D6511D"/>
    <w:rsid w:val="00D65392"/>
    <w:rsid w:val="00D65ABC"/>
    <w:rsid w:val="00D65C81"/>
    <w:rsid w:val="00D65E28"/>
    <w:rsid w:val="00D66038"/>
    <w:rsid w:val="00D6603F"/>
    <w:rsid w:val="00D66566"/>
    <w:rsid w:val="00D6693B"/>
    <w:rsid w:val="00D66AF4"/>
    <w:rsid w:val="00D6705E"/>
    <w:rsid w:val="00D67157"/>
    <w:rsid w:val="00D67315"/>
    <w:rsid w:val="00D67770"/>
    <w:rsid w:val="00D67B43"/>
    <w:rsid w:val="00D701A5"/>
    <w:rsid w:val="00D70657"/>
    <w:rsid w:val="00D706A5"/>
    <w:rsid w:val="00D70E58"/>
    <w:rsid w:val="00D710CA"/>
    <w:rsid w:val="00D71305"/>
    <w:rsid w:val="00D71696"/>
    <w:rsid w:val="00D716A5"/>
    <w:rsid w:val="00D71DDD"/>
    <w:rsid w:val="00D729E8"/>
    <w:rsid w:val="00D72BA6"/>
    <w:rsid w:val="00D72E8B"/>
    <w:rsid w:val="00D72F21"/>
    <w:rsid w:val="00D733D2"/>
    <w:rsid w:val="00D73490"/>
    <w:rsid w:val="00D7361A"/>
    <w:rsid w:val="00D736AB"/>
    <w:rsid w:val="00D73A50"/>
    <w:rsid w:val="00D73A5A"/>
    <w:rsid w:val="00D73ECB"/>
    <w:rsid w:val="00D73F2C"/>
    <w:rsid w:val="00D740E8"/>
    <w:rsid w:val="00D741A6"/>
    <w:rsid w:val="00D74209"/>
    <w:rsid w:val="00D745F3"/>
    <w:rsid w:val="00D74A8B"/>
    <w:rsid w:val="00D74AB0"/>
    <w:rsid w:val="00D74F14"/>
    <w:rsid w:val="00D74FE0"/>
    <w:rsid w:val="00D75371"/>
    <w:rsid w:val="00D7595E"/>
    <w:rsid w:val="00D759E9"/>
    <w:rsid w:val="00D75F50"/>
    <w:rsid w:val="00D761CF"/>
    <w:rsid w:val="00D761EF"/>
    <w:rsid w:val="00D762A7"/>
    <w:rsid w:val="00D76385"/>
    <w:rsid w:val="00D76830"/>
    <w:rsid w:val="00D769A2"/>
    <w:rsid w:val="00D76E33"/>
    <w:rsid w:val="00D76F1B"/>
    <w:rsid w:val="00D76F91"/>
    <w:rsid w:val="00D77580"/>
    <w:rsid w:val="00D7783C"/>
    <w:rsid w:val="00D778F0"/>
    <w:rsid w:val="00D77947"/>
    <w:rsid w:val="00D77F81"/>
    <w:rsid w:val="00D80012"/>
    <w:rsid w:val="00D803F6"/>
    <w:rsid w:val="00D8058D"/>
    <w:rsid w:val="00D8080A"/>
    <w:rsid w:val="00D80864"/>
    <w:rsid w:val="00D809A0"/>
    <w:rsid w:val="00D80A6F"/>
    <w:rsid w:val="00D80AA0"/>
    <w:rsid w:val="00D80B26"/>
    <w:rsid w:val="00D80BF6"/>
    <w:rsid w:val="00D80C87"/>
    <w:rsid w:val="00D80E6C"/>
    <w:rsid w:val="00D80F76"/>
    <w:rsid w:val="00D8117F"/>
    <w:rsid w:val="00D812C7"/>
    <w:rsid w:val="00D81316"/>
    <w:rsid w:val="00D81565"/>
    <w:rsid w:val="00D81981"/>
    <w:rsid w:val="00D81A19"/>
    <w:rsid w:val="00D81AF0"/>
    <w:rsid w:val="00D81BCB"/>
    <w:rsid w:val="00D81DC3"/>
    <w:rsid w:val="00D81DC4"/>
    <w:rsid w:val="00D81FDA"/>
    <w:rsid w:val="00D82050"/>
    <w:rsid w:val="00D822C5"/>
    <w:rsid w:val="00D82672"/>
    <w:rsid w:val="00D829B2"/>
    <w:rsid w:val="00D82E18"/>
    <w:rsid w:val="00D8321D"/>
    <w:rsid w:val="00D83247"/>
    <w:rsid w:val="00D83359"/>
    <w:rsid w:val="00D83816"/>
    <w:rsid w:val="00D841E8"/>
    <w:rsid w:val="00D8447E"/>
    <w:rsid w:val="00D844C4"/>
    <w:rsid w:val="00D846C8"/>
    <w:rsid w:val="00D846CE"/>
    <w:rsid w:val="00D8478D"/>
    <w:rsid w:val="00D8490C"/>
    <w:rsid w:val="00D8565D"/>
    <w:rsid w:val="00D85ABA"/>
    <w:rsid w:val="00D85C84"/>
    <w:rsid w:val="00D86052"/>
    <w:rsid w:val="00D86140"/>
    <w:rsid w:val="00D863FA"/>
    <w:rsid w:val="00D86682"/>
    <w:rsid w:val="00D86845"/>
    <w:rsid w:val="00D86B8F"/>
    <w:rsid w:val="00D87019"/>
    <w:rsid w:val="00D87085"/>
    <w:rsid w:val="00D87204"/>
    <w:rsid w:val="00D875A7"/>
    <w:rsid w:val="00D876ED"/>
    <w:rsid w:val="00D8799F"/>
    <w:rsid w:val="00D879A4"/>
    <w:rsid w:val="00D87A1A"/>
    <w:rsid w:val="00D87D86"/>
    <w:rsid w:val="00D90100"/>
    <w:rsid w:val="00D903DE"/>
    <w:rsid w:val="00D906B4"/>
    <w:rsid w:val="00D90A10"/>
    <w:rsid w:val="00D90A74"/>
    <w:rsid w:val="00D90BC5"/>
    <w:rsid w:val="00D90E6E"/>
    <w:rsid w:val="00D9176F"/>
    <w:rsid w:val="00D91B82"/>
    <w:rsid w:val="00D91BD8"/>
    <w:rsid w:val="00D91D6B"/>
    <w:rsid w:val="00D91FCE"/>
    <w:rsid w:val="00D924D8"/>
    <w:rsid w:val="00D927A0"/>
    <w:rsid w:val="00D92C48"/>
    <w:rsid w:val="00D92D9E"/>
    <w:rsid w:val="00D930DE"/>
    <w:rsid w:val="00D93230"/>
    <w:rsid w:val="00D9364C"/>
    <w:rsid w:val="00D93875"/>
    <w:rsid w:val="00D93B04"/>
    <w:rsid w:val="00D93C17"/>
    <w:rsid w:val="00D93C5B"/>
    <w:rsid w:val="00D93CF5"/>
    <w:rsid w:val="00D93DBC"/>
    <w:rsid w:val="00D94597"/>
    <w:rsid w:val="00D9477F"/>
    <w:rsid w:val="00D94887"/>
    <w:rsid w:val="00D948E0"/>
    <w:rsid w:val="00D950E8"/>
    <w:rsid w:val="00D95DE6"/>
    <w:rsid w:val="00D95E17"/>
    <w:rsid w:val="00D96082"/>
    <w:rsid w:val="00D96329"/>
    <w:rsid w:val="00D96377"/>
    <w:rsid w:val="00D96498"/>
    <w:rsid w:val="00D96CC6"/>
    <w:rsid w:val="00D971D5"/>
    <w:rsid w:val="00D97803"/>
    <w:rsid w:val="00D979C1"/>
    <w:rsid w:val="00D97B88"/>
    <w:rsid w:val="00D97FAB"/>
    <w:rsid w:val="00D97FE8"/>
    <w:rsid w:val="00DA038C"/>
    <w:rsid w:val="00DA06A8"/>
    <w:rsid w:val="00DA071C"/>
    <w:rsid w:val="00DA1673"/>
    <w:rsid w:val="00DA1F47"/>
    <w:rsid w:val="00DA2007"/>
    <w:rsid w:val="00DA22C1"/>
    <w:rsid w:val="00DA267E"/>
    <w:rsid w:val="00DA2C13"/>
    <w:rsid w:val="00DA2E36"/>
    <w:rsid w:val="00DA3363"/>
    <w:rsid w:val="00DA3617"/>
    <w:rsid w:val="00DA3770"/>
    <w:rsid w:val="00DA3908"/>
    <w:rsid w:val="00DA3AA3"/>
    <w:rsid w:val="00DA4E94"/>
    <w:rsid w:val="00DA503C"/>
    <w:rsid w:val="00DA54D4"/>
    <w:rsid w:val="00DA551A"/>
    <w:rsid w:val="00DA56D2"/>
    <w:rsid w:val="00DA58EB"/>
    <w:rsid w:val="00DA58F1"/>
    <w:rsid w:val="00DA5B37"/>
    <w:rsid w:val="00DA5DFB"/>
    <w:rsid w:val="00DA5FC9"/>
    <w:rsid w:val="00DA6208"/>
    <w:rsid w:val="00DA63E7"/>
    <w:rsid w:val="00DA649B"/>
    <w:rsid w:val="00DA66AD"/>
    <w:rsid w:val="00DA68A7"/>
    <w:rsid w:val="00DA693C"/>
    <w:rsid w:val="00DA6AD2"/>
    <w:rsid w:val="00DA6B06"/>
    <w:rsid w:val="00DA6F8A"/>
    <w:rsid w:val="00DA728A"/>
    <w:rsid w:val="00DA7BBF"/>
    <w:rsid w:val="00DA7BC4"/>
    <w:rsid w:val="00DA7C87"/>
    <w:rsid w:val="00DA7CAB"/>
    <w:rsid w:val="00DB02FF"/>
    <w:rsid w:val="00DB07AA"/>
    <w:rsid w:val="00DB087B"/>
    <w:rsid w:val="00DB0E46"/>
    <w:rsid w:val="00DB1185"/>
    <w:rsid w:val="00DB133F"/>
    <w:rsid w:val="00DB1B6B"/>
    <w:rsid w:val="00DB1B72"/>
    <w:rsid w:val="00DB1C96"/>
    <w:rsid w:val="00DB2015"/>
    <w:rsid w:val="00DB229C"/>
    <w:rsid w:val="00DB24F6"/>
    <w:rsid w:val="00DB2714"/>
    <w:rsid w:val="00DB27E5"/>
    <w:rsid w:val="00DB283D"/>
    <w:rsid w:val="00DB2AF3"/>
    <w:rsid w:val="00DB2B68"/>
    <w:rsid w:val="00DB2C34"/>
    <w:rsid w:val="00DB2CCD"/>
    <w:rsid w:val="00DB302D"/>
    <w:rsid w:val="00DB3032"/>
    <w:rsid w:val="00DB3197"/>
    <w:rsid w:val="00DB3457"/>
    <w:rsid w:val="00DB378D"/>
    <w:rsid w:val="00DB388E"/>
    <w:rsid w:val="00DB3935"/>
    <w:rsid w:val="00DB3EB9"/>
    <w:rsid w:val="00DB43C7"/>
    <w:rsid w:val="00DB4BB3"/>
    <w:rsid w:val="00DB4CB5"/>
    <w:rsid w:val="00DB4FE4"/>
    <w:rsid w:val="00DB50E0"/>
    <w:rsid w:val="00DB55CD"/>
    <w:rsid w:val="00DB6160"/>
    <w:rsid w:val="00DB65A3"/>
    <w:rsid w:val="00DB66B8"/>
    <w:rsid w:val="00DB6710"/>
    <w:rsid w:val="00DB68B0"/>
    <w:rsid w:val="00DB6CAA"/>
    <w:rsid w:val="00DB6F41"/>
    <w:rsid w:val="00DB7386"/>
    <w:rsid w:val="00DB7559"/>
    <w:rsid w:val="00DB7AE4"/>
    <w:rsid w:val="00DB7EC6"/>
    <w:rsid w:val="00DC0060"/>
    <w:rsid w:val="00DC0307"/>
    <w:rsid w:val="00DC0428"/>
    <w:rsid w:val="00DC0D5B"/>
    <w:rsid w:val="00DC131C"/>
    <w:rsid w:val="00DC1397"/>
    <w:rsid w:val="00DC144E"/>
    <w:rsid w:val="00DC197E"/>
    <w:rsid w:val="00DC1DB0"/>
    <w:rsid w:val="00DC2077"/>
    <w:rsid w:val="00DC234A"/>
    <w:rsid w:val="00DC2622"/>
    <w:rsid w:val="00DC26B4"/>
    <w:rsid w:val="00DC2813"/>
    <w:rsid w:val="00DC284C"/>
    <w:rsid w:val="00DC2871"/>
    <w:rsid w:val="00DC2DCD"/>
    <w:rsid w:val="00DC2F67"/>
    <w:rsid w:val="00DC366C"/>
    <w:rsid w:val="00DC3B19"/>
    <w:rsid w:val="00DC3BD4"/>
    <w:rsid w:val="00DC3E39"/>
    <w:rsid w:val="00DC3F11"/>
    <w:rsid w:val="00DC3F4F"/>
    <w:rsid w:val="00DC4161"/>
    <w:rsid w:val="00DC491A"/>
    <w:rsid w:val="00DC4936"/>
    <w:rsid w:val="00DC4A57"/>
    <w:rsid w:val="00DC4C75"/>
    <w:rsid w:val="00DC4D08"/>
    <w:rsid w:val="00DC5563"/>
    <w:rsid w:val="00DC5829"/>
    <w:rsid w:val="00DC58ED"/>
    <w:rsid w:val="00DC5FF1"/>
    <w:rsid w:val="00DC6360"/>
    <w:rsid w:val="00DC667C"/>
    <w:rsid w:val="00DC7486"/>
    <w:rsid w:val="00DC7620"/>
    <w:rsid w:val="00DC7A3F"/>
    <w:rsid w:val="00DD012C"/>
    <w:rsid w:val="00DD056E"/>
    <w:rsid w:val="00DD0901"/>
    <w:rsid w:val="00DD0ED5"/>
    <w:rsid w:val="00DD1001"/>
    <w:rsid w:val="00DD100B"/>
    <w:rsid w:val="00DD103A"/>
    <w:rsid w:val="00DD13C6"/>
    <w:rsid w:val="00DD155D"/>
    <w:rsid w:val="00DD1563"/>
    <w:rsid w:val="00DD15BD"/>
    <w:rsid w:val="00DD16BD"/>
    <w:rsid w:val="00DD1B88"/>
    <w:rsid w:val="00DD1C02"/>
    <w:rsid w:val="00DD1C7E"/>
    <w:rsid w:val="00DD1D6E"/>
    <w:rsid w:val="00DD1E03"/>
    <w:rsid w:val="00DD238A"/>
    <w:rsid w:val="00DD262E"/>
    <w:rsid w:val="00DD2847"/>
    <w:rsid w:val="00DD2904"/>
    <w:rsid w:val="00DD2A2B"/>
    <w:rsid w:val="00DD2B1A"/>
    <w:rsid w:val="00DD2FBF"/>
    <w:rsid w:val="00DD3204"/>
    <w:rsid w:val="00DD3378"/>
    <w:rsid w:val="00DD3B6B"/>
    <w:rsid w:val="00DD3BDD"/>
    <w:rsid w:val="00DD3CC3"/>
    <w:rsid w:val="00DD3E30"/>
    <w:rsid w:val="00DD3FC5"/>
    <w:rsid w:val="00DD49C8"/>
    <w:rsid w:val="00DD49E1"/>
    <w:rsid w:val="00DD4B2E"/>
    <w:rsid w:val="00DD4C07"/>
    <w:rsid w:val="00DD506D"/>
    <w:rsid w:val="00DD594D"/>
    <w:rsid w:val="00DD5CBC"/>
    <w:rsid w:val="00DD5FB3"/>
    <w:rsid w:val="00DD60E1"/>
    <w:rsid w:val="00DD64E3"/>
    <w:rsid w:val="00DD6DD8"/>
    <w:rsid w:val="00DD7385"/>
    <w:rsid w:val="00DD7391"/>
    <w:rsid w:val="00DD7739"/>
    <w:rsid w:val="00DD785A"/>
    <w:rsid w:val="00DD78AC"/>
    <w:rsid w:val="00DD78D3"/>
    <w:rsid w:val="00DD7ADF"/>
    <w:rsid w:val="00DD7B46"/>
    <w:rsid w:val="00DD7C75"/>
    <w:rsid w:val="00DD7F0A"/>
    <w:rsid w:val="00DE00B4"/>
    <w:rsid w:val="00DE00B6"/>
    <w:rsid w:val="00DE067C"/>
    <w:rsid w:val="00DE0966"/>
    <w:rsid w:val="00DE0C54"/>
    <w:rsid w:val="00DE1CC0"/>
    <w:rsid w:val="00DE1F8A"/>
    <w:rsid w:val="00DE2195"/>
    <w:rsid w:val="00DE23BA"/>
    <w:rsid w:val="00DE2DC8"/>
    <w:rsid w:val="00DE2E0B"/>
    <w:rsid w:val="00DE2F69"/>
    <w:rsid w:val="00DE304F"/>
    <w:rsid w:val="00DE324C"/>
    <w:rsid w:val="00DE35B9"/>
    <w:rsid w:val="00DE35CB"/>
    <w:rsid w:val="00DE3732"/>
    <w:rsid w:val="00DE3861"/>
    <w:rsid w:val="00DE3D65"/>
    <w:rsid w:val="00DE3D8E"/>
    <w:rsid w:val="00DE4480"/>
    <w:rsid w:val="00DE44FA"/>
    <w:rsid w:val="00DE48A0"/>
    <w:rsid w:val="00DE4A04"/>
    <w:rsid w:val="00DE4AA6"/>
    <w:rsid w:val="00DE5098"/>
    <w:rsid w:val="00DE50E7"/>
    <w:rsid w:val="00DE5A41"/>
    <w:rsid w:val="00DE5C04"/>
    <w:rsid w:val="00DE5DDC"/>
    <w:rsid w:val="00DE5EFA"/>
    <w:rsid w:val="00DE68D3"/>
    <w:rsid w:val="00DE69D0"/>
    <w:rsid w:val="00DE6C10"/>
    <w:rsid w:val="00DE6EA4"/>
    <w:rsid w:val="00DE736F"/>
    <w:rsid w:val="00DE73BC"/>
    <w:rsid w:val="00DE7541"/>
    <w:rsid w:val="00DE7619"/>
    <w:rsid w:val="00DF0770"/>
    <w:rsid w:val="00DF0DA7"/>
    <w:rsid w:val="00DF0E75"/>
    <w:rsid w:val="00DF10D8"/>
    <w:rsid w:val="00DF168C"/>
    <w:rsid w:val="00DF16B1"/>
    <w:rsid w:val="00DF16C5"/>
    <w:rsid w:val="00DF1730"/>
    <w:rsid w:val="00DF19D2"/>
    <w:rsid w:val="00DF1CAE"/>
    <w:rsid w:val="00DF2070"/>
    <w:rsid w:val="00DF2087"/>
    <w:rsid w:val="00DF245E"/>
    <w:rsid w:val="00DF263D"/>
    <w:rsid w:val="00DF338C"/>
    <w:rsid w:val="00DF3BB9"/>
    <w:rsid w:val="00DF3BDF"/>
    <w:rsid w:val="00DF4EC2"/>
    <w:rsid w:val="00DF4F0F"/>
    <w:rsid w:val="00DF5C60"/>
    <w:rsid w:val="00DF606F"/>
    <w:rsid w:val="00DF6245"/>
    <w:rsid w:val="00DF63EF"/>
    <w:rsid w:val="00DF644F"/>
    <w:rsid w:val="00DF664D"/>
    <w:rsid w:val="00DF67CE"/>
    <w:rsid w:val="00DF6C86"/>
    <w:rsid w:val="00DF7099"/>
    <w:rsid w:val="00DF718F"/>
    <w:rsid w:val="00DF7312"/>
    <w:rsid w:val="00DF759E"/>
    <w:rsid w:val="00DF7FD1"/>
    <w:rsid w:val="00E0013A"/>
    <w:rsid w:val="00E006B0"/>
    <w:rsid w:val="00E008DB"/>
    <w:rsid w:val="00E0091A"/>
    <w:rsid w:val="00E009E3"/>
    <w:rsid w:val="00E009EE"/>
    <w:rsid w:val="00E00B12"/>
    <w:rsid w:val="00E00B93"/>
    <w:rsid w:val="00E00D9A"/>
    <w:rsid w:val="00E00E6C"/>
    <w:rsid w:val="00E01155"/>
    <w:rsid w:val="00E014BE"/>
    <w:rsid w:val="00E0157B"/>
    <w:rsid w:val="00E01EB5"/>
    <w:rsid w:val="00E0262A"/>
    <w:rsid w:val="00E02731"/>
    <w:rsid w:val="00E02CFC"/>
    <w:rsid w:val="00E02D42"/>
    <w:rsid w:val="00E02EBF"/>
    <w:rsid w:val="00E031AC"/>
    <w:rsid w:val="00E03671"/>
    <w:rsid w:val="00E036E5"/>
    <w:rsid w:val="00E039F6"/>
    <w:rsid w:val="00E03B80"/>
    <w:rsid w:val="00E03BDB"/>
    <w:rsid w:val="00E04116"/>
    <w:rsid w:val="00E04278"/>
    <w:rsid w:val="00E043C0"/>
    <w:rsid w:val="00E04700"/>
    <w:rsid w:val="00E04C20"/>
    <w:rsid w:val="00E04EEE"/>
    <w:rsid w:val="00E05472"/>
    <w:rsid w:val="00E054A1"/>
    <w:rsid w:val="00E05516"/>
    <w:rsid w:val="00E05ADD"/>
    <w:rsid w:val="00E05BC1"/>
    <w:rsid w:val="00E05DEF"/>
    <w:rsid w:val="00E06371"/>
    <w:rsid w:val="00E063F5"/>
    <w:rsid w:val="00E0660C"/>
    <w:rsid w:val="00E06610"/>
    <w:rsid w:val="00E06851"/>
    <w:rsid w:val="00E06E82"/>
    <w:rsid w:val="00E071B3"/>
    <w:rsid w:val="00E0750D"/>
    <w:rsid w:val="00E07C41"/>
    <w:rsid w:val="00E07C9B"/>
    <w:rsid w:val="00E07DB7"/>
    <w:rsid w:val="00E07E27"/>
    <w:rsid w:val="00E07F95"/>
    <w:rsid w:val="00E07F98"/>
    <w:rsid w:val="00E1001C"/>
    <w:rsid w:val="00E10168"/>
    <w:rsid w:val="00E101FF"/>
    <w:rsid w:val="00E104DA"/>
    <w:rsid w:val="00E10538"/>
    <w:rsid w:val="00E10A23"/>
    <w:rsid w:val="00E11018"/>
    <w:rsid w:val="00E11192"/>
    <w:rsid w:val="00E111E8"/>
    <w:rsid w:val="00E11733"/>
    <w:rsid w:val="00E11822"/>
    <w:rsid w:val="00E11A56"/>
    <w:rsid w:val="00E11AE5"/>
    <w:rsid w:val="00E11B6E"/>
    <w:rsid w:val="00E12274"/>
    <w:rsid w:val="00E12432"/>
    <w:rsid w:val="00E12753"/>
    <w:rsid w:val="00E12979"/>
    <w:rsid w:val="00E12F04"/>
    <w:rsid w:val="00E133B9"/>
    <w:rsid w:val="00E133D7"/>
    <w:rsid w:val="00E1377C"/>
    <w:rsid w:val="00E1390C"/>
    <w:rsid w:val="00E1432B"/>
    <w:rsid w:val="00E143D4"/>
    <w:rsid w:val="00E14795"/>
    <w:rsid w:val="00E14A4F"/>
    <w:rsid w:val="00E14A6E"/>
    <w:rsid w:val="00E14C33"/>
    <w:rsid w:val="00E14D68"/>
    <w:rsid w:val="00E14F69"/>
    <w:rsid w:val="00E15219"/>
    <w:rsid w:val="00E15550"/>
    <w:rsid w:val="00E1564C"/>
    <w:rsid w:val="00E157EC"/>
    <w:rsid w:val="00E1580B"/>
    <w:rsid w:val="00E15891"/>
    <w:rsid w:val="00E15C4B"/>
    <w:rsid w:val="00E15DCF"/>
    <w:rsid w:val="00E1621B"/>
    <w:rsid w:val="00E167CF"/>
    <w:rsid w:val="00E169BE"/>
    <w:rsid w:val="00E16C85"/>
    <w:rsid w:val="00E17426"/>
    <w:rsid w:val="00E1785A"/>
    <w:rsid w:val="00E17E7F"/>
    <w:rsid w:val="00E17FDB"/>
    <w:rsid w:val="00E209F8"/>
    <w:rsid w:val="00E20A66"/>
    <w:rsid w:val="00E20CD0"/>
    <w:rsid w:val="00E20F06"/>
    <w:rsid w:val="00E21036"/>
    <w:rsid w:val="00E214D0"/>
    <w:rsid w:val="00E215A5"/>
    <w:rsid w:val="00E2160D"/>
    <w:rsid w:val="00E2162F"/>
    <w:rsid w:val="00E2195C"/>
    <w:rsid w:val="00E21A24"/>
    <w:rsid w:val="00E21DEF"/>
    <w:rsid w:val="00E21E35"/>
    <w:rsid w:val="00E21FBF"/>
    <w:rsid w:val="00E22391"/>
    <w:rsid w:val="00E22482"/>
    <w:rsid w:val="00E224B5"/>
    <w:rsid w:val="00E22539"/>
    <w:rsid w:val="00E22689"/>
    <w:rsid w:val="00E22725"/>
    <w:rsid w:val="00E227FF"/>
    <w:rsid w:val="00E2285C"/>
    <w:rsid w:val="00E232EA"/>
    <w:rsid w:val="00E237D6"/>
    <w:rsid w:val="00E23879"/>
    <w:rsid w:val="00E239E1"/>
    <w:rsid w:val="00E23B89"/>
    <w:rsid w:val="00E23D48"/>
    <w:rsid w:val="00E23D98"/>
    <w:rsid w:val="00E248B6"/>
    <w:rsid w:val="00E24972"/>
    <w:rsid w:val="00E24A47"/>
    <w:rsid w:val="00E24ADB"/>
    <w:rsid w:val="00E24AE0"/>
    <w:rsid w:val="00E24C3D"/>
    <w:rsid w:val="00E25218"/>
    <w:rsid w:val="00E25CC6"/>
    <w:rsid w:val="00E25D5B"/>
    <w:rsid w:val="00E25D5E"/>
    <w:rsid w:val="00E26C4C"/>
    <w:rsid w:val="00E26DEF"/>
    <w:rsid w:val="00E26EF7"/>
    <w:rsid w:val="00E2709C"/>
    <w:rsid w:val="00E2747F"/>
    <w:rsid w:val="00E279EB"/>
    <w:rsid w:val="00E27E6B"/>
    <w:rsid w:val="00E30052"/>
    <w:rsid w:val="00E30309"/>
    <w:rsid w:val="00E3039F"/>
    <w:rsid w:val="00E30768"/>
    <w:rsid w:val="00E30E4D"/>
    <w:rsid w:val="00E3157E"/>
    <w:rsid w:val="00E31B68"/>
    <w:rsid w:val="00E31BFB"/>
    <w:rsid w:val="00E31CE2"/>
    <w:rsid w:val="00E31D2A"/>
    <w:rsid w:val="00E31D37"/>
    <w:rsid w:val="00E31DE9"/>
    <w:rsid w:val="00E32252"/>
    <w:rsid w:val="00E3242F"/>
    <w:rsid w:val="00E3278D"/>
    <w:rsid w:val="00E32B54"/>
    <w:rsid w:val="00E32C36"/>
    <w:rsid w:val="00E32CE8"/>
    <w:rsid w:val="00E33040"/>
    <w:rsid w:val="00E33092"/>
    <w:rsid w:val="00E331DC"/>
    <w:rsid w:val="00E33225"/>
    <w:rsid w:val="00E33501"/>
    <w:rsid w:val="00E33544"/>
    <w:rsid w:val="00E33833"/>
    <w:rsid w:val="00E338DA"/>
    <w:rsid w:val="00E33AA1"/>
    <w:rsid w:val="00E33BD3"/>
    <w:rsid w:val="00E33CA4"/>
    <w:rsid w:val="00E33E0D"/>
    <w:rsid w:val="00E33EFE"/>
    <w:rsid w:val="00E341A4"/>
    <w:rsid w:val="00E3441E"/>
    <w:rsid w:val="00E34858"/>
    <w:rsid w:val="00E348F1"/>
    <w:rsid w:val="00E349DF"/>
    <w:rsid w:val="00E349EA"/>
    <w:rsid w:val="00E352E3"/>
    <w:rsid w:val="00E35328"/>
    <w:rsid w:val="00E355B0"/>
    <w:rsid w:val="00E35805"/>
    <w:rsid w:val="00E3584B"/>
    <w:rsid w:val="00E35883"/>
    <w:rsid w:val="00E35CCC"/>
    <w:rsid w:val="00E36259"/>
    <w:rsid w:val="00E363EE"/>
    <w:rsid w:val="00E36A21"/>
    <w:rsid w:val="00E36B25"/>
    <w:rsid w:val="00E36EE5"/>
    <w:rsid w:val="00E36F8F"/>
    <w:rsid w:val="00E375EC"/>
    <w:rsid w:val="00E3766E"/>
    <w:rsid w:val="00E3783A"/>
    <w:rsid w:val="00E37849"/>
    <w:rsid w:val="00E378F7"/>
    <w:rsid w:val="00E37D14"/>
    <w:rsid w:val="00E37F36"/>
    <w:rsid w:val="00E401A7"/>
    <w:rsid w:val="00E40477"/>
    <w:rsid w:val="00E40516"/>
    <w:rsid w:val="00E4067E"/>
    <w:rsid w:val="00E4089B"/>
    <w:rsid w:val="00E408E7"/>
    <w:rsid w:val="00E40B99"/>
    <w:rsid w:val="00E40CF9"/>
    <w:rsid w:val="00E40DE7"/>
    <w:rsid w:val="00E4142D"/>
    <w:rsid w:val="00E416BD"/>
    <w:rsid w:val="00E41AD3"/>
    <w:rsid w:val="00E41BB0"/>
    <w:rsid w:val="00E41DC8"/>
    <w:rsid w:val="00E4225D"/>
    <w:rsid w:val="00E424AA"/>
    <w:rsid w:val="00E42753"/>
    <w:rsid w:val="00E42BFD"/>
    <w:rsid w:val="00E42DA9"/>
    <w:rsid w:val="00E42F47"/>
    <w:rsid w:val="00E43059"/>
    <w:rsid w:val="00E43230"/>
    <w:rsid w:val="00E43826"/>
    <w:rsid w:val="00E43B60"/>
    <w:rsid w:val="00E44693"/>
    <w:rsid w:val="00E447D2"/>
    <w:rsid w:val="00E447FE"/>
    <w:rsid w:val="00E44B19"/>
    <w:rsid w:val="00E45244"/>
    <w:rsid w:val="00E45660"/>
    <w:rsid w:val="00E45AAB"/>
    <w:rsid w:val="00E45DBC"/>
    <w:rsid w:val="00E45FA2"/>
    <w:rsid w:val="00E460EB"/>
    <w:rsid w:val="00E46177"/>
    <w:rsid w:val="00E46571"/>
    <w:rsid w:val="00E46867"/>
    <w:rsid w:val="00E46D40"/>
    <w:rsid w:val="00E46DCB"/>
    <w:rsid w:val="00E46DDA"/>
    <w:rsid w:val="00E46ECE"/>
    <w:rsid w:val="00E47248"/>
    <w:rsid w:val="00E472DF"/>
    <w:rsid w:val="00E477E9"/>
    <w:rsid w:val="00E47B24"/>
    <w:rsid w:val="00E47C50"/>
    <w:rsid w:val="00E47D0C"/>
    <w:rsid w:val="00E50215"/>
    <w:rsid w:val="00E50361"/>
    <w:rsid w:val="00E504D2"/>
    <w:rsid w:val="00E507E9"/>
    <w:rsid w:val="00E510F8"/>
    <w:rsid w:val="00E51749"/>
    <w:rsid w:val="00E51903"/>
    <w:rsid w:val="00E51A65"/>
    <w:rsid w:val="00E51B62"/>
    <w:rsid w:val="00E51D6C"/>
    <w:rsid w:val="00E5204C"/>
    <w:rsid w:val="00E52401"/>
    <w:rsid w:val="00E52460"/>
    <w:rsid w:val="00E52776"/>
    <w:rsid w:val="00E527F7"/>
    <w:rsid w:val="00E52894"/>
    <w:rsid w:val="00E531D4"/>
    <w:rsid w:val="00E53223"/>
    <w:rsid w:val="00E532DF"/>
    <w:rsid w:val="00E53442"/>
    <w:rsid w:val="00E53499"/>
    <w:rsid w:val="00E53620"/>
    <w:rsid w:val="00E53B7D"/>
    <w:rsid w:val="00E546C1"/>
    <w:rsid w:val="00E54A52"/>
    <w:rsid w:val="00E54CA0"/>
    <w:rsid w:val="00E55452"/>
    <w:rsid w:val="00E55621"/>
    <w:rsid w:val="00E5565B"/>
    <w:rsid w:val="00E558C5"/>
    <w:rsid w:val="00E559E4"/>
    <w:rsid w:val="00E55E85"/>
    <w:rsid w:val="00E55FF7"/>
    <w:rsid w:val="00E5611F"/>
    <w:rsid w:val="00E5665A"/>
    <w:rsid w:val="00E567E2"/>
    <w:rsid w:val="00E56CAD"/>
    <w:rsid w:val="00E56CFB"/>
    <w:rsid w:val="00E56D7A"/>
    <w:rsid w:val="00E56DA0"/>
    <w:rsid w:val="00E57C00"/>
    <w:rsid w:val="00E57C22"/>
    <w:rsid w:val="00E57F36"/>
    <w:rsid w:val="00E60535"/>
    <w:rsid w:val="00E605C0"/>
    <w:rsid w:val="00E60613"/>
    <w:rsid w:val="00E60723"/>
    <w:rsid w:val="00E60DBF"/>
    <w:rsid w:val="00E61327"/>
    <w:rsid w:val="00E6160A"/>
    <w:rsid w:val="00E61918"/>
    <w:rsid w:val="00E61A61"/>
    <w:rsid w:val="00E62249"/>
    <w:rsid w:val="00E62A5C"/>
    <w:rsid w:val="00E62B95"/>
    <w:rsid w:val="00E62DDD"/>
    <w:rsid w:val="00E62ECC"/>
    <w:rsid w:val="00E63378"/>
    <w:rsid w:val="00E634AB"/>
    <w:rsid w:val="00E63B68"/>
    <w:rsid w:val="00E64192"/>
    <w:rsid w:val="00E6425D"/>
    <w:rsid w:val="00E644A2"/>
    <w:rsid w:val="00E64604"/>
    <w:rsid w:val="00E649E3"/>
    <w:rsid w:val="00E64A8F"/>
    <w:rsid w:val="00E64C5B"/>
    <w:rsid w:val="00E64D5B"/>
    <w:rsid w:val="00E65032"/>
    <w:rsid w:val="00E652BA"/>
    <w:rsid w:val="00E6537D"/>
    <w:rsid w:val="00E657D8"/>
    <w:rsid w:val="00E6644A"/>
    <w:rsid w:val="00E664E7"/>
    <w:rsid w:val="00E665A7"/>
    <w:rsid w:val="00E66AF9"/>
    <w:rsid w:val="00E66E8C"/>
    <w:rsid w:val="00E67124"/>
    <w:rsid w:val="00E6744A"/>
    <w:rsid w:val="00E67476"/>
    <w:rsid w:val="00E675C1"/>
    <w:rsid w:val="00E67922"/>
    <w:rsid w:val="00E67A50"/>
    <w:rsid w:val="00E67A6B"/>
    <w:rsid w:val="00E67D74"/>
    <w:rsid w:val="00E7035F"/>
    <w:rsid w:val="00E707FC"/>
    <w:rsid w:val="00E7085F"/>
    <w:rsid w:val="00E711E3"/>
    <w:rsid w:val="00E7129D"/>
    <w:rsid w:val="00E713BE"/>
    <w:rsid w:val="00E71599"/>
    <w:rsid w:val="00E7184D"/>
    <w:rsid w:val="00E7190A"/>
    <w:rsid w:val="00E719C5"/>
    <w:rsid w:val="00E71A46"/>
    <w:rsid w:val="00E71DE7"/>
    <w:rsid w:val="00E71E0E"/>
    <w:rsid w:val="00E71ECF"/>
    <w:rsid w:val="00E724CE"/>
    <w:rsid w:val="00E7250A"/>
    <w:rsid w:val="00E72607"/>
    <w:rsid w:val="00E726BF"/>
    <w:rsid w:val="00E72B56"/>
    <w:rsid w:val="00E72DDB"/>
    <w:rsid w:val="00E7330C"/>
    <w:rsid w:val="00E73410"/>
    <w:rsid w:val="00E73900"/>
    <w:rsid w:val="00E73956"/>
    <w:rsid w:val="00E73E6D"/>
    <w:rsid w:val="00E73E8B"/>
    <w:rsid w:val="00E74207"/>
    <w:rsid w:val="00E7432B"/>
    <w:rsid w:val="00E74667"/>
    <w:rsid w:val="00E74E07"/>
    <w:rsid w:val="00E750C8"/>
    <w:rsid w:val="00E75929"/>
    <w:rsid w:val="00E7594A"/>
    <w:rsid w:val="00E75A46"/>
    <w:rsid w:val="00E75F16"/>
    <w:rsid w:val="00E75F37"/>
    <w:rsid w:val="00E7612F"/>
    <w:rsid w:val="00E7653D"/>
    <w:rsid w:val="00E766CF"/>
    <w:rsid w:val="00E76817"/>
    <w:rsid w:val="00E76904"/>
    <w:rsid w:val="00E76C3D"/>
    <w:rsid w:val="00E7716B"/>
    <w:rsid w:val="00E77474"/>
    <w:rsid w:val="00E775DE"/>
    <w:rsid w:val="00E77BC0"/>
    <w:rsid w:val="00E8027C"/>
    <w:rsid w:val="00E8063D"/>
    <w:rsid w:val="00E8092C"/>
    <w:rsid w:val="00E80B4A"/>
    <w:rsid w:val="00E80F18"/>
    <w:rsid w:val="00E812FB"/>
    <w:rsid w:val="00E819BE"/>
    <w:rsid w:val="00E819DA"/>
    <w:rsid w:val="00E81A13"/>
    <w:rsid w:val="00E81A2F"/>
    <w:rsid w:val="00E81B72"/>
    <w:rsid w:val="00E81CAF"/>
    <w:rsid w:val="00E82236"/>
    <w:rsid w:val="00E824FD"/>
    <w:rsid w:val="00E8274F"/>
    <w:rsid w:val="00E82889"/>
    <w:rsid w:val="00E8293E"/>
    <w:rsid w:val="00E82AE0"/>
    <w:rsid w:val="00E82BE1"/>
    <w:rsid w:val="00E82C27"/>
    <w:rsid w:val="00E8340C"/>
    <w:rsid w:val="00E83529"/>
    <w:rsid w:val="00E8380E"/>
    <w:rsid w:val="00E83B39"/>
    <w:rsid w:val="00E83CC5"/>
    <w:rsid w:val="00E84295"/>
    <w:rsid w:val="00E8489C"/>
    <w:rsid w:val="00E8493A"/>
    <w:rsid w:val="00E8494A"/>
    <w:rsid w:val="00E84AB5"/>
    <w:rsid w:val="00E84B34"/>
    <w:rsid w:val="00E84C44"/>
    <w:rsid w:val="00E84DAB"/>
    <w:rsid w:val="00E84E55"/>
    <w:rsid w:val="00E854B3"/>
    <w:rsid w:val="00E856B4"/>
    <w:rsid w:val="00E8584A"/>
    <w:rsid w:val="00E85879"/>
    <w:rsid w:val="00E85A91"/>
    <w:rsid w:val="00E85C28"/>
    <w:rsid w:val="00E85E4F"/>
    <w:rsid w:val="00E863C7"/>
    <w:rsid w:val="00E8655D"/>
    <w:rsid w:val="00E8692C"/>
    <w:rsid w:val="00E869AD"/>
    <w:rsid w:val="00E86B7F"/>
    <w:rsid w:val="00E86E8B"/>
    <w:rsid w:val="00E87407"/>
    <w:rsid w:val="00E87FF2"/>
    <w:rsid w:val="00E90081"/>
    <w:rsid w:val="00E90316"/>
    <w:rsid w:val="00E90829"/>
    <w:rsid w:val="00E9084B"/>
    <w:rsid w:val="00E90A13"/>
    <w:rsid w:val="00E90A94"/>
    <w:rsid w:val="00E90BE2"/>
    <w:rsid w:val="00E9160F"/>
    <w:rsid w:val="00E9174F"/>
    <w:rsid w:val="00E9177E"/>
    <w:rsid w:val="00E91987"/>
    <w:rsid w:val="00E91F34"/>
    <w:rsid w:val="00E922C4"/>
    <w:rsid w:val="00E92499"/>
    <w:rsid w:val="00E92C5B"/>
    <w:rsid w:val="00E92D0A"/>
    <w:rsid w:val="00E92D44"/>
    <w:rsid w:val="00E9392F"/>
    <w:rsid w:val="00E93C5F"/>
    <w:rsid w:val="00E93F05"/>
    <w:rsid w:val="00E942BF"/>
    <w:rsid w:val="00E9480C"/>
    <w:rsid w:val="00E94AED"/>
    <w:rsid w:val="00E94B7D"/>
    <w:rsid w:val="00E94DC7"/>
    <w:rsid w:val="00E94E2B"/>
    <w:rsid w:val="00E954C1"/>
    <w:rsid w:val="00E959FB"/>
    <w:rsid w:val="00E95A06"/>
    <w:rsid w:val="00E95DE0"/>
    <w:rsid w:val="00E95F4E"/>
    <w:rsid w:val="00E96409"/>
    <w:rsid w:val="00E96608"/>
    <w:rsid w:val="00E96971"/>
    <w:rsid w:val="00E96FD4"/>
    <w:rsid w:val="00E97026"/>
    <w:rsid w:val="00E970CC"/>
    <w:rsid w:val="00E97229"/>
    <w:rsid w:val="00E9744F"/>
    <w:rsid w:val="00E97C6C"/>
    <w:rsid w:val="00E97E5C"/>
    <w:rsid w:val="00E97F1A"/>
    <w:rsid w:val="00EA0149"/>
    <w:rsid w:val="00EA064D"/>
    <w:rsid w:val="00EA0A59"/>
    <w:rsid w:val="00EA0CE4"/>
    <w:rsid w:val="00EA0D47"/>
    <w:rsid w:val="00EA0E38"/>
    <w:rsid w:val="00EA0FAE"/>
    <w:rsid w:val="00EA1023"/>
    <w:rsid w:val="00EA13A7"/>
    <w:rsid w:val="00EA1553"/>
    <w:rsid w:val="00EA1720"/>
    <w:rsid w:val="00EA186D"/>
    <w:rsid w:val="00EA1A77"/>
    <w:rsid w:val="00EA1DB6"/>
    <w:rsid w:val="00EA22D2"/>
    <w:rsid w:val="00EA22E7"/>
    <w:rsid w:val="00EA26A7"/>
    <w:rsid w:val="00EA28C3"/>
    <w:rsid w:val="00EA2BB4"/>
    <w:rsid w:val="00EA2CF7"/>
    <w:rsid w:val="00EA3258"/>
    <w:rsid w:val="00EA36D8"/>
    <w:rsid w:val="00EA37BB"/>
    <w:rsid w:val="00EA3871"/>
    <w:rsid w:val="00EA3C77"/>
    <w:rsid w:val="00EA3E46"/>
    <w:rsid w:val="00EA400B"/>
    <w:rsid w:val="00EA4240"/>
    <w:rsid w:val="00EA425D"/>
    <w:rsid w:val="00EA42D9"/>
    <w:rsid w:val="00EA4444"/>
    <w:rsid w:val="00EA47C5"/>
    <w:rsid w:val="00EA484D"/>
    <w:rsid w:val="00EA49BF"/>
    <w:rsid w:val="00EA4B17"/>
    <w:rsid w:val="00EA4DAD"/>
    <w:rsid w:val="00EA4EAF"/>
    <w:rsid w:val="00EA51C6"/>
    <w:rsid w:val="00EA53A2"/>
    <w:rsid w:val="00EA54F5"/>
    <w:rsid w:val="00EA58AC"/>
    <w:rsid w:val="00EA5C91"/>
    <w:rsid w:val="00EA63DD"/>
    <w:rsid w:val="00EA64D6"/>
    <w:rsid w:val="00EA66FB"/>
    <w:rsid w:val="00EA675C"/>
    <w:rsid w:val="00EA6C1F"/>
    <w:rsid w:val="00EA6D5D"/>
    <w:rsid w:val="00EA6E96"/>
    <w:rsid w:val="00EA6F05"/>
    <w:rsid w:val="00EA72AA"/>
    <w:rsid w:val="00EA77C3"/>
    <w:rsid w:val="00EB005F"/>
    <w:rsid w:val="00EB0217"/>
    <w:rsid w:val="00EB048D"/>
    <w:rsid w:val="00EB081A"/>
    <w:rsid w:val="00EB093F"/>
    <w:rsid w:val="00EB0ADE"/>
    <w:rsid w:val="00EB0C8F"/>
    <w:rsid w:val="00EB0D7B"/>
    <w:rsid w:val="00EB0F01"/>
    <w:rsid w:val="00EB0F34"/>
    <w:rsid w:val="00EB163D"/>
    <w:rsid w:val="00EB171C"/>
    <w:rsid w:val="00EB17F1"/>
    <w:rsid w:val="00EB1BF0"/>
    <w:rsid w:val="00EB1F55"/>
    <w:rsid w:val="00EB209A"/>
    <w:rsid w:val="00EB2326"/>
    <w:rsid w:val="00EB2440"/>
    <w:rsid w:val="00EB2907"/>
    <w:rsid w:val="00EB304E"/>
    <w:rsid w:val="00EB3102"/>
    <w:rsid w:val="00EB31CC"/>
    <w:rsid w:val="00EB3546"/>
    <w:rsid w:val="00EB36B7"/>
    <w:rsid w:val="00EB3780"/>
    <w:rsid w:val="00EB3843"/>
    <w:rsid w:val="00EB38BC"/>
    <w:rsid w:val="00EB3A7F"/>
    <w:rsid w:val="00EB3CB4"/>
    <w:rsid w:val="00EB3E32"/>
    <w:rsid w:val="00EB3FBA"/>
    <w:rsid w:val="00EB43F7"/>
    <w:rsid w:val="00EB44B6"/>
    <w:rsid w:val="00EB4548"/>
    <w:rsid w:val="00EB4896"/>
    <w:rsid w:val="00EB4AE4"/>
    <w:rsid w:val="00EB4D6D"/>
    <w:rsid w:val="00EB4F33"/>
    <w:rsid w:val="00EB50B6"/>
    <w:rsid w:val="00EB538B"/>
    <w:rsid w:val="00EB56FD"/>
    <w:rsid w:val="00EB580E"/>
    <w:rsid w:val="00EB59E1"/>
    <w:rsid w:val="00EB5C41"/>
    <w:rsid w:val="00EB5CAE"/>
    <w:rsid w:val="00EB615B"/>
    <w:rsid w:val="00EB616D"/>
    <w:rsid w:val="00EB63B7"/>
    <w:rsid w:val="00EB6E06"/>
    <w:rsid w:val="00EB6E92"/>
    <w:rsid w:val="00EB7147"/>
    <w:rsid w:val="00EB77FD"/>
    <w:rsid w:val="00EC030D"/>
    <w:rsid w:val="00EC0401"/>
    <w:rsid w:val="00EC060B"/>
    <w:rsid w:val="00EC0AFB"/>
    <w:rsid w:val="00EC0F1F"/>
    <w:rsid w:val="00EC0F48"/>
    <w:rsid w:val="00EC13FB"/>
    <w:rsid w:val="00EC1483"/>
    <w:rsid w:val="00EC1487"/>
    <w:rsid w:val="00EC154D"/>
    <w:rsid w:val="00EC17F4"/>
    <w:rsid w:val="00EC185A"/>
    <w:rsid w:val="00EC1957"/>
    <w:rsid w:val="00EC1C02"/>
    <w:rsid w:val="00EC216A"/>
    <w:rsid w:val="00EC29A6"/>
    <w:rsid w:val="00EC2C5C"/>
    <w:rsid w:val="00EC2FC2"/>
    <w:rsid w:val="00EC3564"/>
    <w:rsid w:val="00EC37A9"/>
    <w:rsid w:val="00EC3C08"/>
    <w:rsid w:val="00EC4B6B"/>
    <w:rsid w:val="00EC5113"/>
    <w:rsid w:val="00EC6044"/>
    <w:rsid w:val="00EC699C"/>
    <w:rsid w:val="00EC69E5"/>
    <w:rsid w:val="00EC6E3A"/>
    <w:rsid w:val="00EC7094"/>
    <w:rsid w:val="00EC7368"/>
    <w:rsid w:val="00EC73F2"/>
    <w:rsid w:val="00EC74E3"/>
    <w:rsid w:val="00EC775F"/>
    <w:rsid w:val="00EC7D0C"/>
    <w:rsid w:val="00ED02F3"/>
    <w:rsid w:val="00ED0320"/>
    <w:rsid w:val="00ED0766"/>
    <w:rsid w:val="00ED0B0C"/>
    <w:rsid w:val="00ED0EA7"/>
    <w:rsid w:val="00ED0EB2"/>
    <w:rsid w:val="00ED10A7"/>
    <w:rsid w:val="00ED12A5"/>
    <w:rsid w:val="00ED1446"/>
    <w:rsid w:val="00ED19BA"/>
    <w:rsid w:val="00ED19DA"/>
    <w:rsid w:val="00ED1E3C"/>
    <w:rsid w:val="00ED1F2E"/>
    <w:rsid w:val="00ED256F"/>
    <w:rsid w:val="00ED26B3"/>
    <w:rsid w:val="00ED2A1E"/>
    <w:rsid w:val="00ED2CBD"/>
    <w:rsid w:val="00ED2F64"/>
    <w:rsid w:val="00ED3117"/>
    <w:rsid w:val="00ED3428"/>
    <w:rsid w:val="00ED34A2"/>
    <w:rsid w:val="00ED367A"/>
    <w:rsid w:val="00ED39AA"/>
    <w:rsid w:val="00ED3C94"/>
    <w:rsid w:val="00ED3D32"/>
    <w:rsid w:val="00ED3E96"/>
    <w:rsid w:val="00ED4009"/>
    <w:rsid w:val="00ED4070"/>
    <w:rsid w:val="00ED411E"/>
    <w:rsid w:val="00ED41DF"/>
    <w:rsid w:val="00ED432E"/>
    <w:rsid w:val="00ED43AD"/>
    <w:rsid w:val="00ED44A8"/>
    <w:rsid w:val="00ED454F"/>
    <w:rsid w:val="00ED45D6"/>
    <w:rsid w:val="00ED4733"/>
    <w:rsid w:val="00ED4877"/>
    <w:rsid w:val="00ED4C82"/>
    <w:rsid w:val="00ED4E89"/>
    <w:rsid w:val="00ED507D"/>
    <w:rsid w:val="00ED55D6"/>
    <w:rsid w:val="00ED56CD"/>
    <w:rsid w:val="00ED5731"/>
    <w:rsid w:val="00ED5AAB"/>
    <w:rsid w:val="00ED5C25"/>
    <w:rsid w:val="00ED5DA1"/>
    <w:rsid w:val="00ED5E22"/>
    <w:rsid w:val="00ED6441"/>
    <w:rsid w:val="00ED6667"/>
    <w:rsid w:val="00ED672D"/>
    <w:rsid w:val="00ED677E"/>
    <w:rsid w:val="00ED6945"/>
    <w:rsid w:val="00ED6A0A"/>
    <w:rsid w:val="00ED6DD2"/>
    <w:rsid w:val="00ED6F2C"/>
    <w:rsid w:val="00ED71B6"/>
    <w:rsid w:val="00EE0305"/>
    <w:rsid w:val="00EE0C91"/>
    <w:rsid w:val="00EE0DC1"/>
    <w:rsid w:val="00EE11DE"/>
    <w:rsid w:val="00EE14F8"/>
    <w:rsid w:val="00EE1516"/>
    <w:rsid w:val="00EE156D"/>
    <w:rsid w:val="00EE1745"/>
    <w:rsid w:val="00EE1782"/>
    <w:rsid w:val="00EE19FC"/>
    <w:rsid w:val="00EE1B84"/>
    <w:rsid w:val="00EE1F75"/>
    <w:rsid w:val="00EE2060"/>
    <w:rsid w:val="00EE216A"/>
    <w:rsid w:val="00EE23F1"/>
    <w:rsid w:val="00EE3035"/>
    <w:rsid w:val="00EE318D"/>
    <w:rsid w:val="00EE3457"/>
    <w:rsid w:val="00EE34CE"/>
    <w:rsid w:val="00EE3903"/>
    <w:rsid w:val="00EE4D6F"/>
    <w:rsid w:val="00EE4FDE"/>
    <w:rsid w:val="00EE5371"/>
    <w:rsid w:val="00EE574F"/>
    <w:rsid w:val="00EE5824"/>
    <w:rsid w:val="00EE5AFA"/>
    <w:rsid w:val="00EE604C"/>
    <w:rsid w:val="00EE6448"/>
    <w:rsid w:val="00EE699A"/>
    <w:rsid w:val="00EE6AB6"/>
    <w:rsid w:val="00EE6EE9"/>
    <w:rsid w:val="00EE6F90"/>
    <w:rsid w:val="00EE7441"/>
    <w:rsid w:val="00EE7795"/>
    <w:rsid w:val="00EE7D10"/>
    <w:rsid w:val="00EE7D6C"/>
    <w:rsid w:val="00EF000F"/>
    <w:rsid w:val="00EF014D"/>
    <w:rsid w:val="00EF0377"/>
    <w:rsid w:val="00EF04DD"/>
    <w:rsid w:val="00EF0CAB"/>
    <w:rsid w:val="00EF0D26"/>
    <w:rsid w:val="00EF0E06"/>
    <w:rsid w:val="00EF1337"/>
    <w:rsid w:val="00EF1B1A"/>
    <w:rsid w:val="00EF1B38"/>
    <w:rsid w:val="00EF1BBD"/>
    <w:rsid w:val="00EF2095"/>
    <w:rsid w:val="00EF2264"/>
    <w:rsid w:val="00EF2309"/>
    <w:rsid w:val="00EF290E"/>
    <w:rsid w:val="00EF2A2C"/>
    <w:rsid w:val="00EF2CE4"/>
    <w:rsid w:val="00EF301B"/>
    <w:rsid w:val="00EF3645"/>
    <w:rsid w:val="00EF36D4"/>
    <w:rsid w:val="00EF3ADB"/>
    <w:rsid w:val="00EF3EF6"/>
    <w:rsid w:val="00EF4466"/>
    <w:rsid w:val="00EF457B"/>
    <w:rsid w:val="00EF4684"/>
    <w:rsid w:val="00EF4862"/>
    <w:rsid w:val="00EF490F"/>
    <w:rsid w:val="00EF4A5F"/>
    <w:rsid w:val="00EF4CEC"/>
    <w:rsid w:val="00EF4D18"/>
    <w:rsid w:val="00EF4F3E"/>
    <w:rsid w:val="00EF57F7"/>
    <w:rsid w:val="00EF59F8"/>
    <w:rsid w:val="00EF5B1C"/>
    <w:rsid w:val="00EF5D49"/>
    <w:rsid w:val="00EF606D"/>
    <w:rsid w:val="00EF648D"/>
    <w:rsid w:val="00EF6F8A"/>
    <w:rsid w:val="00EF7685"/>
    <w:rsid w:val="00EF7EC3"/>
    <w:rsid w:val="00F00236"/>
    <w:rsid w:val="00F00685"/>
    <w:rsid w:val="00F0074B"/>
    <w:rsid w:val="00F007A1"/>
    <w:rsid w:val="00F009AA"/>
    <w:rsid w:val="00F00F35"/>
    <w:rsid w:val="00F012CC"/>
    <w:rsid w:val="00F013A7"/>
    <w:rsid w:val="00F017CB"/>
    <w:rsid w:val="00F017F1"/>
    <w:rsid w:val="00F01CD0"/>
    <w:rsid w:val="00F021F6"/>
    <w:rsid w:val="00F02239"/>
    <w:rsid w:val="00F02247"/>
    <w:rsid w:val="00F022A5"/>
    <w:rsid w:val="00F0233B"/>
    <w:rsid w:val="00F026E8"/>
    <w:rsid w:val="00F0279B"/>
    <w:rsid w:val="00F02AE6"/>
    <w:rsid w:val="00F02B47"/>
    <w:rsid w:val="00F02E7B"/>
    <w:rsid w:val="00F0303D"/>
    <w:rsid w:val="00F031BD"/>
    <w:rsid w:val="00F03209"/>
    <w:rsid w:val="00F0358B"/>
    <w:rsid w:val="00F03834"/>
    <w:rsid w:val="00F03B30"/>
    <w:rsid w:val="00F03DCC"/>
    <w:rsid w:val="00F03F29"/>
    <w:rsid w:val="00F040CB"/>
    <w:rsid w:val="00F040E7"/>
    <w:rsid w:val="00F04288"/>
    <w:rsid w:val="00F042DE"/>
    <w:rsid w:val="00F049EE"/>
    <w:rsid w:val="00F04E11"/>
    <w:rsid w:val="00F04F5B"/>
    <w:rsid w:val="00F05021"/>
    <w:rsid w:val="00F0510A"/>
    <w:rsid w:val="00F0514B"/>
    <w:rsid w:val="00F0555D"/>
    <w:rsid w:val="00F055DA"/>
    <w:rsid w:val="00F05938"/>
    <w:rsid w:val="00F05B87"/>
    <w:rsid w:val="00F05D64"/>
    <w:rsid w:val="00F05F81"/>
    <w:rsid w:val="00F061E3"/>
    <w:rsid w:val="00F06656"/>
    <w:rsid w:val="00F06DFB"/>
    <w:rsid w:val="00F0706F"/>
    <w:rsid w:val="00F07335"/>
    <w:rsid w:val="00F0752D"/>
    <w:rsid w:val="00F07E74"/>
    <w:rsid w:val="00F07EEC"/>
    <w:rsid w:val="00F07F17"/>
    <w:rsid w:val="00F07FF0"/>
    <w:rsid w:val="00F102CA"/>
    <w:rsid w:val="00F102DC"/>
    <w:rsid w:val="00F10342"/>
    <w:rsid w:val="00F105A4"/>
    <w:rsid w:val="00F106A1"/>
    <w:rsid w:val="00F106B7"/>
    <w:rsid w:val="00F106BA"/>
    <w:rsid w:val="00F1077A"/>
    <w:rsid w:val="00F1085A"/>
    <w:rsid w:val="00F10862"/>
    <w:rsid w:val="00F1090C"/>
    <w:rsid w:val="00F10AC7"/>
    <w:rsid w:val="00F10AD2"/>
    <w:rsid w:val="00F10CFE"/>
    <w:rsid w:val="00F115F1"/>
    <w:rsid w:val="00F11618"/>
    <w:rsid w:val="00F118DF"/>
    <w:rsid w:val="00F1196F"/>
    <w:rsid w:val="00F11E78"/>
    <w:rsid w:val="00F11E9D"/>
    <w:rsid w:val="00F1208D"/>
    <w:rsid w:val="00F12141"/>
    <w:rsid w:val="00F121D6"/>
    <w:rsid w:val="00F124A1"/>
    <w:rsid w:val="00F125F3"/>
    <w:rsid w:val="00F12B3F"/>
    <w:rsid w:val="00F12B5B"/>
    <w:rsid w:val="00F12D3B"/>
    <w:rsid w:val="00F13291"/>
    <w:rsid w:val="00F137AC"/>
    <w:rsid w:val="00F1380B"/>
    <w:rsid w:val="00F1401F"/>
    <w:rsid w:val="00F1440E"/>
    <w:rsid w:val="00F14BAB"/>
    <w:rsid w:val="00F14BEE"/>
    <w:rsid w:val="00F14CC6"/>
    <w:rsid w:val="00F1509E"/>
    <w:rsid w:val="00F15996"/>
    <w:rsid w:val="00F164AE"/>
    <w:rsid w:val="00F16841"/>
    <w:rsid w:val="00F16929"/>
    <w:rsid w:val="00F16A29"/>
    <w:rsid w:val="00F16AEE"/>
    <w:rsid w:val="00F16FC5"/>
    <w:rsid w:val="00F1712B"/>
    <w:rsid w:val="00F173F1"/>
    <w:rsid w:val="00F17541"/>
    <w:rsid w:val="00F175A5"/>
    <w:rsid w:val="00F175C1"/>
    <w:rsid w:val="00F17D5C"/>
    <w:rsid w:val="00F20277"/>
    <w:rsid w:val="00F20329"/>
    <w:rsid w:val="00F20396"/>
    <w:rsid w:val="00F20399"/>
    <w:rsid w:val="00F2040F"/>
    <w:rsid w:val="00F208FF"/>
    <w:rsid w:val="00F20C4A"/>
    <w:rsid w:val="00F20D1A"/>
    <w:rsid w:val="00F20EFB"/>
    <w:rsid w:val="00F21096"/>
    <w:rsid w:val="00F210F7"/>
    <w:rsid w:val="00F21201"/>
    <w:rsid w:val="00F212A4"/>
    <w:rsid w:val="00F21D1B"/>
    <w:rsid w:val="00F2266A"/>
    <w:rsid w:val="00F22A34"/>
    <w:rsid w:val="00F22C3E"/>
    <w:rsid w:val="00F22D3A"/>
    <w:rsid w:val="00F23163"/>
    <w:rsid w:val="00F23E23"/>
    <w:rsid w:val="00F2400A"/>
    <w:rsid w:val="00F242FD"/>
    <w:rsid w:val="00F24460"/>
    <w:rsid w:val="00F244E4"/>
    <w:rsid w:val="00F245EE"/>
    <w:rsid w:val="00F24BF2"/>
    <w:rsid w:val="00F24C9E"/>
    <w:rsid w:val="00F2551F"/>
    <w:rsid w:val="00F259D8"/>
    <w:rsid w:val="00F25ADC"/>
    <w:rsid w:val="00F262DD"/>
    <w:rsid w:val="00F2647B"/>
    <w:rsid w:val="00F2667B"/>
    <w:rsid w:val="00F26752"/>
    <w:rsid w:val="00F26849"/>
    <w:rsid w:val="00F26A92"/>
    <w:rsid w:val="00F26CE3"/>
    <w:rsid w:val="00F26EAF"/>
    <w:rsid w:val="00F270F1"/>
    <w:rsid w:val="00F2732E"/>
    <w:rsid w:val="00F27475"/>
    <w:rsid w:val="00F276F8"/>
    <w:rsid w:val="00F27777"/>
    <w:rsid w:val="00F27ADE"/>
    <w:rsid w:val="00F27FA6"/>
    <w:rsid w:val="00F303CA"/>
    <w:rsid w:val="00F30937"/>
    <w:rsid w:val="00F3097F"/>
    <w:rsid w:val="00F3113C"/>
    <w:rsid w:val="00F3119A"/>
    <w:rsid w:val="00F313D9"/>
    <w:rsid w:val="00F31551"/>
    <w:rsid w:val="00F315D1"/>
    <w:rsid w:val="00F316DB"/>
    <w:rsid w:val="00F31C70"/>
    <w:rsid w:val="00F31CAA"/>
    <w:rsid w:val="00F320B7"/>
    <w:rsid w:val="00F321E2"/>
    <w:rsid w:val="00F3222C"/>
    <w:rsid w:val="00F32230"/>
    <w:rsid w:val="00F326EF"/>
    <w:rsid w:val="00F328C1"/>
    <w:rsid w:val="00F32A5B"/>
    <w:rsid w:val="00F3316F"/>
    <w:rsid w:val="00F33243"/>
    <w:rsid w:val="00F33EEB"/>
    <w:rsid w:val="00F3428E"/>
    <w:rsid w:val="00F345DE"/>
    <w:rsid w:val="00F345FB"/>
    <w:rsid w:val="00F347CF"/>
    <w:rsid w:val="00F34A4D"/>
    <w:rsid w:val="00F34A61"/>
    <w:rsid w:val="00F34C94"/>
    <w:rsid w:val="00F34F02"/>
    <w:rsid w:val="00F35140"/>
    <w:rsid w:val="00F351A3"/>
    <w:rsid w:val="00F351BA"/>
    <w:rsid w:val="00F35597"/>
    <w:rsid w:val="00F3598E"/>
    <w:rsid w:val="00F35AAF"/>
    <w:rsid w:val="00F35F40"/>
    <w:rsid w:val="00F35F74"/>
    <w:rsid w:val="00F367D4"/>
    <w:rsid w:val="00F369E7"/>
    <w:rsid w:val="00F36ABF"/>
    <w:rsid w:val="00F36F52"/>
    <w:rsid w:val="00F374A5"/>
    <w:rsid w:val="00F375D1"/>
    <w:rsid w:val="00F37A19"/>
    <w:rsid w:val="00F37F0E"/>
    <w:rsid w:val="00F37FFA"/>
    <w:rsid w:val="00F4011A"/>
    <w:rsid w:val="00F40685"/>
    <w:rsid w:val="00F406FE"/>
    <w:rsid w:val="00F407D7"/>
    <w:rsid w:val="00F40B04"/>
    <w:rsid w:val="00F40B2C"/>
    <w:rsid w:val="00F40ECE"/>
    <w:rsid w:val="00F41918"/>
    <w:rsid w:val="00F419AF"/>
    <w:rsid w:val="00F41DD5"/>
    <w:rsid w:val="00F42139"/>
    <w:rsid w:val="00F42209"/>
    <w:rsid w:val="00F423CB"/>
    <w:rsid w:val="00F431DB"/>
    <w:rsid w:val="00F4328B"/>
    <w:rsid w:val="00F43701"/>
    <w:rsid w:val="00F43847"/>
    <w:rsid w:val="00F4385D"/>
    <w:rsid w:val="00F43891"/>
    <w:rsid w:val="00F43B08"/>
    <w:rsid w:val="00F43D6C"/>
    <w:rsid w:val="00F43EE2"/>
    <w:rsid w:val="00F44199"/>
    <w:rsid w:val="00F446BC"/>
    <w:rsid w:val="00F44945"/>
    <w:rsid w:val="00F4540B"/>
    <w:rsid w:val="00F45A2F"/>
    <w:rsid w:val="00F45A88"/>
    <w:rsid w:val="00F45AE6"/>
    <w:rsid w:val="00F45BDD"/>
    <w:rsid w:val="00F45D9C"/>
    <w:rsid w:val="00F45ED0"/>
    <w:rsid w:val="00F46226"/>
    <w:rsid w:val="00F466E0"/>
    <w:rsid w:val="00F4671E"/>
    <w:rsid w:val="00F46A19"/>
    <w:rsid w:val="00F46D8C"/>
    <w:rsid w:val="00F46F7F"/>
    <w:rsid w:val="00F47130"/>
    <w:rsid w:val="00F47A67"/>
    <w:rsid w:val="00F47D4F"/>
    <w:rsid w:val="00F47F92"/>
    <w:rsid w:val="00F50150"/>
    <w:rsid w:val="00F508DD"/>
    <w:rsid w:val="00F5097E"/>
    <w:rsid w:val="00F50BE4"/>
    <w:rsid w:val="00F50F03"/>
    <w:rsid w:val="00F50FE6"/>
    <w:rsid w:val="00F516C3"/>
    <w:rsid w:val="00F51ACF"/>
    <w:rsid w:val="00F51D83"/>
    <w:rsid w:val="00F52077"/>
    <w:rsid w:val="00F52389"/>
    <w:rsid w:val="00F523FC"/>
    <w:rsid w:val="00F523FF"/>
    <w:rsid w:val="00F53016"/>
    <w:rsid w:val="00F53102"/>
    <w:rsid w:val="00F531C7"/>
    <w:rsid w:val="00F531CB"/>
    <w:rsid w:val="00F53393"/>
    <w:rsid w:val="00F53790"/>
    <w:rsid w:val="00F53D76"/>
    <w:rsid w:val="00F53E5B"/>
    <w:rsid w:val="00F53FDF"/>
    <w:rsid w:val="00F54504"/>
    <w:rsid w:val="00F54671"/>
    <w:rsid w:val="00F5470D"/>
    <w:rsid w:val="00F54881"/>
    <w:rsid w:val="00F54B30"/>
    <w:rsid w:val="00F54FB3"/>
    <w:rsid w:val="00F55129"/>
    <w:rsid w:val="00F553DB"/>
    <w:rsid w:val="00F5544B"/>
    <w:rsid w:val="00F55A3D"/>
    <w:rsid w:val="00F55B42"/>
    <w:rsid w:val="00F56595"/>
    <w:rsid w:val="00F565A0"/>
    <w:rsid w:val="00F56C8F"/>
    <w:rsid w:val="00F572A6"/>
    <w:rsid w:val="00F57895"/>
    <w:rsid w:val="00F57995"/>
    <w:rsid w:val="00F57FD1"/>
    <w:rsid w:val="00F600A3"/>
    <w:rsid w:val="00F603B9"/>
    <w:rsid w:val="00F604BD"/>
    <w:rsid w:val="00F605A4"/>
    <w:rsid w:val="00F606FB"/>
    <w:rsid w:val="00F6098A"/>
    <w:rsid w:val="00F60C2C"/>
    <w:rsid w:val="00F60CE6"/>
    <w:rsid w:val="00F60D34"/>
    <w:rsid w:val="00F60D3A"/>
    <w:rsid w:val="00F6158D"/>
    <w:rsid w:val="00F61B22"/>
    <w:rsid w:val="00F620D2"/>
    <w:rsid w:val="00F62231"/>
    <w:rsid w:val="00F6255B"/>
    <w:rsid w:val="00F62601"/>
    <w:rsid w:val="00F6299B"/>
    <w:rsid w:val="00F62B32"/>
    <w:rsid w:val="00F62E6A"/>
    <w:rsid w:val="00F63807"/>
    <w:rsid w:val="00F63A8F"/>
    <w:rsid w:val="00F63DC8"/>
    <w:rsid w:val="00F63FBE"/>
    <w:rsid w:val="00F641F9"/>
    <w:rsid w:val="00F64362"/>
    <w:rsid w:val="00F6440F"/>
    <w:rsid w:val="00F646FB"/>
    <w:rsid w:val="00F64ACC"/>
    <w:rsid w:val="00F64DF4"/>
    <w:rsid w:val="00F64E7A"/>
    <w:rsid w:val="00F65043"/>
    <w:rsid w:val="00F65521"/>
    <w:rsid w:val="00F6569A"/>
    <w:rsid w:val="00F658D2"/>
    <w:rsid w:val="00F65C03"/>
    <w:rsid w:val="00F65D99"/>
    <w:rsid w:val="00F66407"/>
    <w:rsid w:val="00F66443"/>
    <w:rsid w:val="00F6671F"/>
    <w:rsid w:val="00F6696A"/>
    <w:rsid w:val="00F66A9F"/>
    <w:rsid w:val="00F67009"/>
    <w:rsid w:val="00F673D1"/>
    <w:rsid w:val="00F678A9"/>
    <w:rsid w:val="00F678AB"/>
    <w:rsid w:val="00F6791C"/>
    <w:rsid w:val="00F67E89"/>
    <w:rsid w:val="00F67FF1"/>
    <w:rsid w:val="00F700C6"/>
    <w:rsid w:val="00F70231"/>
    <w:rsid w:val="00F7069D"/>
    <w:rsid w:val="00F70CDE"/>
    <w:rsid w:val="00F714E7"/>
    <w:rsid w:val="00F71856"/>
    <w:rsid w:val="00F71C7E"/>
    <w:rsid w:val="00F71D41"/>
    <w:rsid w:val="00F71D6F"/>
    <w:rsid w:val="00F71DAF"/>
    <w:rsid w:val="00F722AB"/>
    <w:rsid w:val="00F723EF"/>
    <w:rsid w:val="00F7242E"/>
    <w:rsid w:val="00F72454"/>
    <w:rsid w:val="00F725CD"/>
    <w:rsid w:val="00F727AA"/>
    <w:rsid w:val="00F7282D"/>
    <w:rsid w:val="00F72CBC"/>
    <w:rsid w:val="00F73066"/>
    <w:rsid w:val="00F73771"/>
    <w:rsid w:val="00F739D3"/>
    <w:rsid w:val="00F73A27"/>
    <w:rsid w:val="00F73F33"/>
    <w:rsid w:val="00F73F55"/>
    <w:rsid w:val="00F7431D"/>
    <w:rsid w:val="00F744F9"/>
    <w:rsid w:val="00F7496B"/>
    <w:rsid w:val="00F7502A"/>
    <w:rsid w:val="00F753D0"/>
    <w:rsid w:val="00F755D0"/>
    <w:rsid w:val="00F758C3"/>
    <w:rsid w:val="00F758C6"/>
    <w:rsid w:val="00F75E3D"/>
    <w:rsid w:val="00F7622A"/>
    <w:rsid w:val="00F7688C"/>
    <w:rsid w:val="00F76DAF"/>
    <w:rsid w:val="00F76EBB"/>
    <w:rsid w:val="00F7712B"/>
    <w:rsid w:val="00F7729E"/>
    <w:rsid w:val="00F773C1"/>
    <w:rsid w:val="00F7747F"/>
    <w:rsid w:val="00F77615"/>
    <w:rsid w:val="00F77B17"/>
    <w:rsid w:val="00F800B8"/>
    <w:rsid w:val="00F800BF"/>
    <w:rsid w:val="00F80342"/>
    <w:rsid w:val="00F80418"/>
    <w:rsid w:val="00F80682"/>
    <w:rsid w:val="00F80B1C"/>
    <w:rsid w:val="00F8180C"/>
    <w:rsid w:val="00F8196D"/>
    <w:rsid w:val="00F81BB7"/>
    <w:rsid w:val="00F821F7"/>
    <w:rsid w:val="00F828A9"/>
    <w:rsid w:val="00F82C54"/>
    <w:rsid w:val="00F83977"/>
    <w:rsid w:val="00F83D67"/>
    <w:rsid w:val="00F84336"/>
    <w:rsid w:val="00F8475F"/>
    <w:rsid w:val="00F84A51"/>
    <w:rsid w:val="00F84EF0"/>
    <w:rsid w:val="00F85287"/>
    <w:rsid w:val="00F853B8"/>
    <w:rsid w:val="00F8545B"/>
    <w:rsid w:val="00F855C4"/>
    <w:rsid w:val="00F858F9"/>
    <w:rsid w:val="00F85FF5"/>
    <w:rsid w:val="00F86155"/>
    <w:rsid w:val="00F8633A"/>
    <w:rsid w:val="00F864BC"/>
    <w:rsid w:val="00F86600"/>
    <w:rsid w:val="00F86A01"/>
    <w:rsid w:val="00F86A07"/>
    <w:rsid w:val="00F86BD2"/>
    <w:rsid w:val="00F875F5"/>
    <w:rsid w:val="00F87D86"/>
    <w:rsid w:val="00F87DBB"/>
    <w:rsid w:val="00F900FA"/>
    <w:rsid w:val="00F9025D"/>
    <w:rsid w:val="00F9031A"/>
    <w:rsid w:val="00F903A0"/>
    <w:rsid w:val="00F906C2"/>
    <w:rsid w:val="00F90840"/>
    <w:rsid w:val="00F90AD4"/>
    <w:rsid w:val="00F90BA3"/>
    <w:rsid w:val="00F90C68"/>
    <w:rsid w:val="00F90EB5"/>
    <w:rsid w:val="00F9121D"/>
    <w:rsid w:val="00F912F7"/>
    <w:rsid w:val="00F9130F"/>
    <w:rsid w:val="00F915A7"/>
    <w:rsid w:val="00F916E3"/>
    <w:rsid w:val="00F91A66"/>
    <w:rsid w:val="00F91D91"/>
    <w:rsid w:val="00F920C6"/>
    <w:rsid w:val="00F92180"/>
    <w:rsid w:val="00F92314"/>
    <w:rsid w:val="00F9280B"/>
    <w:rsid w:val="00F9292E"/>
    <w:rsid w:val="00F92A66"/>
    <w:rsid w:val="00F92BF9"/>
    <w:rsid w:val="00F92D37"/>
    <w:rsid w:val="00F92E4B"/>
    <w:rsid w:val="00F92F35"/>
    <w:rsid w:val="00F9338A"/>
    <w:rsid w:val="00F934A1"/>
    <w:rsid w:val="00F936F3"/>
    <w:rsid w:val="00F93875"/>
    <w:rsid w:val="00F93B5F"/>
    <w:rsid w:val="00F93BBB"/>
    <w:rsid w:val="00F93BE3"/>
    <w:rsid w:val="00F93EC0"/>
    <w:rsid w:val="00F94086"/>
    <w:rsid w:val="00F9414E"/>
    <w:rsid w:val="00F94351"/>
    <w:rsid w:val="00F9473C"/>
    <w:rsid w:val="00F948C8"/>
    <w:rsid w:val="00F94B47"/>
    <w:rsid w:val="00F94C21"/>
    <w:rsid w:val="00F94C6B"/>
    <w:rsid w:val="00F94F4F"/>
    <w:rsid w:val="00F95374"/>
    <w:rsid w:val="00F95D35"/>
    <w:rsid w:val="00F96034"/>
    <w:rsid w:val="00F965A5"/>
    <w:rsid w:val="00F96910"/>
    <w:rsid w:val="00F96CEB"/>
    <w:rsid w:val="00F9740F"/>
    <w:rsid w:val="00F979B6"/>
    <w:rsid w:val="00F97B4D"/>
    <w:rsid w:val="00F97BEC"/>
    <w:rsid w:val="00F97CDD"/>
    <w:rsid w:val="00FA093D"/>
    <w:rsid w:val="00FA0DCC"/>
    <w:rsid w:val="00FA158E"/>
    <w:rsid w:val="00FA1748"/>
    <w:rsid w:val="00FA1854"/>
    <w:rsid w:val="00FA1E05"/>
    <w:rsid w:val="00FA1E26"/>
    <w:rsid w:val="00FA20C8"/>
    <w:rsid w:val="00FA2584"/>
    <w:rsid w:val="00FA2991"/>
    <w:rsid w:val="00FA2A98"/>
    <w:rsid w:val="00FA2E05"/>
    <w:rsid w:val="00FA2F86"/>
    <w:rsid w:val="00FA2F97"/>
    <w:rsid w:val="00FA3556"/>
    <w:rsid w:val="00FA37B1"/>
    <w:rsid w:val="00FA3B45"/>
    <w:rsid w:val="00FA3BB9"/>
    <w:rsid w:val="00FA3D64"/>
    <w:rsid w:val="00FA3DAC"/>
    <w:rsid w:val="00FA3E7C"/>
    <w:rsid w:val="00FA4312"/>
    <w:rsid w:val="00FA450F"/>
    <w:rsid w:val="00FA494D"/>
    <w:rsid w:val="00FA49FC"/>
    <w:rsid w:val="00FA4C01"/>
    <w:rsid w:val="00FA4DEB"/>
    <w:rsid w:val="00FA4F99"/>
    <w:rsid w:val="00FA51EE"/>
    <w:rsid w:val="00FA546B"/>
    <w:rsid w:val="00FA572D"/>
    <w:rsid w:val="00FA5CE7"/>
    <w:rsid w:val="00FA5D31"/>
    <w:rsid w:val="00FA5D95"/>
    <w:rsid w:val="00FA5D98"/>
    <w:rsid w:val="00FA5D99"/>
    <w:rsid w:val="00FA607D"/>
    <w:rsid w:val="00FA60F8"/>
    <w:rsid w:val="00FA62F8"/>
    <w:rsid w:val="00FA6490"/>
    <w:rsid w:val="00FA673D"/>
    <w:rsid w:val="00FA6948"/>
    <w:rsid w:val="00FA69E1"/>
    <w:rsid w:val="00FA6AE9"/>
    <w:rsid w:val="00FA6C3E"/>
    <w:rsid w:val="00FA6C88"/>
    <w:rsid w:val="00FA6D80"/>
    <w:rsid w:val="00FA6DB5"/>
    <w:rsid w:val="00FA732D"/>
    <w:rsid w:val="00FA74FD"/>
    <w:rsid w:val="00FA78AC"/>
    <w:rsid w:val="00FA79C0"/>
    <w:rsid w:val="00FA79FA"/>
    <w:rsid w:val="00FA7CF7"/>
    <w:rsid w:val="00FA7DD3"/>
    <w:rsid w:val="00FA7EA6"/>
    <w:rsid w:val="00FB0D37"/>
    <w:rsid w:val="00FB1079"/>
    <w:rsid w:val="00FB132C"/>
    <w:rsid w:val="00FB17B3"/>
    <w:rsid w:val="00FB19D7"/>
    <w:rsid w:val="00FB1BD3"/>
    <w:rsid w:val="00FB1D33"/>
    <w:rsid w:val="00FB1E59"/>
    <w:rsid w:val="00FB1E75"/>
    <w:rsid w:val="00FB22A1"/>
    <w:rsid w:val="00FB24DA"/>
    <w:rsid w:val="00FB2679"/>
    <w:rsid w:val="00FB29CE"/>
    <w:rsid w:val="00FB2EBA"/>
    <w:rsid w:val="00FB305A"/>
    <w:rsid w:val="00FB30EA"/>
    <w:rsid w:val="00FB3A57"/>
    <w:rsid w:val="00FB3AD7"/>
    <w:rsid w:val="00FB3BCD"/>
    <w:rsid w:val="00FB4094"/>
    <w:rsid w:val="00FB4103"/>
    <w:rsid w:val="00FB418A"/>
    <w:rsid w:val="00FB4773"/>
    <w:rsid w:val="00FB4945"/>
    <w:rsid w:val="00FB4C50"/>
    <w:rsid w:val="00FB4CAF"/>
    <w:rsid w:val="00FB4F4A"/>
    <w:rsid w:val="00FB5079"/>
    <w:rsid w:val="00FB528D"/>
    <w:rsid w:val="00FB5776"/>
    <w:rsid w:val="00FB5983"/>
    <w:rsid w:val="00FB5C5F"/>
    <w:rsid w:val="00FB5C60"/>
    <w:rsid w:val="00FB5D8B"/>
    <w:rsid w:val="00FB62C5"/>
    <w:rsid w:val="00FB6714"/>
    <w:rsid w:val="00FB6A16"/>
    <w:rsid w:val="00FB7224"/>
    <w:rsid w:val="00FB76A6"/>
    <w:rsid w:val="00FB77D5"/>
    <w:rsid w:val="00FB78A4"/>
    <w:rsid w:val="00FB7DFC"/>
    <w:rsid w:val="00FB7EEE"/>
    <w:rsid w:val="00FB7FE1"/>
    <w:rsid w:val="00FC0064"/>
    <w:rsid w:val="00FC014A"/>
    <w:rsid w:val="00FC031C"/>
    <w:rsid w:val="00FC03D6"/>
    <w:rsid w:val="00FC05D9"/>
    <w:rsid w:val="00FC0674"/>
    <w:rsid w:val="00FC0741"/>
    <w:rsid w:val="00FC09E8"/>
    <w:rsid w:val="00FC0A57"/>
    <w:rsid w:val="00FC0C95"/>
    <w:rsid w:val="00FC0D07"/>
    <w:rsid w:val="00FC0F54"/>
    <w:rsid w:val="00FC1252"/>
    <w:rsid w:val="00FC14A5"/>
    <w:rsid w:val="00FC1A29"/>
    <w:rsid w:val="00FC1B28"/>
    <w:rsid w:val="00FC1C17"/>
    <w:rsid w:val="00FC1D90"/>
    <w:rsid w:val="00FC1F8B"/>
    <w:rsid w:val="00FC21AD"/>
    <w:rsid w:val="00FC224F"/>
    <w:rsid w:val="00FC22B0"/>
    <w:rsid w:val="00FC26F7"/>
    <w:rsid w:val="00FC2A36"/>
    <w:rsid w:val="00FC2B61"/>
    <w:rsid w:val="00FC2E16"/>
    <w:rsid w:val="00FC3100"/>
    <w:rsid w:val="00FC327C"/>
    <w:rsid w:val="00FC3345"/>
    <w:rsid w:val="00FC337C"/>
    <w:rsid w:val="00FC3941"/>
    <w:rsid w:val="00FC3C10"/>
    <w:rsid w:val="00FC3DFB"/>
    <w:rsid w:val="00FC3F4D"/>
    <w:rsid w:val="00FC431D"/>
    <w:rsid w:val="00FC47AB"/>
    <w:rsid w:val="00FC4838"/>
    <w:rsid w:val="00FC4CFB"/>
    <w:rsid w:val="00FC4DEA"/>
    <w:rsid w:val="00FC4DFB"/>
    <w:rsid w:val="00FC562A"/>
    <w:rsid w:val="00FC59AA"/>
    <w:rsid w:val="00FC5E25"/>
    <w:rsid w:val="00FC5F51"/>
    <w:rsid w:val="00FC7435"/>
    <w:rsid w:val="00FC74B5"/>
    <w:rsid w:val="00FC74F3"/>
    <w:rsid w:val="00FC7551"/>
    <w:rsid w:val="00FC75A6"/>
    <w:rsid w:val="00FC7A40"/>
    <w:rsid w:val="00FC7C79"/>
    <w:rsid w:val="00FD00A2"/>
    <w:rsid w:val="00FD016A"/>
    <w:rsid w:val="00FD026D"/>
    <w:rsid w:val="00FD02A1"/>
    <w:rsid w:val="00FD03BB"/>
    <w:rsid w:val="00FD0464"/>
    <w:rsid w:val="00FD099E"/>
    <w:rsid w:val="00FD0DC1"/>
    <w:rsid w:val="00FD116B"/>
    <w:rsid w:val="00FD1246"/>
    <w:rsid w:val="00FD230A"/>
    <w:rsid w:val="00FD2BDF"/>
    <w:rsid w:val="00FD2EA9"/>
    <w:rsid w:val="00FD2FC8"/>
    <w:rsid w:val="00FD310B"/>
    <w:rsid w:val="00FD3498"/>
    <w:rsid w:val="00FD3667"/>
    <w:rsid w:val="00FD38EA"/>
    <w:rsid w:val="00FD3918"/>
    <w:rsid w:val="00FD3C55"/>
    <w:rsid w:val="00FD3FFF"/>
    <w:rsid w:val="00FD414B"/>
    <w:rsid w:val="00FD41E5"/>
    <w:rsid w:val="00FD4E45"/>
    <w:rsid w:val="00FD52B8"/>
    <w:rsid w:val="00FD548E"/>
    <w:rsid w:val="00FD5EAC"/>
    <w:rsid w:val="00FD5EDA"/>
    <w:rsid w:val="00FD5F83"/>
    <w:rsid w:val="00FD6791"/>
    <w:rsid w:val="00FD697B"/>
    <w:rsid w:val="00FD6FBB"/>
    <w:rsid w:val="00FD7173"/>
    <w:rsid w:val="00FD75F4"/>
    <w:rsid w:val="00FD7969"/>
    <w:rsid w:val="00FD7B69"/>
    <w:rsid w:val="00FD7C66"/>
    <w:rsid w:val="00FE03DF"/>
    <w:rsid w:val="00FE047E"/>
    <w:rsid w:val="00FE081C"/>
    <w:rsid w:val="00FE0827"/>
    <w:rsid w:val="00FE08C5"/>
    <w:rsid w:val="00FE0D41"/>
    <w:rsid w:val="00FE0FE2"/>
    <w:rsid w:val="00FE165A"/>
    <w:rsid w:val="00FE1C40"/>
    <w:rsid w:val="00FE1CA2"/>
    <w:rsid w:val="00FE22F0"/>
    <w:rsid w:val="00FE23DC"/>
    <w:rsid w:val="00FE2413"/>
    <w:rsid w:val="00FE24E2"/>
    <w:rsid w:val="00FE24E9"/>
    <w:rsid w:val="00FE298A"/>
    <w:rsid w:val="00FE29A5"/>
    <w:rsid w:val="00FE2B3F"/>
    <w:rsid w:val="00FE2BEC"/>
    <w:rsid w:val="00FE3105"/>
    <w:rsid w:val="00FE32B2"/>
    <w:rsid w:val="00FE373C"/>
    <w:rsid w:val="00FE425D"/>
    <w:rsid w:val="00FE4568"/>
    <w:rsid w:val="00FE4575"/>
    <w:rsid w:val="00FE464D"/>
    <w:rsid w:val="00FE46CE"/>
    <w:rsid w:val="00FE4D91"/>
    <w:rsid w:val="00FE503F"/>
    <w:rsid w:val="00FE505F"/>
    <w:rsid w:val="00FE5271"/>
    <w:rsid w:val="00FE52FD"/>
    <w:rsid w:val="00FE5BB8"/>
    <w:rsid w:val="00FE5E71"/>
    <w:rsid w:val="00FE60B0"/>
    <w:rsid w:val="00FE62E8"/>
    <w:rsid w:val="00FE6477"/>
    <w:rsid w:val="00FE6A68"/>
    <w:rsid w:val="00FE6E1C"/>
    <w:rsid w:val="00FE710B"/>
    <w:rsid w:val="00FE799A"/>
    <w:rsid w:val="00FE7E7F"/>
    <w:rsid w:val="00FE7FA2"/>
    <w:rsid w:val="00FF03DE"/>
    <w:rsid w:val="00FF0B89"/>
    <w:rsid w:val="00FF0BB4"/>
    <w:rsid w:val="00FF106E"/>
    <w:rsid w:val="00FF15B4"/>
    <w:rsid w:val="00FF196F"/>
    <w:rsid w:val="00FF1B48"/>
    <w:rsid w:val="00FF2529"/>
    <w:rsid w:val="00FF253F"/>
    <w:rsid w:val="00FF26F2"/>
    <w:rsid w:val="00FF27AF"/>
    <w:rsid w:val="00FF2962"/>
    <w:rsid w:val="00FF2B76"/>
    <w:rsid w:val="00FF2CBC"/>
    <w:rsid w:val="00FF30B8"/>
    <w:rsid w:val="00FF328D"/>
    <w:rsid w:val="00FF34C8"/>
    <w:rsid w:val="00FF394E"/>
    <w:rsid w:val="00FF3F82"/>
    <w:rsid w:val="00FF408F"/>
    <w:rsid w:val="00FF4B8F"/>
    <w:rsid w:val="00FF4DA2"/>
    <w:rsid w:val="00FF4E9F"/>
    <w:rsid w:val="00FF4F9C"/>
    <w:rsid w:val="00FF5136"/>
    <w:rsid w:val="00FF525C"/>
    <w:rsid w:val="00FF529C"/>
    <w:rsid w:val="00FF52F4"/>
    <w:rsid w:val="00FF5514"/>
    <w:rsid w:val="00FF5580"/>
    <w:rsid w:val="00FF5A15"/>
    <w:rsid w:val="00FF5A89"/>
    <w:rsid w:val="00FF5BAC"/>
    <w:rsid w:val="00FF5C68"/>
    <w:rsid w:val="00FF633E"/>
    <w:rsid w:val="00FF6A55"/>
    <w:rsid w:val="00FF6AD9"/>
    <w:rsid w:val="00FF6BB3"/>
    <w:rsid w:val="00FF6C7A"/>
    <w:rsid w:val="00FF752B"/>
    <w:rsid w:val="00FF76BA"/>
    <w:rsid w:val="00FF76C2"/>
    <w:rsid w:val="00FF7E74"/>
    <w:rsid w:val="0124856E"/>
    <w:rsid w:val="015D313E"/>
    <w:rsid w:val="0167EFB2"/>
    <w:rsid w:val="0181DAD7"/>
    <w:rsid w:val="019BD40C"/>
    <w:rsid w:val="01A1DBBE"/>
    <w:rsid w:val="01B7E77F"/>
    <w:rsid w:val="01E04082"/>
    <w:rsid w:val="0247D1F7"/>
    <w:rsid w:val="028AC909"/>
    <w:rsid w:val="02EAD0F6"/>
    <w:rsid w:val="031CF393"/>
    <w:rsid w:val="040F18D5"/>
    <w:rsid w:val="04BBCADE"/>
    <w:rsid w:val="04EEE1A9"/>
    <w:rsid w:val="05405795"/>
    <w:rsid w:val="05E839CA"/>
    <w:rsid w:val="068E8B15"/>
    <w:rsid w:val="069F96CE"/>
    <w:rsid w:val="06AAAB19"/>
    <w:rsid w:val="06B2E103"/>
    <w:rsid w:val="07004A77"/>
    <w:rsid w:val="088F17B4"/>
    <w:rsid w:val="08A77C28"/>
    <w:rsid w:val="08AAA570"/>
    <w:rsid w:val="08DDD038"/>
    <w:rsid w:val="0904E688"/>
    <w:rsid w:val="095953D0"/>
    <w:rsid w:val="09DF91AB"/>
    <w:rsid w:val="0A21F9AD"/>
    <w:rsid w:val="0A829C77"/>
    <w:rsid w:val="0AA1A3B8"/>
    <w:rsid w:val="0AC098A1"/>
    <w:rsid w:val="0AFC716D"/>
    <w:rsid w:val="0B167CBB"/>
    <w:rsid w:val="0B590096"/>
    <w:rsid w:val="0BC40F5C"/>
    <w:rsid w:val="0BC730BD"/>
    <w:rsid w:val="0C3178BE"/>
    <w:rsid w:val="0C409260"/>
    <w:rsid w:val="0C940000"/>
    <w:rsid w:val="0CAD372A"/>
    <w:rsid w:val="0D14EE19"/>
    <w:rsid w:val="0D81BDFA"/>
    <w:rsid w:val="0E01FE2E"/>
    <w:rsid w:val="0E47987B"/>
    <w:rsid w:val="0E59A7B7"/>
    <w:rsid w:val="0E8AEFBA"/>
    <w:rsid w:val="0EA0EE74"/>
    <w:rsid w:val="0EA176BE"/>
    <w:rsid w:val="0EA24B50"/>
    <w:rsid w:val="0EB9D118"/>
    <w:rsid w:val="0F0E94E6"/>
    <w:rsid w:val="101BAAA6"/>
    <w:rsid w:val="1027732D"/>
    <w:rsid w:val="1041FBED"/>
    <w:rsid w:val="109BB8DB"/>
    <w:rsid w:val="10A7146C"/>
    <w:rsid w:val="1131FE0E"/>
    <w:rsid w:val="11F31482"/>
    <w:rsid w:val="1272AB35"/>
    <w:rsid w:val="13077561"/>
    <w:rsid w:val="13A79CFA"/>
    <w:rsid w:val="13BC44BF"/>
    <w:rsid w:val="13D58635"/>
    <w:rsid w:val="145736C3"/>
    <w:rsid w:val="14754005"/>
    <w:rsid w:val="14D1CB7A"/>
    <w:rsid w:val="15049509"/>
    <w:rsid w:val="158322CF"/>
    <w:rsid w:val="15AAA695"/>
    <w:rsid w:val="15B5FF67"/>
    <w:rsid w:val="15E74477"/>
    <w:rsid w:val="1649E5D6"/>
    <w:rsid w:val="16BE6DB7"/>
    <w:rsid w:val="16ED0FE5"/>
    <w:rsid w:val="17381FE4"/>
    <w:rsid w:val="17DEDE04"/>
    <w:rsid w:val="17FA8396"/>
    <w:rsid w:val="182E93BA"/>
    <w:rsid w:val="188E3BA4"/>
    <w:rsid w:val="18C138C9"/>
    <w:rsid w:val="18C3398C"/>
    <w:rsid w:val="18D01D9E"/>
    <w:rsid w:val="190EBFDB"/>
    <w:rsid w:val="197667B7"/>
    <w:rsid w:val="19C0FDA0"/>
    <w:rsid w:val="1A0D1A35"/>
    <w:rsid w:val="1A29E596"/>
    <w:rsid w:val="1A312910"/>
    <w:rsid w:val="1A545996"/>
    <w:rsid w:val="1AC473FC"/>
    <w:rsid w:val="1B395597"/>
    <w:rsid w:val="1B4FB0BE"/>
    <w:rsid w:val="1BD929AC"/>
    <w:rsid w:val="1C24DF03"/>
    <w:rsid w:val="1C98D97B"/>
    <w:rsid w:val="1CF85C9B"/>
    <w:rsid w:val="1D882494"/>
    <w:rsid w:val="1EEE233F"/>
    <w:rsid w:val="1F3F60B4"/>
    <w:rsid w:val="1F563FF7"/>
    <w:rsid w:val="1F5981C2"/>
    <w:rsid w:val="1FC30511"/>
    <w:rsid w:val="2004FEB6"/>
    <w:rsid w:val="203219C6"/>
    <w:rsid w:val="2071F8F9"/>
    <w:rsid w:val="2084014C"/>
    <w:rsid w:val="208C336E"/>
    <w:rsid w:val="20F3695D"/>
    <w:rsid w:val="210B7949"/>
    <w:rsid w:val="212D97A2"/>
    <w:rsid w:val="214DCECC"/>
    <w:rsid w:val="21D2B4DB"/>
    <w:rsid w:val="21DD3FFD"/>
    <w:rsid w:val="2267AB57"/>
    <w:rsid w:val="229D805F"/>
    <w:rsid w:val="22E0DE8A"/>
    <w:rsid w:val="2304901D"/>
    <w:rsid w:val="2323B083"/>
    <w:rsid w:val="235476E5"/>
    <w:rsid w:val="23C5F3A6"/>
    <w:rsid w:val="23DA0183"/>
    <w:rsid w:val="24756373"/>
    <w:rsid w:val="24935503"/>
    <w:rsid w:val="2513E31B"/>
    <w:rsid w:val="2539A5F4"/>
    <w:rsid w:val="2565EEBA"/>
    <w:rsid w:val="257552C1"/>
    <w:rsid w:val="25FC5AC2"/>
    <w:rsid w:val="2649156D"/>
    <w:rsid w:val="266F596A"/>
    <w:rsid w:val="26C6DE05"/>
    <w:rsid w:val="26CDF44C"/>
    <w:rsid w:val="2700C3D7"/>
    <w:rsid w:val="272486EB"/>
    <w:rsid w:val="2810F693"/>
    <w:rsid w:val="282DA75C"/>
    <w:rsid w:val="28613BD3"/>
    <w:rsid w:val="288A0818"/>
    <w:rsid w:val="2903D367"/>
    <w:rsid w:val="2B08B785"/>
    <w:rsid w:val="2B9A5CD2"/>
    <w:rsid w:val="2C450FFB"/>
    <w:rsid w:val="2C7B61C5"/>
    <w:rsid w:val="2C95945F"/>
    <w:rsid w:val="2CAB4D92"/>
    <w:rsid w:val="2CBF6713"/>
    <w:rsid w:val="2D797843"/>
    <w:rsid w:val="2E2FBE92"/>
    <w:rsid w:val="2E3B8E90"/>
    <w:rsid w:val="2EF142A1"/>
    <w:rsid w:val="2F1BF232"/>
    <w:rsid w:val="2FD24E8F"/>
    <w:rsid w:val="301D9CD0"/>
    <w:rsid w:val="304BF0F1"/>
    <w:rsid w:val="305D2293"/>
    <w:rsid w:val="30A58C27"/>
    <w:rsid w:val="317B2424"/>
    <w:rsid w:val="31AE24B7"/>
    <w:rsid w:val="3218992E"/>
    <w:rsid w:val="32CDCE9F"/>
    <w:rsid w:val="32D28144"/>
    <w:rsid w:val="3303FB97"/>
    <w:rsid w:val="3321044B"/>
    <w:rsid w:val="344B3C7C"/>
    <w:rsid w:val="3471CC65"/>
    <w:rsid w:val="347852BE"/>
    <w:rsid w:val="34A1E965"/>
    <w:rsid w:val="34D5EF85"/>
    <w:rsid w:val="356E8A61"/>
    <w:rsid w:val="3578596D"/>
    <w:rsid w:val="36559482"/>
    <w:rsid w:val="36AC1FA5"/>
    <w:rsid w:val="36EE194C"/>
    <w:rsid w:val="3708B8E1"/>
    <w:rsid w:val="374B662B"/>
    <w:rsid w:val="379FBCC1"/>
    <w:rsid w:val="37D03CA8"/>
    <w:rsid w:val="37D43AC2"/>
    <w:rsid w:val="3840B1DD"/>
    <w:rsid w:val="386B152E"/>
    <w:rsid w:val="38837A42"/>
    <w:rsid w:val="3913C8A7"/>
    <w:rsid w:val="3979CD9E"/>
    <w:rsid w:val="39BCFEBD"/>
    <w:rsid w:val="39C915B1"/>
    <w:rsid w:val="39EA21C1"/>
    <w:rsid w:val="3A39C4F7"/>
    <w:rsid w:val="3AC04BDC"/>
    <w:rsid w:val="3ADFD8F3"/>
    <w:rsid w:val="3B15D27A"/>
    <w:rsid w:val="3B42907B"/>
    <w:rsid w:val="3B9ABE62"/>
    <w:rsid w:val="3BA9FDA1"/>
    <w:rsid w:val="3BCF4464"/>
    <w:rsid w:val="3BE09CA3"/>
    <w:rsid w:val="3C3856D0"/>
    <w:rsid w:val="3CA7EDE9"/>
    <w:rsid w:val="3CD8A7FD"/>
    <w:rsid w:val="3D3D0963"/>
    <w:rsid w:val="3D8EBFA4"/>
    <w:rsid w:val="3DA5CF6F"/>
    <w:rsid w:val="3DF2C34D"/>
    <w:rsid w:val="3DF7F9B3"/>
    <w:rsid w:val="3E15E7A1"/>
    <w:rsid w:val="3EE19C2C"/>
    <w:rsid w:val="3F0A18F1"/>
    <w:rsid w:val="3F0D1078"/>
    <w:rsid w:val="3FB6B42E"/>
    <w:rsid w:val="3FC6B42F"/>
    <w:rsid w:val="3FCAA065"/>
    <w:rsid w:val="405FF0FD"/>
    <w:rsid w:val="40702347"/>
    <w:rsid w:val="40C075F6"/>
    <w:rsid w:val="40FC0D8E"/>
    <w:rsid w:val="41659857"/>
    <w:rsid w:val="416B3D64"/>
    <w:rsid w:val="420EA3F8"/>
    <w:rsid w:val="42BAE729"/>
    <w:rsid w:val="4337D8C2"/>
    <w:rsid w:val="43B9089B"/>
    <w:rsid w:val="43F1EAC8"/>
    <w:rsid w:val="4424E4AC"/>
    <w:rsid w:val="44FEB354"/>
    <w:rsid w:val="451C7737"/>
    <w:rsid w:val="45FF91EF"/>
    <w:rsid w:val="4696BA9D"/>
    <w:rsid w:val="46B653A8"/>
    <w:rsid w:val="47614703"/>
    <w:rsid w:val="47814E13"/>
    <w:rsid w:val="481C6AA1"/>
    <w:rsid w:val="4876C1E2"/>
    <w:rsid w:val="48C764F2"/>
    <w:rsid w:val="495C386F"/>
    <w:rsid w:val="49953CED"/>
    <w:rsid w:val="49EBF7EF"/>
    <w:rsid w:val="4A067492"/>
    <w:rsid w:val="4A483C07"/>
    <w:rsid w:val="4A58D89A"/>
    <w:rsid w:val="4AC39C3A"/>
    <w:rsid w:val="4AE3FF8D"/>
    <w:rsid w:val="4B919CB3"/>
    <w:rsid w:val="4BEE8BCE"/>
    <w:rsid w:val="4C1D9A57"/>
    <w:rsid w:val="4CAD0B76"/>
    <w:rsid w:val="4E0F7BF7"/>
    <w:rsid w:val="4ED8C478"/>
    <w:rsid w:val="4EF226E8"/>
    <w:rsid w:val="4F748F41"/>
    <w:rsid w:val="505FFA9A"/>
    <w:rsid w:val="506F3735"/>
    <w:rsid w:val="508C4FB2"/>
    <w:rsid w:val="50A551E5"/>
    <w:rsid w:val="512FF054"/>
    <w:rsid w:val="5148B162"/>
    <w:rsid w:val="516EA80F"/>
    <w:rsid w:val="51F1F5A4"/>
    <w:rsid w:val="51FBC7ED"/>
    <w:rsid w:val="5241F827"/>
    <w:rsid w:val="527D1871"/>
    <w:rsid w:val="532BD31E"/>
    <w:rsid w:val="535F4860"/>
    <w:rsid w:val="538971D7"/>
    <w:rsid w:val="53EC5609"/>
    <w:rsid w:val="540DD06A"/>
    <w:rsid w:val="54FCAEB2"/>
    <w:rsid w:val="5502EFA9"/>
    <w:rsid w:val="55171E93"/>
    <w:rsid w:val="552F802C"/>
    <w:rsid w:val="5532A71D"/>
    <w:rsid w:val="5542A699"/>
    <w:rsid w:val="554824D6"/>
    <w:rsid w:val="55498011"/>
    <w:rsid w:val="556C7BBC"/>
    <w:rsid w:val="563A92EE"/>
    <w:rsid w:val="568FBC7B"/>
    <w:rsid w:val="569545DF"/>
    <w:rsid w:val="56A0E467"/>
    <w:rsid w:val="56BD1073"/>
    <w:rsid w:val="56C15CC3"/>
    <w:rsid w:val="576F9F17"/>
    <w:rsid w:val="57701240"/>
    <w:rsid w:val="5771D94C"/>
    <w:rsid w:val="57B64750"/>
    <w:rsid w:val="57F66ABA"/>
    <w:rsid w:val="5820E6E9"/>
    <w:rsid w:val="5856A69C"/>
    <w:rsid w:val="58FA9934"/>
    <w:rsid w:val="59B8A563"/>
    <w:rsid w:val="59C8B6EB"/>
    <w:rsid w:val="5A079E85"/>
    <w:rsid w:val="5A149C33"/>
    <w:rsid w:val="5A3CF02A"/>
    <w:rsid w:val="5A77E9AF"/>
    <w:rsid w:val="5A9D13D8"/>
    <w:rsid w:val="5AFDC844"/>
    <w:rsid w:val="5B0D2919"/>
    <w:rsid w:val="5B3FAE61"/>
    <w:rsid w:val="5B4E2AC6"/>
    <w:rsid w:val="5B835703"/>
    <w:rsid w:val="5B9159BB"/>
    <w:rsid w:val="5BBC03AE"/>
    <w:rsid w:val="5C2758E5"/>
    <w:rsid w:val="5C584053"/>
    <w:rsid w:val="5CACF478"/>
    <w:rsid w:val="5CBAC557"/>
    <w:rsid w:val="5CD24B7F"/>
    <w:rsid w:val="5D29DB47"/>
    <w:rsid w:val="5D62BE2F"/>
    <w:rsid w:val="5DD729F6"/>
    <w:rsid w:val="5E2FB4AA"/>
    <w:rsid w:val="5E54B56F"/>
    <w:rsid w:val="5E8CB271"/>
    <w:rsid w:val="5EA5EC53"/>
    <w:rsid w:val="5EB11A5B"/>
    <w:rsid w:val="5F16CD13"/>
    <w:rsid w:val="5F18CAF7"/>
    <w:rsid w:val="5F6AB01B"/>
    <w:rsid w:val="5F8D3AB0"/>
    <w:rsid w:val="5FDCB950"/>
    <w:rsid w:val="602C7B0A"/>
    <w:rsid w:val="60E61464"/>
    <w:rsid w:val="6112E6CE"/>
    <w:rsid w:val="615CAB62"/>
    <w:rsid w:val="6187F756"/>
    <w:rsid w:val="618F3632"/>
    <w:rsid w:val="6255B000"/>
    <w:rsid w:val="6278A285"/>
    <w:rsid w:val="6283DDAD"/>
    <w:rsid w:val="636C0184"/>
    <w:rsid w:val="63A37CEF"/>
    <w:rsid w:val="63CFD554"/>
    <w:rsid w:val="63D5DDB4"/>
    <w:rsid w:val="64E4C308"/>
    <w:rsid w:val="65110C24"/>
    <w:rsid w:val="652CF8BA"/>
    <w:rsid w:val="65835DD9"/>
    <w:rsid w:val="65912E39"/>
    <w:rsid w:val="65A77FCB"/>
    <w:rsid w:val="65C26194"/>
    <w:rsid w:val="65E01266"/>
    <w:rsid w:val="6634EE36"/>
    <w:rsid w:val="6637F19F"/>
    <w:rsid w:val="665899F6"/>
    <w:rsid w:val="668C3185"/>
    <w:rsid w:val="6726A4E2"/>
    <w:rsid w:val="67738126"/>
    <w:rsid w:val="67E33D4B"/>
    <w:rsid w:val="67EECEB6"/>
    <w:rsid w:val="67F5BB45"/>
    <w:rsid w:val="68042867"/>
    <w:rsid w:val="680D1A88"/>
    <w:rsid w:val="685B5728"/>
    <w:rsid w:val="68B94ED9"/>
    <w:rsid w:val="68BE4D5F"/>
    <w:rsid w:val="68C469FA"/>
    <w:rsid w:val="68F81136"/>
    <w:rsid w:val="693BFFCF"/>
    <w:rsid w:val="69768769"/>
    <w:rsid w:val="69C5FCDC"/>
    <w:rsid w:val="6A7E3741"/>
    <w:rsid w:val="6B085A0A"/>
    <w:rsid w:val="6B778BC0"/>
    <w:rsid w:val="6B80BACC"/>
    <w:rsid w:val="6B87CA62"/>
    <w:rsid w:val="6C102516"/>
    <w:rsid w:val="6C3F925C"/>
    <w:rsid w:val="6CC7C49F"/>
    <w:rsid w:val="6CCDD673"/>
    <w:rsid w:val="6D24D80B"/>
    <w:rsid w:val="6D65E6EF"/>
    <w:rsid w:val="6D822870"/>
    <w:rsid w:val="6DA108EC"/>
    <w:rsid w:val="6E2E4153"/>
    <w:rsid w:val="6E92435C"/>
    <w:rsid w:val="6ED5422E"/>
    <w:rsid w:val="6F3DD5B4"/>
    <w:rsid w:val="6F5C994A"/>
    <w:rsid w:val="6F7A66EF"/>
    <w:rsid w:val="70272598"/>
    <w:rsid w:val="7038379F"/>
    <w:rsid w:val="70F6650A"/>
    <w:rsid w:val="71989DB2"/>
    <w:rsid w:val="721D34B8"/>
    <w:rsid w:val="72AD401C"/>
    <w:rsid w:val="72BCDD67"/>
    <w:rsid w:val="730A781D"/>
    <w:rsid w:val="737CE8B9"/>
    <w:rsid w:val="742922C7"/>
    <w:rsid w:val="755B03AB"/>
    <w:rsid w:val="75AEA324"/>
    <w:rsid w:val="763EDC97"/>
    <w:rsid w:val="76584397"/>
    <w:rsid w:val="766459B0"/>
    <w:rsid w:val="76AB4FD4"/>
    <w:rsid w:val="781B4DC8"/>
    <w:rsid w:val="782FC44B"/>
    <w:rsid w:val="785AAC81"/>
    <w:rsid w:val="787C88E9"/>
    <w:rsid w:val="7884DD78"/>
    <w:rsid w:val="78A4352C"/>
    <w:rsid w:val="78A49903"/>
    <w:rsid w:val="78B47FEB"/>
    <w:rsid w:val="78E37DD5"/>
    <w:rsid w:val="79317CBD"/>
    <w:rsid w:val="79651E56"/>
    <w:rsid w:val="796FF62F"/>
    <w:rsid w:val="79995B07"/>
    <w:rsid w:val="79C71A65"/>
    <w:rsid w:val="79EDE323"/>
    <w:rsid w:val="79FA3975"/>
    <w:rsid w:val="7B9FE1D5"/>
    <w:rsid w:val="7C3D9523"/>
    <w:rsid w:val="7CBC26A3"/>
    <w:rsid w:val="7CCAB001"/>
    <w:rsid w:val="7CD4ECF9"/>
    <w:rsid w:val="7CE5C438"/>
    <w:rsid w:val="7D076FE8"/>
    <w:rsid w:val="7D63495C"/>
    <w:rsid w:val="7D9BA319"/>
    <w:rsid w:val="7DF8FB04"/>
    <w:rsid w:val="7E7761EC"/>
    <w:rsid w:val="7E974881"/>
    <w:rsid w:val="7EE08BB8"/>
    <w:rsid w:val="7F27180B"/>
    <w:rsid w:val="7F2AFAEA"/>
    <w:rsid w:val="7F7279E8"/>
    <w:rsid w:val="7FAE1137"/>
    <w:rsid w:val="7FED59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73DBB434"/>
  <w14:defaultImageDpi w14:val="32767"/>
  <w15:chartTrackingRefBased/>
  <w15:docId w15:val="{D240BDF0-8DFD-4430-A813-117FEC33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imes New Roman"/>
        <w:color w:val="000000" w:themeColor="text1"/>
        <w:lang w:val="en-AU" w:eastAsia="en-US" w:bidi="ar-SA"/>
      </w:rPr>
    </w:rPrDefault>
    <w:pPrDefault>
      <w:pPr>
        <w:spacing w:before="120" w:after="120"/>
      </w:pPr>
    </w:pPrDefault>
  </w:docDefaults>
  <w:latentStyles w:defLockedState="0" w:defUIPriority="99" w:defSemiHidden="0" w:defUnhideWhenUsed="0" w:defQFormat="0" w:count="376">
    <w:lsdException w:name="Normal" w:uiPriority="2"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3"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1" w:unhideWhenUsed="1" w:qFormat="1"/>
    <w:lsdException w:name="List Number 5" w:semiHidden="1" w:unhideWhenUsed="1"/>
    <w:lsdException w:name="Title" w:semiHidden="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qFormat="1"/>
    <w:lsdException w:name="Emphasis" w:semiHidden="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CF17D1"/>
    <w:pPr>
      <w:spacing w:before="0" w:after="140" w:line="280" w:lineRule="atLeast"/>
    </w:pPr>
    <w:rPr>
      <w:lang w:val="en-US" w:eastAsia="en-AU"/>
    </w:rPr>
  </w:style>
  <w:style w:type="paragraph" w:styleId="Heading1">
    <w:name w:val="heading 1"/>
    <w:next w:val="Normal"/>
    <w:link w:val="Heading1Char"/>
    <w:qFormat/>
    <w:rsid w:val="00F45A2F"/>
    <w:pPr>
      <w:keepNext/>
      <w:keepLines/>
      <w:spacing w:before="400" w:after="260" w:line="520" w:lineRule="atLeast"/>
      <w:outlineLvl w:val="0"/>
    </w:pPr>
    <w:rPr>
      <w:rFonts w:ascii="Arial" w:eastAsiaTheme="majorEastAsia" w:hAnsi="Arial" w:cstheme="majorBidi"/>
      <w:b/>
      <w:color w:val="081DA4" w:themeColor="text2"/>
      <w:spacing w:val="-10"/>
      <w:sz w:val="44"/>
      <w:szCs w:val="32"/>
    </w:rPr>
  </w:style>
  <w:style w:type="paragraph" w:styleId="Heading2">
    <w:name w:val="heading 2"/>
    <w:basedOn w:val="Normal"/>
    <w:next w:val="Normal"/>
    <w:link w:val="Heading2Char"/>
    <w:qFormat/>
    <w:rsid w:val="00DC4936"/>
    <w:pPr>
      <w:keepNext/>
      <w:keepLines/>
      <w:spacing w:before="240" w:after="200" w:line="400" w:lineRule="atLeast"/>
      <w:outlineLvl w:val="1"/>
    </w:pPr>
    <w:rPr>
      <w:rFonts w:ascii="Arial" w:eastAsiaTheme="majorEastAsia" w:hAnsi="Arial" w:cstheme="majorBidi"/>
      <w:b/>
      <w:color w:val="081DA4" w:themeColor="accent1"/>
      <w:spacing w:val="-4"/>
      <w:sz w:val="32"/>
      <w:szCs w:val="26"/>
    </w:rPr>
  </w:style>
  <w:style w:type="paragraph" w:styleId="Heading3">
    <w:name w:val="heading 3"/>
    <w:next w:val="Normal"/>
    <w:link w:val="Heading3Char"/>
    <w:qFormat/>
    <w:rsid w:val="00767AB2"/>
    <w:pPr>
      <w:keepNext/>
      <w:keepLines/>
      <w:spacing w:before="240" w:after="160" w:line="320" w:lineRule="atLeast"/>
      <w:outlineLvl w:val="2"/>
    </w:pPr>
    <w:rPr>
      <w:rFonts w:ascii="Arial" w:eastAsiaTheme="majorEastAsia" w:hAnsi="Arial" w:cstheme="majorBidi"/>
      <w:b/>
      <w:spacing w:val="4"/>
      <w:sz w:val="24"/>
      <w:szCs w:val="24"/>
      <w:lang w:val="en-US"/>
    </w:rPr>
  </w:style>
  <w:style w:type="paragraph" w:styleId="Heading4">
    <w:name w:val="heading 4"/>
    <w:link w:val="Heading4Char"/>
    <w:qFormat/>
    <w:rsid w:val="00E81CAF"/>
    <w:pPr>
      <w:keepNext/>
      <w:keepLines/>
      <w:spacing w:after="140" w:line="280" w:lineRule="atLeast"/>
      <w:outlineLvl w:val="3"/>
    </w:pPr>
    <w:rPr>
      <w:rFonts w:ascii="Arial" w:eastAsiaTheme="majorEastAsia" w:hAnsi="Arial" w:cstheme="majorBidi"/>
      <w:b/>
      <w:iCs/>
    </w:rPr>
  </w:style>
  <w:style w:type="paragraph" w:styleId="Heading5">
    <w:name w:val="heading 5"/>
    <w:basedOn w:val="Heading8"/>
    <w:next w:val="Normal"/>
    <w:link w:val="Heading5Char"/>
    <w:qFormat/>
    <w:rsid w:val="00992D57"/>
    <w:pPr>
      <w:keepLines w:val="0"/>
      <w:spacing w:after="160" w:line="240" w:lineRule="auto"/>
      <w:contextualSpacing/>
      <w:outlineLvl w:val="4"/>
    </w:pPr>
    <w:rPr>
      <w:rFonts w:ascii="Arial" w:eastAsia="Times New Roman" w:hAnsi="Arial" w:cs="Arial"/>
      <w:b/>
      <w:bCs/>
      <w:i w:val="0"/>
      <w:iCs w:val="0"/>
      <w:color w:val="auto"/>
      <w:sz w:val="24"/>
      <w:szCs w:val="24"/>
      <w:lang w:val="en-AU" w:eastAsia="en-US"/>
    </w:rPr>
  </w:style>
  <w:style w:type="paragraph" w:styleId="Heading6">
    <w:name w:val="heading 6"/>
    <w:basedOn w:val="Normal"/>
    <w:next w:val="Normal"/>
    <w:link w:val="Heading6Char"/>
    <w:qFormat/>
    <w:rsid w:val="00FE24E9"/>
    <w:pPr>
      <w:keepNext/>
      <w:keepLines/>
      <w:spacing w:before="240"/>
      <w:outlineLvl w:val="5"/>
    </w:pPr>
    <w:rPr>
      <w:rFonts w:eastAsiaTheme="majorEastAsia" w:cstheme="majorBidi"/>
      <w:i/>
      <w:sz w:val="22"/>
      <w:szCs w:val="18"/>
    </w:rPr>
  </w:style>
  <w:style w:type="paragraph" w:styleId="Heading7">
    <w:name w:val="heading 7"/>
    <w:basedOn w:val="Normal"/>
    <w:next w:val="Normal"/>
    <w:link w:val="Heading7Char"/>
    <w:unhideWhenUsed/>
    <w:qFormat/>
    <w:rsid w:val="00E81CAF"/>
    <w:pPr>
      <w:keepNext/>
      <w:keepLines/>
      <w:spacing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5614D6"/>
    <w:pPr>
      <w:keepNext/>
      <w:keepLines/>
      <w:spacing w:before="24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E81CA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link w:val="FootnoteTextChar"/>
    <w:uiPriority w:val="99"/>
    <w:qFormat/>
    <w:rsid w:val="00E81CAF"/>
    <w:pPr>
      <w:adjustRightInd w:val="0"/>
      <w:snapToGrid w:val="0"/>
      <w:spacing w:line="240" w:lineRule="atLeast"/>
    </w:pPr>
    <w:rPr>
      <w:rFonts w:cstheme="minorBidi"/>
      <w:sz w:val="16"/>
    </w:rPr>
  </w:style>
  <w:style w:type="paragraph" w:customStyle="1" w:styleId="FooterAddress">
    <w:name w:val="Footer Address"/>
    <w:basedOn w:val="Normal"/>
    <w:semiHidden/>
    <w:rsid w:val="00E81CAF"/>
    <w:rPr>
      <w:sz w:val="14"/>
      <w:szCs w:val="14"/>
    </w:rPr>
  </w:style>
  <w:style w:type="paragraph" w:customStyle="1" w:styleId="FooterHeading">
    <w:name w:val="Footer Heading"/>
    <w:basedOn w:val="Normal"/>
    <w:semiHidden/>
    <w:rsid w:val="00E81CAF"/>
    <w:rPr>
      <w:sz w:val="12"/>
      <w:szCs w:val="12"/>
    </w:rPr>
  </w:style>
  <w:style w:type="paragraph" w:customStyle="1" w:styleId="ContactNum">
    <w:name w:val="Contact Num"/>
    <w:basedOn w:val="Normal"/>
    <w:semiHidden/>
    <w:rsid w:val="00E81CAF"/>
    <w:pPr>
      <w:spacing w:after="44" w:line="195" w:lineRule="atLeast"/>
    </w:pPr>
    <w:rPr>
      <w:rFonts w:ascii="Calibri Light" w:hAnsi="Calibri Light"/>
      <w:color w:val="58585A"/>
      <w:sz w:val="14"/>
      <w:szCs w:val="14"/>
    </w:rPr>
  </w:style>
  <w:style w:type="paragraph" w:customStyle="1" w:styleId="ContactName">
    <w:name w:val="Contact Name"/>
    <w:basedOn w:val="ContactNum"/>
    <w:semiHidden/>
    <w:rsid w:val="00E81CAF"/>
    <w:pPr>
      <w:spacing w:after="0" w:line="240" w:lineRule="auto"/>
    </w:pPr>
    <w:rPr>
      <w:b/>
    </w:rPr>
  </w:style>
  <w:style w:type="table" w:styleId="TableGrid">
    <w:name w:val="Table Grid"/>
    <w:aliases w:val="CV table"/>
    <w:basedOn w:val="TableNormal"/>
    <w:uiPriority w:val="39"/>
    <w:rsid w:val="00E81CAF"/>
    <w:rPr>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URL">
    <w:name w:val="Footer URL"/>
    <w:basedOn w:val="Footer"/>
    <w:semiHidden/>
    <w:rsid w:val="00E81CAF"/>
    <w:pPr>
      <w:spacing w:before="70" w:after="57" w:line="180" w:lineRule="atLeast"/>
    </w:pPr>
    <w:rPr>
      <w:rFonts w:ascii="Montserrat Medium" w:hAnsi="Montserrat Medium"/>
    </w:rPr>
  </w:style>
  <w:style w:type="paragraph" w:styleId="Footer">
    <w:name w:val="footer"/>
    <w:basedOn w:val="Header"/>
    <w:link w:val="FooterChar"/>
    <w:uiPriority w:val="99"/>
    <w:qFormat/>
    <w:rsid w:val="00E81CAF"/>
    <w:pPr>
      <w:jc w:val="center"/>
    </w:pPr>
    <w:rPr>
      <w:rFonts w:eastAsia="MS Mincho" w:cstheme="minorHAnsi"/>
      <w:szCs w:val="14"/>
      <w:lang w:eastAsia="ja-JP"/>
    </w:rPr>
  </w:style>
  <w:style w:type="character" w:customStyle="1" w:styleId="FooterChar">
    <w:name w:val="Footer Char"/>
    <w:basedOn w:val="DefaultParagraphFont"/>
    <w:link w:val="Footer"/>
    <w:uiPriority w:val="99"/>
    <w:rsid w:val="00E81CAF"/>
    <w:rPr>
      <w:rFonts w:eastAsia="MS Mincho" w:cstheme="minorHAnsi"/>
      <w:sz w:val="16"/>
      <w:szCs w:val="14"/>
      <w:lang w:eastAsia="ja-JP"/>
    </w:rPr>
  </w:style>
  <w:style w:type="paragraph" w:customStyle="1" w:styleId="FooterCompanyName">
    <w:name w:val="Footer Company Name"/>
    <w:basedOn w:val="Footer"/>
    <w:semiHidden/>
    <w:qFormat/>
    <w:rsid w:val="00E81CAF"/>
    <w:rPr>
      <w:rFonts w:ascii="Montserrat SemiBold" w:hAnsi="Montserrat SemiBold"/>
    </w:rPr>
  </w:style>
  <w:style w:type="paragraph" w:customStyle="1" w:styleId="FooterContactdetails">
    <w:name w:val="Footer Contact details"/>
    <w:basedOn w:val="Footer"/>
    <w:semiHidden/>
    <w:qFormat/>
    <w:rsid w:val="00E81CAF"/>
    <w:pPr>
      <w:spacing w:before="90" w:line="180" w:lineRule="atLeast"/>
    </w:pPr>
  </w:style>
  <w:style w:type="paragraph" w:customStyle="1" w:styleId="FooterABN">
    <w:name w:val="Footer ABN"/>
    <w:basedOn w:val="Footer"/>
    <w:link w:val="FooterABNChar"/>
    <w:semiHidden/>
    <w:qFormat/>
    <w:rsid w:val="00E81CAF"/>
    <w:pPr>
      <w:spacing w:after="80" w:line="180" w:lineRule="atLeast"/>
      <w:contextualSpacing/>
    </w:pPr>
    <w:rPr>
      <w:sz w:val="12"/>
    </w:rPr>
  </w:style>
  <w:style w:type="character" w:customStyle="1" w:styleId="FooterABNChar">
    <w:name w:val="Footer ABN Char"/>
    <w:basedOn w:val="FooterChar"/>
    <w:link w:val="FooterABN"/>
    <w:semiHidden/>
    <w:rsid w:val="00E81CAF"/>
    <w:rPr>
      <w:rFonts w:eastAsia="MS Mincho" w:cstheme="minorHAnsi"/>
      <w:sz w:val="12"/>
      <w:szCs w:val="14"/>
      <w:lang w:eastAsia="ja-JP"/>
    </w:rPr>
  </w:style>
  <w:style w:type="paragraph" w:styleId="Header">
    <w:name w:val="header"/>
    <w:basedOn w:val="Normal"/>
    <w:link w:val="HeaderChar"/>
    <w:uiPriority w:val="99"/>
    <w:rsid w:val="00E81CAF"/>
    <w:pPr>
      <w:tabs>
        <w:tab w:val="center" w:pos="4513"/>
        <w:tab w:val="right" w:pos="9026"/>
      </w:tabs>
      <w:spacing w:after="0" w:line="200" w:lineRule="atLeast"/>
    </w:pPr>
    <w:rPr>
      <w:sz w:val="16"/>
    </w:rPr>
  </w:style>
  <w:style w:type="character" w:customStyle="1" w:styleId="HeaderChar">
    <w:name w:val="Header Char"/>
    <w:basedOn w:val="DefaultParagraphFont"/>
    <w:link w:val="Header"/>
    <w:uiPriority w:val="99"/>
    <w:rsid w:val="00E81CAF"/>
    <w:rPr>
      <w:sz w:val="16"/>
    </w:rPr>
  </w:style>
  <w:style w:type="character" w:customStyle="1" w:styleId="Heading1Char">
    <w:name w:val="Heading 1 Char"/>
    <w:basedOn w:val="DefaultParagraphFont"/>
    <w:link w:val="Heading1"/>
    <w:uiPriority w:val="9"/>
    <w:rsid w:val="00F45A2F"/>
    <w:rPr>
      <w:rFonts w:ascii="Arial" w:eastAsiaTheme="majorEastAsia" w:hAnsi="Arial" w:cstheme="majorBidi"/>
      <w:b/>
      <w:color w:val="081DA4" w:themeColor="text2"/>
      <w:spacing w:val="-10"/>
      <w:sz w:val="44"/>
      <w:szCs w:val="32"/>
    </w:rPr>
  </w:style>
  <w:style w:type="character" w:customStyle="1" w:styleId="Heading2Char">
    <w:name w:val="Heading 2 Char"/>
    <w:basedOn w:val="DefaultParagraphFont"/>
    <w:link w:val="Heading2"/>
    <w:uiPriority w:val="9"/>
    <w:rsid w:val="00DC4936"/>
    <w:rPr>
      <w:rFonts w:ascii="Arial" w:eastAsiaTheme="majorEastAsia" w:hAnsi="Arial" w:cstheme="majorBidi"/>
      <w:b/>
      <w:color w:val="081DA4" w:themeColor="accent1"/>
      <w:spacing w:val="-4"/>
      <w:sz w:val="32"/>
      <w:szCs w:val="26"/>
    </w:rPr>
  </w:style>
  <w:style w:type="character" w:customStyle="1" w:styleId="Heading3Char">
    <w:name w:val="Heading 3 Char"/>
    <w:basedOn w:val="DefaultParagraphFont"/>
    <w:link w:val="Heading3"/>
    <w:rsid w:val="00767AB2"/>
    <w:rPr>
      <w:rFonts w:ascii="Arial" w:eastAsiaTheme="majorEastAsia" w:hAnsi="Arial" w:cstheme="majorBidi"/>
      <w:b/>
      <w:spacing w:val="4"/>
      <w:sz w:val="24"/>
      <w:szCs w:val="24"/>
      <w:lang w:val="en-US"/>
    </w:rPr>
  </w:style>
  <w:style w:type="character" w:customStyle="1" w:styleId="Heading4Char">
    <w:name w:val="Heading 4 Char"/>
    <w:basedOn w:val="DefaultParagraphFont"/>
    <w:link w:val="Heading4"/>
    <w:rsid w:val="00E81CAF"/>
    <w:rPr>
      <w:rFonts w:ascii="Arial" w:eastAsiaTheme="majorEastAsia" w:hAnsi="Arial" w:cstheme="majorBidi"/>
      <w:b/>
      <w:iCs/>
    </w:rPr>
  </w:style>
  <w:style w:type="paragraph" w:styleId="ListBullet">
    <w:name w:val="List Bullet"/>
    <w:basedOn w:val="Normal"/>
    <w:qFormat/>
    <w:rsid w:val="000A630C"/>
    <w:pPr>
      <w:numPr>
        <w:numId w:val="14"/>
      </w:numPr>
      <w:adjustRightInd w:val="0"/>
      <w:snapToGrid w:val="0"/>
    </w:pPr>
    <w:rPr>
      <w:rFonts w:ascii="Arial" w:eastAsiaTheme="minorEastAsia" w:hAnsi="Arial"/>
      <w:lang w:val="en-AU" w:eastAsia="en-US"/>
    </w:rPr>
  </w:style>
  <w:style w:type="paragraph" w:styleId="ListBullet2">
    <w:name w:val="List Bullet 2"/>
    <w:basedOn w:val="ListParagraph"/>
    <w:uiPriority w:val="5"/>
    <w:qFormat/>
    <w:rsid w:val="00E81CAF"/>
    <w:pPr>
      <w:numPr>
        <w:ilvl w:val="1"/>
        <w:numId w:val="16"/>
      </w:numPr>
    </w:pPr>
  </w:style>
  <w:style w:type="paragraph" w:styleId="ListBullet3">
    <w:name w:val="List Bullet 3"/>
    <w:basedOn w:val="ListParagraph"/>
    <w:uiPriority w:val="5"/>
    <w:qFormat/>
    <w:rsid w:val="00E81CAF"/>
    <w:pPr>
      <w:numPr>
        <w:ilvl w:val="2"/>
        <w:numId w:val="16"/>
      </w:numPr>
    </w:pPr>
  </w:style>
  <w:style w:type="paragraph" w:styleId="ListNumber">
    <w:name w:val="List Number"/>
    <w:basedOn w:val="Normal"/>
    <w:link w:val="ListNumberChar"/>
    <w:uiPriority w:val="6"/>
    <w:qFormat/>
    <w:rsid w:val="0080376F"/>
    <w:pPr>
      <w:tabs>
        <w:tab w:val="num" w:pos="360"/>
      </w:tabs>
      <w:spacing w:after="0"/>
      <w:ind w:left="360" w:hanging="360"/>
    </w:pPr>
    <w:rPr>
      <w:rFonts w:ascii="Arial" w:hAnsi="Arial"/>
    </w:rPr>
  </w:style>
  <w:style w:type="paragraph" w:styleId="ListNumber2">
    <w:name w:val="List Number 2"/>
    <w:basedOn w:val="Normal"/>
    <w:uiPriority w:val="6"/>
    <w:qFormat/>
    <w:rsid w:val="00E81CAF"/>
    <w:pPr>
      <w:numPr>
        <w:ilvl w:val="1"/>
        <w:numId w:val="18"/>
      </w:numPr>
    </w:pPr>
  </w:style>
  <w:style w:type="paragraph" w:styleId="ListNumber3">
    <w:name w:val="List Number 3"/>
    <w:basedOn w:val="Normal"/>
    <w:uiPriority w:val="6"/>
    <w:qFormat/>
    <w:rsid w:val="00E81CAF"/>
    <w:pPr>
      <w:numPr>
        <w:ilvl w:val="2"/>
        <w:numId w:val="18"/>
      </w:numPr>
    </w:pPr>
  </w:style>
  <w:style w:type="paragraph" w:styleId="ListNumber4">
    <w:name w:val="List Number 4"/>
    <w:basedOn w:val="Normal"/>
    <w:uiPriority w:val="1"/>
    <w:semiHidden/>
    <w:qFormat/>
    <w:rsid w:val="00E81CAF"/>
  </w:style>
  <w:style w:type="paragraph" w:customStyle="1" w:styleId="TableHeading">
    <w:name w:val="Table Heading"/>
    <w:uiPriority w:val="9"/>
    <w:qFormat/>
    <w:rsid w:val="00FD4E45"/>
    <w:pPr>
      <w:adjustRightInd w:val="0"/>
      <w:snapToGrid w:val="0"/>
      <w:spacing w:after="160" w:line="320" w:lineRule="atLeast"/>
    </w:pPr>
    <w:rPr>
      <w:rFonts w:ascii="Arial" w:hAnsi="Arial"/>
      <w:b/>
      <w:color w:val="FFFFFF" w:themeColor="background1"/>
      <w:lang w:val="en-US"/>
    </w:rPr>
  </w:style>
  <w:style w:type="paragraph" w:customStyle="1" w:styleId="TableText">
    <w:name w:val="Table Text"/>
    <w:qFormat/>
    <w:rsid w:val="00E81CAF"/>
    <w:pPr>
      <w:adjustRightInd w:val="0"/>
      <w:snapToGrid w:val="0"/>
      <w:spacing w:after="140" w:line="280" w:lineRule="atLeast"/>
    </w:pPr>
    <w:rPr>
      <w:rFonts w:ascii="Arial" w:hAnsi="Arial"/>
      <w:lang w:val="en-US"/>
    </w:rPr>
  </w:style>
  <w:style w:type="character" w:customStyle="1" w:styleId="FootnoteTextChar">
    <w:name w:val="Footnote Text Char"/>
    <w:basedOn w:val="DefaultParagraphFont"/>
    <w:link w:val="FootnoteText"/>
    <w:uiPriority w:val="99"/>
    <w:rsid w:val="00E81CAF"/>
    <w:rPr>
      <w:rFonts w:cstheme="minorBidi"/>
      <w:sz w:val="16"/>
    </w:rPr>
  </w:style>
  <w:style w:type="character" w:styleId="FootnoteReference">
    <w:name w:val="footnote reference"/>
    <w:basedOn w:val="DefaultParagraphFont"/>
    <w:uiPriority w:val="99"/>
    <w:rsid w:val="00E81CAF"/>
    <w:rPr>
      <w:vertAlign w:val="superscript"/>
    </w:rPr>
  </w:style>
  <w:style w:type="paragraph" w:styleId="TOC2">
    <w:name w:val="toc 2"/>
    <w:basedOn w:val="TOC1"/>
    <w:next w:val="Normal"/>
    <w:uiPriority w:val="39"/>
    <w:rsid w:val="00E81CAF"/>
    <w:pPr>
      <w:spacing w:before="170" w:after="60" w:line="280" w:lineRule="atLeast"/>
    </w:pPr>
    <w:rPr>
      <w:rFonts w:ascii="Inter SemiBold" w:hAnsi="Inter SemiBold"/>
      <w:b w:val="0"/>
      <w:color w:val="000000" w:themeColor="text1"/>
    </w:rPr>
  </w:style>
  <w:style w:type="paragraph" w:styleId="TOC1">
    <w:name w:val="toc 1"/>
    <w:basedOn w:val="Heading2NoNumber"/>
    <w:next w:val="Normal"/>
    <w:uiPriority w:val="39"/>
    <w:rsid w:val="00566F42"/>
    <w:pPr>
      <w:tabs>
        <w:tab w:val="right" w:leader="dot" w:pos="9639"/>
      </w:tabs>
    </w:pPr>
    <w:rPr>
      <w:sz w:val="20"/>
    </w:rPr>
  </w:style>
  <w:style w:type="paragraph" w:styleId="TOC3">
    <w:name w:val="toc 3"/>
    <w:basedOn w:val="TOC2"/>
    <w:next w:val="Normal"/>
    <w:uiPriority w:val="39"/>
    <w:rsid w:val="00E81CAF"/>
    <w:pPr>
      <w:spacing w:before="0" w:after="136"/>
      <w:ind w:left="284"/>
    </w:pPr>
    <w:rPr>
      <w:rFonts w:asciiTheme="minorHAnsi" w:hAnsiTheme="minorHAnsi"/>
    </w:rPr>
  </w:style>
  <w:style w:type="paragraph" w:styleId="TOC4">
    <w:name w:val="toc 4"/>
    <w:basedOn w:val="Normal"/>
    <w:next w:val="Normal"/>
    <w:autoRedefine/>
    <w:rsid w:val="00E81CAF"/>
    <w:pPr>
      <w:tabs>
        <w:tab w:val="left" w:pos="1418"/>
        <w:tab w:val="right" w:leader="dot" w:pos="9628"/>
      </w:tabs>
      <w:spacing w:after="100"/>
      <w:ind w:left="601"/>
    </w:pPr>
  </w:style>
  <w:style w:type="paragraph" w:styleId="TOC5">
    <w:name w:val="toc 5"/>
    <w:basedOn w:val="Normal"/>
    <w:next w:val="Normal"/>
    <w:autoRedefine/>
    <w:uiPriority w:val="39"/>
    <w:rsid w:val="00E81CAF"/>
    <w:pPr>
      <w:spacing w:after="100"/>
      <w:ind w:left="800"/>
    </w:pPr>
  </w:style>
  <w:style w:type="paragraph" w:styleId="TOC6">
    <w:name w:val="toc 6"/>
    <w:basedOn w:val="Normal"/>
    <w:next w:val="Normal"/>
    <w:autoRedefine/>
    <w:uiPriority w:val="39"/>
    <w:rsid w:val="00E81CAF"/>
    <w:pPr>
      <w:spacing w:after="100"/>
      <w:ind w:left="1000"/>
    </w:pPr>
  </w:style>
  <w:style w:type="paragraph" w:styleId="TOC7">
    <w:name w:val="toc 7"/>
    <w:basedOn w:val="Normal"/>
    <w:next w:val="Normal"/>
    <w:autoRedefine/>
    <w:uiPriority w:val="39"/>
    <w:rsid w:val="00E81CAF"/>
    <w:pPr>
      <w:spacing w:after="100"/>
      <w:ind w:left="1200"/>
    </w:pPr>
  </w:style>
  <w:style w:type="paragraph" w:styleId="TOC8">
    <w:name w:val="toc 8"/>
    <w:basedOn w:val="Normal"/>
    <w:next w:val="Normal"/>
    <w:autoRedefine/>
    <w:uiPriority w:val="39"/>
    <w:rsid w:val="00E81CAF"/>
    <w:pPr>
      <w:spacing w:after="100"/>
      <w:ind w:left="1400"/>
    </w:pPr>
  </w:style>
  <w:style w:type="character" w:styleId="Hyperlink">
    <w:name w:val="Hyperlink"/>
    <w:basedOn w:val="DefaultParagraphFont"/>
    <w:uiPriority w:val="99"/>
    <w:rsid w:val="00E81CAF"/>
    <w:rPr>
      <w:b w:val="0"/>
      <w:color w:val="0000FF"/>
      <w:sz w:val="20"/>
      <w:u w:val="none"/>
    </w:rPr>
  </w:style>
  <w:style w:type="paragraph" w:styleId="Caption">
    <w:name w:val="caption"/>
    <w:next w:val="Normal"/>
    <w:link w:val="CaptionChar"/>
    <w:qFormat/>
    <w:rsid w:val="00E81CAF"/>
    <w:pPr>
      <w:keepNext/>
      <w:spacing w:after="140" w:line="280" w:lineRule="atLeast"/>
    </w:pPr>
    <w:rPr>
      <w:rFonts w:ascii="Arial" w:hAnsi="Arial"/>
      <w:b/>
      <w:iCs/>
      <w:szCs w:val="18"/>
    </w:rPr>
  </w:style>
  <w:style w:type="paragraph" w:styleId="EndnoteText">
    <w:name w:val="endnote text"/>
    <w:basedOn w:val="ContactName"/>
    <w:link w:val="EndnoteTextChar"/>
    <w:uiPriority w:val="99"/>
    <w:semiHidden/>
    <w:qFormat/>
    <w:rsid w:val="00E81CAF"/>
    <w:pPr>
      <w:spacing w:line="200" w:lineRule="atLeast"/>
    </w:pPr>
    <w:rPr>
      <w:rFonts w:ascii="Arial" w:hAnsi="Arial"/>
      <w:b w:val="0"/>
      <w:color w:val="000000" w:themeColor="text1"/>
      <w:sz w:val="16"/>
    </w:rPr>
  </w:style>
  <w:style w:type="character" w:customStyle="1" w:styleId="EndnoteTextChar">
    <w:name w:val="Endnote Text Char"/>
    <w:basedOn w:val="DefaultParagraphFont"/>
    <w:link w:val="EndnoteText"/>
    <w:uiPriority w:val="99"/>
    <w:semiHidden/>
    <w:rsid w:val="00E81CAF"/>
    <w:rPr>
      <w:rFonts w:ascii="Arial" w:hAnsi="Arial"/>
      <w:sz w:val="16"/>
      <w:szCs w:val="14"/>
      <w:lang w:val="en-US"/>
    </w:rPr>
  </w:style>
  <w:style w:type="character" w:styleId="EndnoteReference">
    <w:name w:val="endnote reference"/>
    <w:basedOn w:val="DefaultParagraphFont"/>
    <w:uiPriority w:val="99"/>
    <w:semiHidden/>
    <w:unhideWhenUsed/>
    <w:rsid w:val="00E81CAF"/>
    <w:rPr>
      <w:vertAlign w:val="superscript"/>
    </w:rPr>
  </w:style>
  <w:style w:type="paragraph" w:styleId="TOCHeading">
    <w:name w:val="TOC Heading"/>
    <w:basedOn w:val="Heading1NoNumber"/>
    <w:next w:val="Normal"/>
    <w:uiPriority w:val="39"/>
    <w:qFormat/>
    <w:rsid w:val="0028211D"/>
    <w:pPr>
      <w:outlineLvl w:val="9"/>
    </w:pPr>
    <w:rPr>
      <w:sz w:val="28"/>
    </w:rPr>
  </w:style>
  <w:style w:type="paragraph" w:customStyle="1" w:styleId="IntroText">
    <w:name w:val="Intro Text"/>
    <w:basedOn w:val="Normal"/>
    <w:next w:val="Normal"/>
    <w:uiPriority w:val="3"/>
    <w:qFormat/>
    <w:rsid w:val="00E81CAF"/>
    <w:pPr>
      <w:spacing w:after="160" w:line="320" w:lineRule="atLeast"/>
    </w:pPr>
    <w:rPr>
      <w:color w:val="081DA4" w:themeColor="accent1"/>
      <w:sz w:val="24"/>
    </w:rPr>
  </w:style>
  <w:style w:type="character" w:styleId="UnresolvedMention">
    <w:name w:val="Unresolved Mention"/>
    <w:basedOn w:val="DefaultParagraphFont"/>
    <w:uiPriority w:val="99"/>
    <w:semiHidden/>
    <w:unhideWhenUsed/>
    <w:rsid w:val="00E81CAF"/>
    <w:rPr>
      <w:color w:val="605E5C"/>
      <w:shd w:val="clear" w:color="auto" w:fill="E1DFDD"/>
    </w:rPr>
  </w:style>
  <w:style w:type="character" w:styleId="PlaceholderText">
    <w:name w:val="Placeholder Text"/>
    <w:basedOn w:val="DefaultParagraphFont"/>
    <w:uiPriority w:val="99"/>
    <w:semiHidden/>
    <w:rsid w:val="00E81CAF"/>
    <w:rPr>
      <w:color w:val="808080"/>
    </w:rPr>
  </w:style>
  <w:style w:type="paragraph" w:customStyle="1" w:styleId="CoverFooter">
    <w:name w:val="Cover Footer"/>
    <w:basedOn w:val="Footer"/>
    <w:uiPriority w:val="99"/>
    <w:semiHidden/>
    <w:qFormat/>
    <w:rsid w:val="00E81CAF"/>
    <w:rPr>
      <w:noProof/>
    </w:rPr>
  </w:style>
  <w:style w:type="paragraph" w:styleId="BalloonText">
    <w:name w:val="Balloon Text"/>
    <w:basedOn w:val="Normal"/>
    <w:link w:val="BalloonTextChar"/>
    <w:uiPriority w:val="99"/>
    <w:semiHidden/>
    <w:unhideWhenUsed/>
    <w:rsid w:val="00E81CA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CAF"/>
    <w:rPr>
      <w:rFonts w:ascii="Segoe UI" w:hAnsi="Segoe UI" w:cs="Segoe UI"/>
      <w:sz w:val="18"/>
      <w:szCs w:val="18"/>
    </w:rPr>
  </w:style>
  <w:style w:type="table" w:customStyle="1" w:styleId="LayoutGrid">
    <w:name w:val="LayoutGrid"/>
    <w:basedOn w:val="TableNormal"/>
    <w:uiPriority w:val="99"/>
    <w:rsid w:val="00E81CAF"/>
    <w:tblPr>
      <w:tblCellMar>
        <w:left w:w="0" w:type="dxa"/>
        <w:right w:w="0" w:type="dxa"/>
      </w:tblCellMar>
    </w:tblPr>
  </w:style>
  <w:style w:type="paragraph" w:customStyle="1" w:styleId="CoverHeading">
    <w:name w:val="Cover Heading"/>
    <w:basedOn w:val="Header"/>
    <w:qFormat/>
    <w:rsid w:val="00E81CAF"/>
    <w:pPr>
      <w:spacing w:line="1100" w:lineRule="exact"/>
    </w:pPr>
    <w:rPr>
      <w:b/>
      <w:color w:val="081DA4" w:themeColor="text2"/>
      <w:spacing w:val="-16"/>
      <w:sz w:val="78"/>
    </w:rPr>
  </w:style>
  <w:style w:type="paragraph" w:customStyle="1" w:styleId="CoverSubheading">
    <w:name w:val="Cover Subheading"/>
    <w:basedOn w:val="CoverHeading"/>
    <w:qFormat/>
    <w:rsid w:val="00E81CAF"/>
    <w:pPr>
      <w:spacing w:after="20" w:line="480" w:lineRule="atLeast"/>
    </w:pPr>
    <w:rPr>
      <w:spacing w:val="-10"/>
      <w:sz w:val="42"/>
    </w:rPr>
  </w:style>
  <w:style w:type="paragraph" w:customStyle="1" w:styleId="CoverDetails">
    <w:name w:val="Cover Details"/>
    <w:basedOn w:val="CoverSubheading"/>
    <w:qFormat/>
    <w:rsid w:val="00E81CAF"/>
    <w:pPr>
      <w:spacing w:line="280" w:lineRule="atLeast"/>
    </w:pPr>
    <w:rPr>
      <w:b w:val="0"/>
      <w:bCs/>
      <w:spacing w:val="2"/>
      <w:sz w:val="20"/>
    </w:rPr>
  </w:style>
  <w:style w:type="paragraph" w:customStyle="1" w:styleId="CoverHeadingSmall">
    <w:name w:val="Cover Heading Small"/>
    <w:basedOn w:val="CoverHeading"/>
    <w:uiPriority w:val="3"/>
    <w:semiHidden/>
    <w:qFormat/>
    <w:rsid w:val="00E81CAF"/>
    <w:pPr>
      <w:spacing w:line="780" w:lineRule="exact"/>
    </w:pPr>
    <w:rPr>
      <w:sz w:val="74"/>
    </w:rPr>
  </w:style>
  <w:style w:type="table" w:styleId="TableGrid1">
    <w:name w:val="Table Grid 1"/>
    <w:basedOn w:val="TableNormal"/>
    <w:uiPriority w:val="99"/>
    <w:semiHidden/>
    <w:unhideWhenUsed/>
    <w:rsid w:val="00E81CAF"/>
    <w:pPr>
      <w:adjustRightInd w:val="0"/>
      <w:snapToGrid w:val="0"/>
      <w:spacing w:after="240" w:line="240" w:lineRule="atLeast"/>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ACTLeaveBullets">
    <w:name w:val="ACT Leave Bullets"/>
    <w:uiPriority w:val="99"/>
    <w:rsid w:val="00E81CAF"/>
    <w:pPr>
      <w:numPr>
        <w:numId w:val="20"/>
      </w:numPr>
    </w:pPr>
  </w:style>
  <w:style w:type="paragraph" w:customStyle="1" w:styleId="TableBullet">
    <w:name w:val="Table Bullet"/>
    <w:basedOn w:val="TableText"/>
    <w:uiPriority w:val="11"/>
    <w:qFormat/>
    <w:rsid w:val="00E81CAF"/>
    <w:pPr>
      <w:numPr>
        <w:numId w:val="13"/>
      </w:numPr>
    </w:pPr>
    <w:rPr>
      <w:rFonts w:eastAsia="Calibri"/>
      <w:color w:val="000000"/>
    </w:rPr>
  </w:style>
  <w:style w:type="character" w:customStyle="1" w:styleId="Heading5Char">
    <w:name w:val="Heading 5 Char"/>
    <w:basedOn w:val="DefaultParagraphFont"/>
    <w:link w:val="Heading5"/>
    <w:rsid w:val="00992D57"/>
    <w:rPr>
      <w:rFonts w:ascii="Arial" w:eastAsia="Times New Roman" w:hAnsi="Arial" w:cs="Arial"/>
      <w:b/>
      <w:bCs/>
      <w:color w:val="auto"/>
      <w:sz w:val="24"/>
      <w:szCs w:val="24"/>
    </w:rPr>
  </w:style>
  <w:style w:type="paragraph" w:customStyle="1" w:styleId="Heading5Numbered">
    <w:name w:val="Heading 5 Numbered"/>
    <w:basedOn w:val="Heading5"/>
    <w:uiPriority w:val="2"/>
    <w:semiHidden/>
    <w:qFormat/>
    <w:rsid w:val="00E81CAF"/>
    <w:pPr>
      <w:numPr>
        <w:ilvl w:val="4"/>
        <w:numId w:val="10"/>
      </w:numPr>
    </w:pPr>
  </w:style>
  <w:style w:type="paragraph" w:customStyle="1" w:styleId="Picture">
    <w:name w:val="Picture"/>
    <w:basedOn w:val="Normal"/>
    <w:uiPriority w:val="2"/>
    <w:semiHidden/>
    <w:qFormat/>
    <w:rsid w:val="00E81CAF"/>
    <w:pPr>
      <w:spacing w:before="100" w:after="100"/>
      <w:jc w:val="center"/>
    </w:pPr>
    <w:rPr>
      <w:lang w:val="es-ES"/>
    </w:rPr>
  </w:style>
  <w:style w:type="paragraph" w:customStyle="1" w:styleId="Footnote">
    <w:name w:val="Footnote"/>
    <w:basedOn w:val="Caption"/>
    <w:link w:val="FootnoteChar"/>
    <w:uiPriority w:val="99"/>
    <w:qFormat/>
    <w:rsid w:val="00E81CAF"/>
    <w:pPr>
      <w:spacing w:after="120" w:line="240" w:lineRule="atLeast"/>
    </w:pPr>
    <w:rPr>
      <w:b w:val="0"/>
      <w:sz w:val="16"/>
    </w:rPr>
  </w:style>
  <w:style w:type="paragraph" w:customStyle="1" w:styleId="FigureCaption">
    <w:name w:val="Figure Caption"/>
    <w:basedOn w:val="Footnote"/>
    <w:uiPriority w:val="3"/>
    <w:semiHidden/>
    <w:qFormat/>
    <w:rsid w:val="00E81CAF"/>
    <w:rPr>
      <w:sz w:val="20"/>
    </w:rPr>
  </w:style>
  <w:style w:type="table" w:customStyle="1" w:styleId="ACTLeavetable">
    <w:name w:val="ACT Leave table"/>
    <w:basedOn w:val="TableNormal"/>
    <w:uiPriority w:val="99"/>
    <w:rsid w:val="007C2689"/>
    <w:pPr>
      <w:spacing w:before="0" w:after="0"/>
    </w:pPr>
    <w:rPr>
      <w:rFonts w:ascii="Arial" w:hAnsi="Arial"/>
    </w:rPr>
    <w:tblPr>
      <w:tblStyleRowBandSize w:val="1"/>
      <w:tblBorders>
        <w:bottom w:val="single" w:sz="4" w:space="0" w:color="000000" w:themeColor="text1"/>
        <w:insideH w:val="single" w:sz="4" w:space="0" w:color="000000" w:themeColor="text1"/>
      </w:tblBorders>
      <w:tblCellMar>
        <w:top w:w="113" w:type="dxa"/>
        <w:left w:w="85" w:type="dxa"/>
        <w:bottom w:w="113" w:type="dxa"/>
        <w:right w:w="85" w:type="dxa"/>
      </w:tblCellMar>
    </w:tblPr>
    <w:trPr>
      <w:cantSplit/>
    </w:trPr>
    <w:tblStylePr w:type="firstRow">
      <w:pPr>
        <w:jc w:val="left"/>
      </w:pPr>
      <w:rPr>
        <w:rFonts w:asciiTheme="minorHAnsi" w:hAnsiTheme="minorHAnsi"/>
        <w:b/>
        <w:color w:val="FFFFFF"/>
        <w:sz w:val="20"/>
      </w:rPr>
      <w:tblPr/>
      <w:trPr>
        <w:cantSplit w:val="0"/>
        <w:tblHeader/>
      </w:trPr>
      <w:tcPr>
        <w:shd w:val="clear" w:color="auto" w:fill="081DA4" w:themeFill="accent1"/>
      </w:tcPr>
    </w:tblStylePr>
    <w:tblStylePr w:type="lastRow">
      <w:rPr>
        <w:color w:val="FFFFFF" w:themeColor="background1"/>
      </w:rPr>
      <w:tblPr/>
      <w:tcPr>
        <w:tcBorders>
          <w:bottom w:val="single" w:sz="4" w:space="0" w:color="000000" w:themeColor="text1"/>
        </w:tcBorders>
      </w:tcPr>
    </w:tblStylePr>
    <w:tblStylePr w:type="firstCol">
      <w:rPr>
        <w:b w:val="0"/>
        <w:color w:val="000000" w:themeColor="text1"/>
      </w:rPr>
    </w:tblStylePr>
    <w:tblStylePr w:type="band2Horz">
      <w:tblPr/>
      <w:tcPr>
        <w:shd w:val="clear" w:color="auto" w:fill="F5FBFE"/>
      </w:tcPr>
    </w:tblStylePr>
  </w:style>
  <w:style w:type="character" w:customStyle="1" w:styleId="Heading6Char">
    <w:name w:val="Heading 6 Char"/>
    <w:basedOn w:val="DefaultParagraphFont"/>
    <w:link w:val="Heading6"/>
    <w:rsid w:val="00FE24E9"/>
    <w:rPr>
      <w:rFonts w:eastAsiaTheme="majorEastAsia" w:cstheme="majorBidi"/>
      <w:i/>
      <w:sz w:val="22"/>
      <w:szCs w:val="18"/>
    </w:rPr>
  </w:style>
  <w:style w:type="paragraph" w:customStyle="1" w:styleId="Heading6Numbered">
    <w:name w:val="Heading 6 Numbered"/>
    <w:basedOn w:val="Heading6"/>
    <w:uiPriority w:val="2"/>
    <w:semiHidden/>
    <w:qFormat/>
    <w:rsid w:val="00E81CAF"/>
    <w:pPr>
      <w:numPr>
        <w:ilvl w:val="5"/>
        <w:numId w:val="10"/>
      </w:numPr>
    </w:pPr>
    <w:rPr>
      <w:noProof/>
    </w:rPr>
  </w:style>
  <w:style w:type="paragraph" w:styleId="TableofFigures">
    <w:name w:val="table of figures"/>
    <w:basedOn w:val="Normal"/>
    <w:next w:val="Normal"/>
    <w:uiPriority w:val="99"/>
    <w:semiHidden/>
    <w:rsid w:val="00E81CAF"/>
    <w:pPr>
      <w:spacing w:after="0"/>
    </w:pPr>
  </w:style>
  <w:style w:type="paragraph" w:styleId="NoSpacing">
    <w:name w:val="No Spacing"/>
    <w:basedOn w:val="Normal"/>
    <w:link w:val="NoSpacingChar"/>
    <w:uiPriority w:val="1"/>
    <w:qFormat/>
    <w:rsid w:val="00E81CAF"/>
    <w:pPr>
      <w:spacing w:after="0"/>
    </w:pPr>
  </w:style>
  <w:style w:type="numbering" w:customStyle="1" w:styleId="ACTLeaveNumbers">
    <w:name w:val="ACT Leave Numbers"/>
    <w:uiPriority w:val="99"/>
    <w:rsid w:val="00E81CAF"/>
    <w:pPr>
      <w:numPr>
        <w:numId w:val="8"/>
      </w:numPr>
    </w:pPr>
  </w:style>
  <w:style w:type="character" w:customStyle="1" w:styleId="CaptionChar">
    <w:name w:val="Caption Char"/>
    <w:basedOn w:val="DefaultParagraphFont"/>
    <w:link w:val="Caption"/>
    <w:uiPriority w:val="99"/>
    <w:rsid w:val="00E81CAF"/>
    <w:rPr>
      <w:rFonts w:ascii="Arial" w:hAnsi="Arial"/>
      <w:b/>
      <w:iCs/>
      <w:szCs w:val="18"/>
    </w:rPr>
  </w:style>
  <w:style w:type="character" w:customStyle="1" w:styleId="FootnoteChar">
    <w:name w:val="Footnote Char"/>
    <w:basedOn w:val="CaptionChar"/>
    <w:link w:val="Footnote"/>
    <w:uiPriority w:val="99"/>
    <w:rsid w:val="00E81CAF"/>
    <w:rPr>
      <w:rFonts w:ascii="Arial" w:hAnsi="Arial"/>
      <w:b w:val="0"/>
      <w:iCs/>
      <w:sz w:val="16"/>
      <w:szCs w:val="18"/>
    </w:rPr>
  </w:style>
  <w:style w:type="numbering" w:customStyle="1" w:styleId="ACTLeaveHeadings">
    <w:name w:val="ACT Leave Headings"/>
    <w:uiPriority w:val="99"/>
    <w:rsid w:val="00E81CAF"/>
    <w:pPr>
      <w:numPr>
        <w:numId w:val="6"/>
      </w:numPr>
    </w:pPr>
  </w:style>
  <w:style w:type="paragraph" w:customStyle="1" w:styleId="Heading1NoNumber">
    <w:name w:val="Heading 1 No Number"/>
    <w:basedOn w:val="Heading1"/>
    <w:next w:val="Normal"/>
    <w:uiPriority w:val="1"/>
    <w:qFormat/>
    <w:rsid w:val="00E81CAF"/>
  </w:style>
  <w:style w:type="paragraph" w:customStyle="1" w:styleId="Heading2NoNumber">
    <w:name w:val="Heading 2 No Number"/>
    <w:basedOn w:val="Heading2"/>
    <w:next w:val="Normal"/>
    <w:uiPriority w:val="1"/>
    <w:qFormat/>
    <w:rsid w:val="00E81CAF"/>
  </w:style>
  <w:style w:type="paragraph" w:customStyle="1" w:styleId="Heading3NoNumber">
    <w:name w:val="Heading 3 No Number"/>
    <w:basedOn w:val="Heading3"/>
    <w:next w:val="Normal"/>
    <w:uiPriority w:val="1"/>
    <w:qFormat/>
    <w:rsid w:val="001109E0"/>
    <w:rPr>
      <w:szCs w:val="28"/>
    </w:rPr>
  </w:style>
  <w:style w:type="paragraph" w:styleId="Quote">
    <w:name w:val="Quote"/>
    <w:basedOn w:val="Normal"/>
    <w:next w:val="Normal"/>
    <w:link w:val="QuoteChar"/>
    <w:uiPriority w:val="7"/>
    <w:rsid w:val="00E81CAF"/>
    <w:pPr>
      <w:ind w:left="720"/>
    </w:pPr>
    <w:rPr>
      <w:iCs/>
      <w:color w:val="404040" w:themeColor="text1" w:themeTint="BF"/>
    </w:rPr>
  </w:style>
  <w:style w:type="character" w:customStyle="1" w:styleId="QuoteChar">
    <w:name w:val="Quote Char"/>
    <w:basedOn w:val="DefaultParagraphFont"/>
    <w:link w:val="Quote"/>
    <w:uiPriority w:val="7"/>
    <w:rsid w:val="00E81CAF"/>
    <w:rPr>
      <w:iCs/>
      <w:color w:val="404040" w:themeColor="text1" w:themeTint="BF"/>
    </w:rPr>
  </w:style>
  <w:style w:type="paragraph" w:customStyle="1" w:styleId="LetterDetails">
    <w:name w:val="Letter Details"/>
    <w:basedOn w:val="Normal"/>
    <w:uiPriority w:val="9"/>
    <w:qFormat/>
    <w:rsid w:val="00E81CAF"/>
    <w:pPr>
      <w:spacing w:after="0" w:line="240" w:lineRule="atLeast"/>
    </w:pPr>
    <w:rPr>
      <w:sz w:val="18"/>
    </w:rPr>
  </w:style>
  <w:style w:type="paragraph" w:customStyle="1" w:styleId="Heading4NoNumber">
    <w:name w:val="Heading 4 No Number"/>
    <w:basedOn w:val="Heading4"/>
    <w:next w:val="Normal"/>
    <w:uiPriority w:val="2"/>
    <w:qFormat/>
    <w:rsid w:val="004745B3"/>
    <w:pPr>
      <w:spacing w:before="240"/>
    </w:pPr>
    <w:rPr>
      <w:szCs w:val="22"/>
    </w:rPr>
  </w:style>
  <w:style w:type="paragraph" w:customStyle="1" w:styleId="IntroBullet1">
    <w:name w:val="Intro Bullet 1"/>
    <w:basedOn w:val="ListBullet"/>
    <w:uiPriority w:val="4"/>
    <w:qFormat/>
    <w:rsid w:val="00E81CAF"/>
    <w:pPr>
      <w:numPr>
        <w:numId w:val="11"/>
      </w:numPr>
      <w:spacing w:after="160" w:line="320" w:lineRule="atLeast"/>
    </w:pPr>
    <w:rPr>
      <w:sz w:val="24"/>
    </w:rPr>
  </w:style>
  <w:style w:type="paragraph" w:customStyle="1" w:styleId="IntroBullet2">
    <w:name w:val="Intro Bullet 2"/>
    <w:basedOn w:val="ListBullet2"/>
    <w:uiPriority w:val="4"/>
    <w:rsid w:val="00E81CAF"/>
    <w:pPr>
      <w:numPr>
        <w:numId w:val="11"/>
      </w:numPr>
      <w:spacing w:after="160" w:line="320" w:lineRule="atLeast"/>
    </w:pPr>
    <w:rPr>
      <w:sz w:val="24"/>
    </w:rPr>
  </w:style>
  <w:style w:type="paragraph" w:customStyle="1" w:styleId="IntroBullet3">
    <w:name w:val="Intro Bullet 3"/>
    <w:basedOn w:val="ListBullet3"/>
    <w:uiPriority w:val="4"/>
    <w:rsid w:val="00E81CAF"/>
    <w:pPr>
      <w:numPr>
        <w:numId w:val="11"/>
      </w:numPr>
      <w:spacing w:after="160" w:line="320" w:lineRule="atLeast"/>
    </w:pPr>
    <w:rPr>
      <w:sz w:val="24"/>
    </w:rPr>
  </w:style>
  <w:style w:type="numbering" w:customStyle="1" w:styleId="ACTLeaveIntroBullets">
    <w:name w:val="ACT Leave Intro Bullets"/>
    <w:uiPriority w:val="99"/>
    <w:rsid w:val="00E81CAF"/>
    <w:pPr>
      <w:numPr>
        <w:numId w:val="7"/>
      </w:numPr>
    </w:pPr>
  </w:style>
  <w:style w:type="character" w:styleId="PageNumber">
    <w:name w:val="page number"/>
    <w:basedOn w:val="DefaultParagraphFont"/>
    <w:unhideWhenUsed/>
    <w:rsid w:val="00E81CAF"/>
  </w:style>
  <w:style w:type="paragraph" w:styleId="ListParagraph">
    <w:name w:val="List Paragraph"/>
    <w:aliases w:val="OLG List Paragraph Bullets"/>
    <w:basedOn w:val="Normal"/>
    <w:link w:val="ListParagraphChar"/>
    <w:uiPriority w:val="34"/>
    <w:qFormat/>
    <w:rsid w:val="00E81CAF"/>
    <w:pPr>
      <w:ind w:left="720"/>
      <w:contextualSpacing/>
    </w:pPr>
  </w:style>
  <w:style w:type="character" w:customStyle="1" w:styleId="Heading7Char">
    <w:name w:val="Heading 7 Char"/>
    <w:basedOn w:val="DefaultParagraphFont"/>
    <w:link w:val="Heading7"/>
    <w:rsid w:val="00E81CA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5614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rsid w:val="00E81CAF"/>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E81CAF"/>
    <w:pPr>
      <w:spacing w:after="80"/>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rsid w:val="00E81CAF"/>
    <w:rPr>
      <w:rFonts w:eastAsiaTheme="majorEastAsia" w:cstheme="majorBidi"/>
      <w:color w:val="auto"/>
      <w:spacing w:val="-10"/>
      <w:kern w:val="28"/>
      <w:sz w:val="56"/>
      <w:szCs w:val="56"/>
    </w:rPr>
  </w:style>
  <w:style w:type="paragraph" w:styleId="Subtitle">
    <w:name w:val="Subtitle"/>
    <w:basedOn w:val="Normal"/>
    <w:next w:val="Normal"/>
    <w:link w:val="SubtitleChar"/>
    <w:uiPriority w:val="11"/>
    <w:rsid w:val="00E81CA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CAF"/>
    <w:rPr>
      <w:rFonts w:asciiTheme="minorHAnsi" w:eastAsiaTheme="majorEastAsia" w:hAnsiTheme="minorHAnsi" w:cstheme="majorBidi"/>
      <w:color w:val="595959" w:themeColor="text1" w:themeTint="A6"/>
      <w:spacing w:val="15"/>
      <w:sz w:val="28"/>
      <w:szCs w:val="28"/>
    </w:rPr>
  </w:style>
  <w:style w:type="character" w:styleId="IntenseEmphasis">
    <w:name w:val="Intense Emphasis"/>
    <w:basedOn w:val="DefaultParagraphFont"/>
    <w:uiPriority w:val="21"/>
    <w:semiHidden/>
    <w:rsid w:val="00E81CAF"/>
    <w:rPr>
      <w:i/>
      <w:iCs/>
      <w:color w:val="06157A" w:themeColor="accent1" w:themeShade="BF"/>
    </w:rPr>
  </w:style>
  <w:style w:type="paragraph" w:styleId="IntenseQuote">
    <w:name w:val="Intense Quote"/>
    <w:basedOn w:val="Normal"/>
    <w:next w:val="Normal"/>
    <w:link w:val="IntenseQuoteChar"/>
    <w:uiPriority w:val="30"/>
    <w:semiHidden/>
    <w:rsid w:val="00E81CAF"/>
    <w:pPr>
      <w:pBdr>
        <w:top w:val="single" w:sz="4" w:space="10" w:color="06157A" w:themeColor="accent1" w:themeShade="BF"/>
        <w:bottom w:val="single" w:sz="4" w:space="10" w:color="06157A" w:themeColor="accent1" w:themeShade="BF"/>
      </w:pBdr>
      <w:spacing w:before="360" w:after="360"/>
      <w:ind w:left="864" w:right="864"/>
      <w:jc w:val="center"/>
    </w:pPr>
    <w:rPr>
      <w:i/>
      <w:iCs/>
      <w:color w:val="06157A" w:themeColor="accent1" w:themeShade="BF"/>
    </w:rPr>
  </w:style>
  <w:style w:type="character" w:customStyle="1" w:styleId="IntenseQuoteChar">
    <w:name w:val="Intense Quote Char"/>
    <w:basedOn w:val="DefaultParagraphFont"/>
    <w:link w:val="IntenseQuote"/>
    <w:uiPriority w:val="30"/>
    <w:semiHidden/>
    <w:rsid w:val="00E81CAF"/>
    <w:rPr>
      <w:i/>
      <w:iCs/>
      <w:color w:val="06157A" w:themeColor="accent1" w:themeShade="BF"/>
    </w:rPr>
  </w:style>
  <w:style w:type="character" w:styleId="IntenseReference">
    <w:name w:val="Intense Reference"/>
    <w:basedOn w:val="DefaultParagraphFont"/>
    <w:uiPriority w:val="32"/>
    <w:semiHidden/>
    <w:rsid w:val="00E81CAF"/>
    <w:rPr>
      <w:b/>
      <w:bCs/>
      <w:smallCaps/>
      <w:color w:val="06157A" w:themeColor="accent1" w:themeShade="BF"/>
      <w:spacing w:val="5"/>
    </w:rPr>
  </w:style>
  <w:style w:type="paragraph" w:customStyle="1" w:styleId="BodyCopy">
    <w:name w:val="Body Copy"/>
    <w:basedOn w:val="Normal"/>
    <w:rsid w:val="008C06CA"/>
    <w:pPr>
      <w:spacing w:after="240" w:line="300" w:lineRule="exact"/>
    </w:pPr>
    <w:rPr>
      <w:rFonts w:eastAsia="PMingLiU"/>
      <w:bCs/>
      <w:iCs/>
      <w:lang w:eastAsia="zh-TW"/>
    </w:rPr>
  </w:style>
  <w:style w:type="paragraph" w:customStyle="1" w:styleId="Infobody">
    <w:name w:val="Info_body"/>
    <w:basedOn w:val="Normal"/>
    <w:qFormat/>
    <w:rsid w:val="00583F3E"/>
    <w:pPr>
      <w:spacing w:line="260" w:lineRule="exact"/>
    </w:pPr>
    <w:rPr>
      <w:rFonts w:eastAsia="Times New Roman"/>
      <w:bCs/>
      <w:iCs/>
    </w:rPr>
  </w:style>
  <w:style w:type="character" w:styleId="Emphasis">
    <w:name w:val="Emphasis"/>
    <w:uiPriority w:val="20"/>
    <w:qFormat/>
    <w:rsid w:val="00583F3E"/>
    <w:rPr>
      <w:caps/>
      <w:color w:val="1F4D78"/>
      <w:spacing w:val="5"/>
    </w:rPr>
  </w:style>
  <w:style w:type="paragraph" w:customStyle="1" w:styleId="Note">
    <w:name w:val="Note"/>
    <w:basedOn w:val="Normal"/>
    <w:qFormat/>
    <w:rsid w:val="00583F3E"/>
    <w:pPr>
      <w:spacing w:before="60"/>
    </w:pPr>
    <w:rPr>
      <w:sz w:val="16"/>
      <w:szCs w:val="16"/>
    </w:rPr>
  </w:style>
  <w:style w:type="paragraph" w:customStyle="1" w:styleId="Bullet1">
    <w:name w:val="Bullet 1"/>
    <w:basedOn w:val="Normal"/>
    <w:rsid w:val="00E81CAF"/>
    <w:pPr>
      <w:numPr>
        <w:numId w:val="9"/>
      </w:numPr>
      <w:tabs>
        <w:tab w:val="left" w:pos="284"/>
      </w:tabs>
      <w:spacing w:before="60" w:line="300" w:lineRule="exact"/>
    </w:pPr>
    <w:rPr>
      <w:rFonts w:asciiTheme="minorHAnsi" w:eastAsia="Times New Roman" w:hAnsiTheme="minorHAnsi" w:cs="Arial"/>
      <w:bCs/>
      <w:iCs/>
      <w:color w:val="262626" w:themeColor="text1" w:themeTint="D9"/>
      <w:sz w:val="24"/>
      <w:szCs w:val="24"/>
    </w:rPr>
  </w:style>
  <w:style w:type="paragraph" w:customStyle="1" w:styleId="Bullet2">
    <w:name w:val="Bullet 2"/>
    <w:basedOn w:val="Bullet1"/>
    <w:rsid w:val="00583F3E"/>
    <w:pPr>
      <w:numPr>
        <w:numId w:val="1"/>
      </w:numPr>
      <w:tabs>
        <w:tab w:val="clear" w:pos="284"/>
        <w:tab w:val="left" w:pos="567"/>
      </w:tabs>
      <w:spacing w:line="280" w:lineRule="exact"/>
    </w:pPr>
  </w:style>
  <w:style w:type="paragraph" w:customStyle="1" w:styleId="Bulletintropara">
    <w:name w:val="Bullet intro para"/>
    <w:basedOn w:val="Normal"/>
    <w:rsid w:val="00583F3E"/>
    <w:pPr>
      <w:spacing w:line="300" w:lineRule="exact"/>
    </w:pPr>
    <w:rPr>
      <w:rFonts w:eastAsia="Times New Roman" w:cs="Arial"/>
      <w:bCs/>
      <w:iCs/>
    </w:rPr>
  </w:style>
  <w:style w:type="paragraph" w:customStyle="1" w:styleId="FootnotesEndnotestext">
    <w:name w:val="Footnotes/Endnotes text"/>
    <w:basedOn w:val="FootnoteText"/>
    <w:qFormat/>
    <w:rsid w:val="00942EFC"/>
    <w:pPr>
      <w:spacing w:before="240"/>
    </w:pPr>
    <w:rPr>
      <w:rFonts w:ascii="Arial" w:hAnsi="Arial" w:cs="Calibri"/>
      <w:szCs w:val="18"/>
    </w:rPr>
  </w:style>
  <w:style w:type="paragraph" w:customStyle="1" w:styleId="IntroPara">
    <w:name w:val="Intro Para"/>
    <w:rsid w:val="00583F3E"/>
    <w:pPr>
      <w:spacing w:before="0" w:after="240"/>
    </w:pPr>
    <w:rPr>
      <w:rFonts w:asciiTheme="minorHAnsi" w:eastAsia="Times New Roman" w:hAnsiTheme="minorHAnsi" w:cstheme="minorHAnsi"/>
      <w:bCs/>
      <w:iCs/>
      <w:color w:val="262626" w:themeColor="text1" w:themeTint="D9"/>
      <w:sz w:val="26"/>
      <w:szCs w:val="26"/>
    </w:rPr>
  </w:style>
  <w:style w:type="paragraph" w:customStyle="1" w:styleId="BulletNumbers">
    <w:name w:val="Bullet Numbers"/>
    <w:basedOn w:val="Bullet1"/>
    <w:rsid w:val="00583F3E"/>
    <w:pPr>
      <w:numPr>
        <w:numId w:val="2"/>
      </w:numPr>
      <w:tabs>
        <w:tab w:val="clear" w:pos="284"/>
        <w:tab w:val="left" w:pos="426"/>
      </w:tabs>
    </w:pPr>
  </w:style>
  <w:style w:type="paragraph" w:customStyle="1" w:styleId="Bulletalpha">
    <w:name w:val="Bullet alpha"/>
    <w:basedOn w:val="Bullet1"/>
    <w:rsid w:val="00583F3E"/>
    <w:pPr>
      <w:numPr>
        <w:numId w:val="3"/>
      </w:numPr>
      <w:tabs>
        <w:tab w:val="clear" w:pos="284"/>
        <w:tab w:val="left" w:pos="364"/>
      </w:tabs>
    </w:pPr>
  </w:style>
  <w:style w:type="paragraph" w:customStyle="1" w:styleId="Bulletroman">
    <w:name w:val="Bullet roman"/>
    <w:basedOn w:val="BulletNumbers"/>
    <w:rsid w:val="00583F3E"/>
    <w:pPr>
      <w:numPr>
        <w:numId w:val="4"/>
      </w:numPr>
      <w:tabs>
        <w:tab w:val="clear" w:pos="426"/>
        <w:tab w:val="left" w:pos="363"/>
      </w:tabs>
    </w:pPr>
  </w:style>
  <w:style w:type="paragraph" w:customStyle="1" w:styleId="Tablebody">
    <w:name w:val="Table_body"/>
    <w:basedOn w:val="Normal"/>
    <w:rsid w:val="00583F3E"/>
    <w:pPr>
      <w:spacing w:before="60" w:after="60"/>
    </w:pPr>
    <w:rPr>
      <w:rFonts w:eastAsia="Times New Roman" w:cs="Arial"/>
      <w:bCs/>
      <w:iCs/>
      <w:sz w:val="22"/>
      <w:szCs w:val="22"/>
    </w:rPr>
  </w:style>
  <w:style w:type="paragraph" w:customStyle="1" w:styleId="Tableheaderreverse">
    <w:name w:val="Table_header_reverse"/>
    <w:basedOn w:val="BodyCopy"/>
    <w:rsid w:val="00583F3E"/>
    <w:pPr>
      <w:spacing w:before="60" w:after="60"/>
    </w:pPr>
    <w:rPr>
      <w:b/>
      <w:bCs w:val="0"/>
      <w:iCs w:val="0"/>
      <w:color w:val="FFFFFF" w:themeColor="background1"/>
      <w:sz w:val="22"/>
      <w:szCs w:val="22"/>
    </w:rPr>
  </w:style>
  <w:style w:type="paragraph" w:customStyle="1" w:styleId="Tablebullet1">
    <w:name w:val="Table bullet 1"/>
    <w:basedOn w:val="Bullet1"/>
    <w:rsid w:val="00583F3E"/>
    <w:pPr>
      <w:numPr>
        <w:numId w:val="0"/>
      </w:numPr>
      <w:tabs>
        <w:tab w:val="clear" w:pos="284"/>
        <w:tab w:val="left" w:pos="209"/>
      </w:tabs>
      <w:spacing w:after="60" w:line="240" w:lineRule="exact"/>
    </w:pPr>
    <w:rPr>
      <w:sz w:val="22"/>
      <w:szCs w:val="22"/>
    </w:rPr>
  </w:style>
  <w:style w:type="paragraph" w:customStyle="1" w:styleId="Tablebullet2">
    <w:name w:val="Table bullet 2"/>
    <w:basedOn w:val="Bullet2"/>
    <w:rsid w:val="00583F3E"/>
    <w:pPr>
      <w:numPr>
        <w:numId w:val="0"/>
      </w:numPr>
      <w:tabs>
        <w:tab w:val="clear" w:pos="567"/>
        <w:tab w:val="left" w:pos="419"/>
      </w:tabs>
      <w:spacing w:after="60" w:line="240" w:lineRule="exact"/>
      <w:ind w:left="437" w:hanging="227"/>
    </w:pPr>
    <w:rPr>
      <w:sz w:val="22"/>
      <w:szCs w:val="22"/>
    </w:rPr>
  </w:style>
  <w:style w:type="paragraph" w:customStyle="1" w:styleId="Tablesubheader">
    <w:name w:val="Table sub header"/>
    <w:basedOn w:val="Tablebody"/>
    <w:rsid w:val="00583F3E"/>
    <w:rPr>
      <w:b/>
    </w:rPr>
  </w:style>
  <w:style w:type="table" w:customStyle="1" w:styleId="ARStandardTable1">
    <w:name w:val="AR_Standard Table_1"/>
    <w:basedOn w:val="TableNormal"/>
    <w:uiPriority w:val="99"/>
    <w:rsid w:val="0028352A"/>
    <w:pPr>
      <w:spacing w:before="0" w:after="0"/>
    </w:pPr>
    <w:rPr>
      <w:rFonts w:ascii="Arial" w:eastAsia="Calibri" w:hAnsi="Arial"/>
      <w:color w:val="auto"/>
      <w:lang w:eastAsia="en-AU"/>
    </w:rPr>
    <w:tblPr>
      <w:tblStyleRowBandSize w:val="1"/>
    </w:tblPr>
    <w:tcPr>
      <w:shd w:val="clear" w:color="auto" w:fill="auto"/>
    </w:tcPr>
    <w:tblStylePr w:type="firstRow">
      <w:rPr>
        <w:color w:val="FFFFFF" w:themeColor="background1"/>
      </w:rPr>
      <w:tblPr/>
      <w:tcPr>
        <w:shd w:val="clear" w:color="auto" w:fill="081DA4" w:themeFill="accent1"/>
      </w:tcPr>
    </w:tblStylePr>
    <w:tblStylePr w:type="lastRow">
      <w:tblPr/>
      <w:tcPr>
        <w:tcBorders>
          <w:bottom w:val="single" w:sz="4" w:space="0" w:color="081DA4" w:themeColor="accent1"/>
        </w:tcBorders>
        <w:shd w:val="clear" w:color="auto" w:fill="FFFFFF" w:themeFill="background1"/>
      </w:tcPr>
    </w:tblStylePr>
    <w:tblStylePr w:type="band1Horz">
      <w:tblPr/>
      <w:tcPr>
        <w:shd w:val="clear" w:color="auto" w:fill="ECF4FE"/>
      </w:tcPr>
    </w:tblStylePr>
    <w:tblStylePr w:type="band2Horz">
      <w:tblPr/>
      <w:tcPr>
        <w:tcBorders>
          <w:top w:val="nil"/>
          <w:left w:val="nil"/>
          <w:bottom w:val="nil"/>
          <w:right w:val="nil"/>
          <w:insideH w:val="nil"/>
          <w:insideV w:val="nil"/>
          <w:tl2br w:val="nil"/>
          <w:tr2bl w:val="nil"/>
        </w:tcBorders>
      </w:tcPr>
    </w:tblStylePr>
  </w:style>
  <w:style w:type="paragraph" w:customStyle="1" w:styleId="Tablecaption">
    <w:name w:val="Table caption"/>
    <w:basedOn w:val="Heading5"/>
    <w:rsid w:val="00583F3E"/>
    <w:pPr>
      <w:spacing w:after="120"/>
    </w:pPr>
    <w:rPr>
      <w:i/>
      <w:sz w:val="22"/>
      <w:szCs w:val="22"/>
    </w:rPr>
  </w:style>
  <w:style w:type="paragraph" w:customStyle="1" w:styleId="MediumGrid21">
    <w:name w:val="Medium Grid 21"/>
    <w:link w:val="MediumGrid2Char"/>
    <w:uiPriority w:val="1"/>
    <w:rsid w:val="00583F3E"/>
    <w:pPr>
      <w:spacing w:before="0" w:after="0"/>
    </w:pPr>
    <w:rPr>
      <w:rFonts w:ascii="Calibri" w:eastAsia="Times New Roman" w:hAnsi="Calibri"/>
      <w:color w:val="auto"/>
      <w:sz w:val="22"/>
      <w:szCs w:val="22"/>
      <w:lang w:val="en-US" w:eastAsia="ja-JP"/>
    </w:rPr>
  </w:style>
  <w:style w:type="character" w:customStyle="1" w:styleId="MediumGrid2Char">
    <w:name w:val="Medium Grid 2 Char"/>
    <w:link w:val="MediumGrid21"/>
    <w:uiPriority w:val="1"/>
    <w:rsid w:val="00583F3E"/>
    <w:rPr>
      <w:rFonts w:ascii="Calibri" w:eastAsia="Times New Roman" w:hAnsi="Calibri"/>
      <w:color w:val="auto"/>
      <w:sz w:val="22"/>
      <w:szCs w:val="22"/>
      <w:lang w:val="en-US" w:eastAsia="ja-JP"/>
    </w:rPr>
  </w:style>
  <w:style w:type="paragraph" w:customStyle="1" w:styleId="ColorfulList-Accent11">
    <w:name w:val="Colorful List - Accent 11"/>
    <w:basedOn w:val="Normal"/>
    <w:link w:val="ColorfulList-Accent1Char"/>
    <w:uiPriority w:val="34"/>
    <w:rsid w:val="00583F3E"/>
    <w:pPr>
      <w:spacing w:after="200"/>
      <w:ind w:left="720"/>
      <w:contextualSpacing/>
    </w:pPr>
    <w:rPr>
      <w:rFonts w:ascii="Calibri" w:hAnsi="Calibri"/>
      <w:color w:val="auto"/>
      <w:sz w:val="22"/>
      <w:szCs w:val="22"/>
    </w:rPr>
  </w:style>
  <w:style w:type="character" w:styleId="CommentReference">
    <w:name w:val="annotation reference"/>
    <w:uiPriority w:val="99"/>
    <w:unhideWhenUsed/>
    <w:rsid w:val="00583F3E"/>
    <w:rPr>
      <w:sz w:val="16"/>
      <w:szCs w:val="16"/>
    </w:rPr>
  </w:style>
  <w:style w:type="paragraph" w:styleId="CommentText">
    <w:name w:val="annotation text"/>
    <w:basedOn w:val="Normal"/>
    <w:link w:val="CommentTextChar"/>
    <w:uiPriority w:val="99"/>
    <w:unhideWhenUsed/>
    <w:rsid w:val="00583F3E"/>
    <w:pPr>
      <w:spacing w:after="200"/>
    </w:pPr>
    <w:rPr>
      <w:rFonts w:ascii="Calibri" w:hAnsi="Calibri"/>
      <w:color w:val="auto"/>
    </w:rPr>
  </w:style>
  <w:style w:type="character" w:customStyle="1" w:styleId="CommentTextChar">
    <w:name w:val="Comment Text Char"/>
    <w:basedOn w:val="DefaultParagraphFont"/>
    <w:link w:val="CommentText"/>
    <w:uiPriority w:val="99"/>
    <w:rsid w:val="00583F3E"/>
    <w:rPr>
      <w:rFonts w:ascii="Calibri" w:hAnsi="Calibri"/>
      <w:color w:val="auto"/>
    </w:rPr>
  </w:style>
  <w:style w:type="paragraph" w:styleId="CommentSubject">
    <w:name w:val="annotation subject"/>
    <w:basedOn w:val="CommentText"/>
    <w:next w:val="CommentText"/>
    <w:link w:val="CommentSubjectChar"/>
    <w:uiPriority w:val="99"/>
    <w:semiHidden/>
    <w:unhideWhenUsed/>
    <w:rsid w:val="00583F3E"/>
    <w:rPr>
      <w:b/>
      <w:bCs/>
    </w:rPr>
  </w:style>
  <w:style w:type="character" w:customStyle="1" w:styleId="CommentSubjectChar">
    <w:name w:val="Comment Subject Char"/>
    <w:basedOn w:val="CommentTextChar"/>
    <w:link w:val="CommentSubject"/>
    <w:uiPriority w:val="99"/>
    <w:semiHidden/>
    <w:rsid w:val="00583F3E"/>
    <w:rPr>
      <w:rFonts w:ascii="Calibri" w:eastAsia="Calibri" w:hAnsi="Calibri"/>
      <w:b/>
      <w:bCs/>
      <w:color w:val="auto"/>
    </w:rPr>
  </w:style>
  <w:style w:type="paragraph" w:styleId="Index1">
    <w:name w:val="index 1"/>
    <w:basedOn w:val="Normal"/>
    <w:next w:val="Normal"/>
    <w:autoRedefine/>
    <w:semiHidden/>
    <w:rsid w:val="00583F3E"/>
    <w:pPr>
      <w:tabs>
        <w:tab w:val="left" w:pos="7920"/>
      </w:tabs>
      <w:spacing w:after="0"/>
      <w:ind w:left="240" w:right="-289" w:hanging="240"/>
    </w:pPr>
    <w:rPr>
      <w:rFonts w:ascii="Times New Roman" w:eastAsia="Times New Roman" w:hAnsi="Times New Roman"/>
      <w:b/>
      <w:bCs/>
      <w:color w:val="auto"/>
      <w:szCs w:val="21"/>
      <w:lang w:val="en-GB"/>
    </w:rPr>
  </w:style>
  <w:style w:type="paragraph" w:styleId="IndexHeading">
    <w:name w:val="index heading"/>
    <w:basedOn w:val="Normal"/>
    <w:next w:val="Index1"/>
    <w:semiHidden/>
    <w:rsid w:val="00583F3E"/>
    <w:pPr>
      <w:spacing w:before="240"/>
      <w:jc w:val="center"/>
    </w:pPr>
    <w:rPr>
      <w:rFonts w:ascii="Times New Roman" w:eastAsia="Times New Roman" w:hAnsi="Times New Roman"/>
      <w:b/>
      <w:bCs/>
      <w:color w:val="auto"/>
      <w:szCs w:val="31"/>
    </w:rPr>
  </w:style>
  <w:style w:type="paragraph" w:customStyle="1" w:styleId="Style1">
    <w:name w:val="Style1"/>
    <w:basedOn w:val="Header"/>
    <w:rsid w:val="00583F3E"/>
    <w:pPr>
      <w:tabs>
        <w:tab w:val="clear" w:pos="4513"/>
        <w:tab w:val="clear" w:pos="9026"/>
        <w:tab w:val="right" w:leader="dot" w:pos="4320"/>
        <w:tab w:val="decimal" w:pos="7440"/>
        <w:tab w:val="right" w:pos="8640"/>
      </w:tabs>
      <w:overflowPunct w:val="0"/>
      <w:autoSpaceDE w:val="0"/>
      <w:autoSpaceDN w:val="0"/>
      <w:adjustRightInd w:val="0"/>
      <w:spacing w:line="240" w:lineRule="auto"/>
      <w:textAlignment w:val="baseline"/>
    </w:pPr>
    <w:rPr>
      <w:rFonts w:ascii="Times New Roman" w:eastAsia="Times New Roman" w:hAnsi="Times New Roman"/>
      <w:color w:val="auto"/>
      <w:sz w:val="22"/>
      <w:lang w:val="en-GB"/>
    </w:rPr>
  </w:style>
  <w:style w:type="paragraph" w:styleId="BodyText2">
    <w:name w:val="Body Text 2"/>
    <w:basedOn w:val="Normal"/>
    <w:link w:val="BodyText2Char"/>
    <w:rsid w:val="00583F3E"/>
    <w:pPr>
      <w:overflowPunct w:val="0"/>
      <w:autoSpaceDE w:val="0"/>
      <w:autoSpaceDN w:val="0"/>
      <w:adjustRightInd w:val="0"/>
      <w:spacing w:after="0"/>
      <w:textAlignment w:val="baseline"/>
    </w:pPr>
    <w:rPr>
      <w:rFonts w:ascii="Times New Roman" w:eastAsia="Times New Roman" w:hAnsi="Times New Roman"/>
      <w:color w:val="auto"/>
      <w:lang w:val="en-GB"/>
    </w:rPr>
  </w:style>
  <w:style w:type="character" w:customStyle="1" w:styleId="BodyText2Char">
    <w:name w:val="Body Text 2 Char"/>
    <w:basedOn w:val="DefaultParagraphFont"/>
    <w:link w:val="BodyText2"/>
    <w:rsid w:val="00583F3E"/>
    <w:rPr>
      <w:rFonts w:ascii="Times New Roman" w:eastAsia="Times New Roman" w:hAnsi="Times New Roman"/>
      <w:color w:val="auto"/>
      <w:lang w:val="en-GB"/>
    </w:rPr>
  </w:style>
  <w:style w:type="paragraph" w:styleId="BodyTextIndent3">
    <w:name w:val="Body Text Indent 3"/>
    <w:basedOn w:val="Normal"/>
    <w:link w:val="BodyTextIndent3Char"/>
    <w:unhideWhenUsed/>
    <w:rsid w:val="00583F3E"/>
    <w:pPr>
      <w:ind w:left="283"/>
    </w:pPr>
    <w:rPr>
      <w:rFonts w:ascii="Calibri" w:hAnsi="Calibri"/>
      <w:color w:val="auto"/>
      <w:sz w:val="16"/>
      <w:szCs w:val="16"/>
    </w:rPr>
  </w:style>
  <w:style w:type="character" w:customStyle="1" w:styleId="BodyTextIndent3Char">
    <w:name w:val="Body Text Indent 3 Char"/>
    <w:basedOn w:val="DefaultParagraphFont"/>
    <w:link w:val="BodyTextIndent3"/>
    <w:uiPriority w:val="99"/>
    <w:rsid w:val="00583F3E"/>
    <w:rPr>
      <w:rFonts w:ascii="Calibri" w:hAnsi="Calibri"/>
      <w:color w:val="auto"/>
      <w:sz w:val="16"/>
      <w:szCs w:val="16"/>
    </w:rPr>
  </w:style>
  <w:style w:type="paragraph" w:customStyle="1" w:styleId="Char">
    <w:name w:val="Char"/>
    <w:basedOn w:val="Normal"/>
    <w:rsid w:val="00583F3E"/>
    <w:pPr>
      <w:spacing w:after="0"/>
    </w:pPr>
    <w:rPr>
      <w:rFonts w:ascii="Arial" w:eastAsia="Times New Roman" w:hAnsi="Arial" w:cs="Arial"/>
      <w:color w:val="auto"/>
      <w:sz w:val="22"/>
      <w:szCs w:val="22"/>
    </w:rPr>
  </w:style>
  <w:style w:type="paragraph" w:styleId="BodyTextIndent">
    <w:name w:val="Body Text Indent"/>
    <w:basedOn w:val="Normal"/>
    <w:link w:val="BodyTextIndentChar"/>
    <w:rsid w:val="00583F3E"/>
    <w:pPr>
      <w:spacing w:after="0"/>
      <w:ind w:left="360" w:hanging="360"/>
    </w:pPr>
    <w:rPr>
      <w:rFonts w:ascii="Times New Roman" w:eastAsia="Times New Roman" w:hAnsi="Times New Roman" w:cs="Arial"/>
      <w:color w:val="auto"/>
    </w:rPr>
  </w:style>
  <w:style w:type="character" w:customStyle="1" w:styleId="BodyTextIndentChar">
    <w:name w:val="Body Text Indent Char"/>
    <w:basedOn w:val="DefaultParagraphFont"/>
    <w:link w:val="BodyTextIndent"/>
    <w:rsid w:val="00583F3E"/>
    <w:rPr>
      <w:rFonts w:ascii="Times New Roman" w:eastAsia="Times New Roman" w:hAnsi="Times New Roman" w:cs="Arial"/>
      <w:color w:val="auto"/>
      <w:lang w:val="en-US"/>
    </w:rPr>
  </w:style>
  <w:style w:type="paragraph" w:styleId="BodyTextIndent2">
    <w:name w:val="Body Text Indent 2"/>
    <w:basedOn w:val="Normal"/>
    <w:link w:val="BodyTextIndent2Char"/>
    <w:rsid w:val="00583F3E"/>
    <w:pPr>
      <w:spacing w:after="0"/>
      <w:ind w:left="360" w:hanging="360"/>
    </w:pPr>
    <w:rPr>
      <w:rFonts w:ascii="Times New Roman" w:eastAsia="Times New Roman" w:hAnsi="Times New Roman"/>
      <w:color w:val="auto"/>
    </w:rPr>
  </w:style>
  <w:style w:type="character" w:customStyle="1" w:styleId="BodyTextIndent2Char">
    <w:name w:val="Body Text Indent 2 Char"/>
    <w:basedOn w:val="DefaultParagraphFont"/>
    <w:link w:val="BodyTextIndent2"/>
    <w:rsid w:val="00583F3E"/>
    <w:rPr>
      <w:rFonts w:ascii="Times New Roman" w:eastAsia="Times New Roman" w:hAnsi="Times New Roman"/>
      <w:color w:val="auto"/>
      <w:lang w:val="en-US"/>
    </w:rPr>
  </w:style>
  <w:style w:type="paragraph" w:styleId="BodyText3">
    <w:name w:val="Body Text 3"/>
    <w:basedOn w:val="Normal"/>
    <w:link w:val="BodyText3Char"/>
    <w:rsid w:val="00583F3E"/>
    <w:pPr>
      <w:spacing w:after="0"/>
      <w:ind w:right="759"/>
    </w:pPr>
    <w:rPr>
      <w:rFonts w:ascii="Times New Roman" w:eastAsia="Times New Roman" w:hAnsi="Times New Roman" w:cs="Arial"/>
      <w:color w:val="auto"/>
      <w:sz w:val="18"/>
      <w:u w:val="single"/>
    </w:rPr>
  </w:style>
  <w:style w:type="character" w:customStyle="1" w:styleId="BodyText3Char">
    <w:name w:val="Body Text 3 Char"/>
    <w:basedOn w:val="DefaultParagraphFont"/>
    <w:link w:val="BodyText3"/>
    <w:rsid w:val="00583F3E"/>
    <w:rPr>
      <w:rFonts w:ascii="Times New Roman" w:eastAsia="Times New Roman" w:hAnsi="Times New Roman" w:cs="Arial"/>
      <w:color w:val="auto"/>
      <w:sz w:val="18"/>
      <w:u w:val="single"/>
      <w:lang w:val="en-US"/>
    </w:rPr>
  </w:style>
  <w:style w:type="paragraph" w:styleId="BodyText">
    <w:name w:val="Body Text"/>
    <w:basedOn w:val="Normal"/>
    <w:link w:val="BodyTextChar"/>
    <w:uiPriority w:val="1"/>
    <w:qFormat/>
    <w:rsid w:val="00583F3E"/>
    <w:pPr>
      <w:overflowPunct w:val="0"/>
      <w:autoSpaceDE w:val="0"/>
      <w:autoSpaceDN w:val="0"/>
      <w:adjustRightInd w:val="0"/>
      <w:spacing w:after="0"/>
      <w:textAlignment w:val="baseline"/>
    </w:pPr>
    <w:rPr>
      <w:rFonts w:ascii="Times New Roman" w:eastAsia="Times New Roman" w:hAnsi="Times New Roman"/>
      <w:color w:val="auto"/>
      <w:sz w:val="18"/>
      <w:u w:val="single"/>
      <w:lang w:val="en-GB"/>
    </w:rPr>
  </w:style>
  <w:style w:type="character" w:customStyle="1" w:styleId="BodyTextChar">
    <w:name w:val="Body Text Char"/>
    <w:basedOn w:val="DefaultParagraphFont"/>
    <w:link w:val="BodyText"/>
    <w:uiPriority w:val="1"/>
    <w:rsid w:val="00583F3E"/>
    <w:rPr>
      <w:rFonts w:ascii="Times New Roman" w:eastAsia="Times New Roman" w:hAnsi="Times New Roman"/>
      <w:color w:val="auto"/>
      <w:sz w:val="18"/>
      <w:u w:val="single"/>
      <w:lang w:val="en-GB"/>
    </w:rPr>
  </w:style>
  <w:style w:type="paragraph" w:styleId="BlockText">
    <w:name w:val="Block Text"/>
    <w:basedOn w:val="Normal"/>
    <w:rsid w:val="00583F3E"/>
    <w:pPr>
      <w:overflowPunct w:val="0"/>
      <w:autoSpaceDE w:val="0"/>
      <w:autoSpaceDN w:val="0"/>
      <w:adjustRightInd w:val="0"/>
      <w:spacing w:after="0"/>
      <w:ind w:left="360" w:right="-568" w:hanging="360"/>
      <w:textAlignment w:val="baseline"/>
    </w:pPr>
    <w:rPr>
      <w:rFonts w:ascii="Times New Roman" w:eastAsia="Times New Roman" w:hAnsi="Times New Roman"/>
      <w:color w:val="auto"/>
      <w:sz w:val="18"/>
      <w:lang w:val="en-GB"/>
    </w:rPr>
  </w:style>
  <w:style w:type="character" w:customStyle="1" w:styleId="ACTConstructionIndustryLongServiceLeaveBoard">
    <w:name w:val="ACT Construction Industry Long Service Leave Board"/>
    <w:rsid w:val="00583F3E"/>
    <w:rPr>
      <w:rFonts w:ascii="Arial" w:hAnsi="Arial" w:cs="Arial"/>
      <w:color w:val="000000"/>
      <w:sz w:val="20"/>
    </w:rPr>
  </w:style>
  <w:style w:type="character" w:styleId="FollowedHyperlink">
    <w:name w:val="FollowedHyperlink"/>
    <w:rsid w:val="00583F3E"/>
    <w:rPr>
      <w:color w:val="800080"/>
      <w:u w:val="single"/>
    </w:rPr>
  </w:style>
  <w:style w:type="character" w:styleId="Strong">
    <w:name w:val="Strong"/>
    <w:qFormat/>
    <w:rsid w:val="00583F3E"/>
    <w:rPr>
      <w:b/>
      <w:bCs/>
    </w:rPr>
  </w:style>
  <w:style w:type="paragraph" w:customStyle="1" w:styleId="MinorHeading">
    <w:name w:val="Minor Heading"/>
    <w:basedOn w:val="Normal"/>
    <w:next w:val="BodyText"/>
    <w:rsid w:val="00583F3E"/>
    <w:pPr>
      <w:keepNext/>
    </w:pPr>
    <w:rPr>
      <w:rFonts w:ascii="Times New Roman" w:eastAsia="Times New Roman" w:hAnsi="Times New Roman"/>
      <w:b/>
      <w:color w:val="auto"/>
      <w:sz w:val="28"/>
    </w:rPr>
  </w:style>
  <w:style w:type="character" w:customStyle="1" w:styleId="emailstyle15">
    <w:name w:val="emailstyle15"/>
    <w:rsid w:val="00583F3E"/>
  </w:style>
  <w:style w:type="paragraph" w:customStyle="1" w:styleId="para">
    <w:name w:val="para"/>
    <w:basedOn w:val="Normal"/>
    <w:rsid w:val="00583F3E"/>
    <w:pPr>
      <w:spacing w:after="0" w:line="300" w:lineRule="atLeast"/>
      <w:ind w:left="567"/>
    </w:pPr>
    <w:rPr>
      <w:rFonts w:ascii="Times" w:eastAsia="Times New Roman" w:hAnsi="Times" w:cs="Times"/>
      <w:color w:val="auto"/>
      <w:sz w:val="16"/>
      <w:szCs w:val="16"/>
    </w:rPr>
  </w:style>
  <w:style w:type="paragraph" w:customStyle="1" w:styleId="CommentaryText">
    <w:name w:val="Commentary Text"/>
    <w:basedOn w:val="Normal"/>
    <w:rsid w:val="00583F3E"/>
    <w:pPr>
      <w:jc w:val="both"/>
    </w:pPr>
    <w:rPr>
      <w:rFonts w:ascii="Times New Roman" w:eastAsia="Times New Roman" w:hAnsi="Times New Roman"/>
      <w:color w:val="auto"/>
    </w:rPr>
  </w:style>
  <w:style w:type="paragraph" w:customStyle="1" w:styleId="tabletext9pt">
    <w:name w:val="tabletext9pt"/>
    <w:basedOn w:val="Normal"/>
    <w:rsid w:val="00583F3E"/>
    <w:pPr>
      <w:spacing w:after="40" w:line="240" w:lineRule="atLeast"/>
    </w:pPr>
    <w:rPr>
      <w:rFonts w:ascii="Arial" w:eastAsia="Times New Roman" w:hAnsi="Arial" w:cs="Arial"/>
      <w:color w:val="auto"/>
      <w:sz w:val="18"/>
      <w:szCs w:val="18"/>
    </w:rPr>
  </w:style>
  <w:style w:type="character" w:customStyle="1" w:styleId="tablecharitalics9pt">
    <w:name w:val="tablecharitalics9pt"/>
    <w:rsid w:val="00583F3E"/>
    <w:rPr>
      <w:rFonts w:ascii="Arial" w:hAnsi="Arial" w:cs="Arial" w:hint="default"/>
      <w:i/>
      <w:iCs/>
    </w:rPr>
  </w:style>
  <w:style w:type="paragraph" w:customStyle="1" w:styleId="StatementName">
    <w:name w:val="Statement Name"/>
    <w:basedOn w:val="Title"/>
    <w:rsid w:val="00583F3E"/>
    <w:pPr>
      <w:keepNext/>
      <w:spacing w:after="0"/>
      <w:contextualSpacing w:val="0"/>
      <w:jc w:val="center"/>
    </w:pPr>
    <w:rPr>
      <w:rFonts w:ascii="Times New Roman" w:eastAsia="Times New Roman" w:hAnsi="Times New Roman" w:cs="Times New Roman"/>
      <w:b/>
      <w:bCs/>
      <w:color w:val="003366"/>
      <w:spacing w:val="0"/>
      <w:kern w:val="0"/>
      <w:sz w:val="28"/>
      <w:szCs w:val="28"/>
    </w:rPr>
  </w:style>
  <w:style w:type="paragraph" w:customStyle="1" w:styleId="Amainreturn">
    <w:name w:val="A main return"/>
    <w:basedOn w:val="Normal"/>
    <w:rsid w:val="00583F3E"/>
    <w:pPr>
      <w:spacing w:before="80" w:after="60"/>
      <w:ind w:left="1100"/>
      <w:jc w:val="both"/>
    </w:pPr>
    <w:rPr>
      <w:rFonts w:ascii="Times New Roman" w:eastAsia="Times New Roman" w:hAnsi="Times New Roman"/>
      <w:color w:val="auto"/>
    </w:rPr>
  </w:style>
  <w:style w:type="paragraph" w:customStyle="1" w:styleId="AH5Sec">
    <w:name w:val="A H5 Sec"/>
    <w:basedOn w:val="Normal"/>
    <w:next w:val="Normal"/>
    <w:rsid w:val="00583F3E"/>
    <w:pPr>
      <w:keepNext/>
      <w:tabs>
        <w:tab w:val="left" w:pos="1100"/>
      </w:tabs>
      <w:spacing w:before="180" w:after="60"/>
      <w:ind w:left="1100" w:hanging="1100"/>
      <w:outlineLvl w:val="4"/>
    </w:pPr>
    <w:rPr>
      <w:rFonts w:ascii="Arial" w:eastAsia="Times New Roman" w:hAnsi="Arial" w:cs="Arial"/>
      <w:b/>
      <w:bCs/>
      <w:color w:val="auto"/>
    </w:rPr>
  </w:style>
  <w:style w:type="character" w:customStyle="1" w:styleId="CharSectNo">
    <w:name w:val="CharSectNo"/>
    <w:rsid w:val="00583F3E"/>
  </w:style>
  <w:style w:type="paragraph" w:customStyle="1" w:styleId="Char1">
    <w:name w:val="Char1"/>
    <w:basedOn w:val="Normal"/>
    <w:rsid w:val="00583F3E"/>
    <w:pPr>
      <w:spacing w:after="0"/>
    </w:pPr>
    <w:rPr>
      <w:rFonts w:ascii="Arial" w:eastAsia="Times New Roman" w:hAnsi="Arial" w:cs="Arial"/>
      <w:color w:val="auto"/>
      <w:sz w:val="22"/>
      <w:szCs w:val="22"/>
    </w:rPr>
  </w:style>
  <w:style w:type="paragraph" w:customStyle="1" w:styleId="ListBullettable">
    <w:name w:val="List Bullet table"/>
    <w:basedOn w:val="ListBullet"/>
    <w:uiPriority w:val="99"/>
    <w:rsid w:val="00583F3E"/>
    <w:pPr>
      <w:numPr>
        <w:numId w:val="5"/>
      </w:numPr>
      <w:spacing w:after="0"/>
    </w:pPr>
    <w:rPr>
      <w:rFonts w:ascii="Arial Narrow" w:eastAsia="Times New Roman" w:hAnsi="Arial Narrow" w:cs="Tahoma"/>
      <w:noProof/>
      <w:snapToGrid w:val="0"/>
      <w:color w:val="auto"/>
    </w:rPr>
  </w:style>
  <w:style w:type="paragraph" w:styleId="PlainText">
    <w:name w:val="Plain Text"/>
    <w:basedOn w:val="Normal"/>
    <w:link w:val="PlainTextChar"/>
    <w:rsid w:val="00583F3E"/>
    <w:pPr>
      <w:spacing w:after="0"/>
    </w:pPr>
    <w:rPr>
      <w:rFonts w:ascii="Courier New" w:eastAsia="Times New Roman" w:hAnsi="Courier New"/>
      <w:noProof/>
      <w:color w:val="auto"/>
    </w:rPr>
  </w:style>
  <w:style w:type="character" w:customStyle="1" w:styleId="PlainTextChar">
    <w:name w:val="Plain Text Char"/>
    <w:basedOn w:val="DefaultParagraphFont"/>
    <w:link w:val="PlainText"/>
    <w:rsid w:val="00583F3E"/>
    <w:rPr>
      <w:rFonts w:ascii="Courier New" w:eastAsia="Times New Roman" w:hAnsi="Courier New"/>
      <w:noProof/>
      <w:color w:val="auto"/>
    </w:rPr>
  </w:style>
  <w:style w:type="paragraph" w:customStyle="1" w:styleId="Char0">
    <w:name w:val="Char0"/>
    <w:basedOn w:val="Normal"/>
    <w:rsid w:val="00583F3E"/>
    <w:pPr>
      <w:spacing w:after="0"/>
    </w:pPr>
    <w:rPr>
      <w:rFonts w:ascii="Arial" w:eastAsia="Times New Roman" w:hAnsi="Arial" w:cs="Arial"/>
      <w:color w:val="auto"/>
      <w:sz w:val="22"/>
      <w:szCs w:val="22"/>
    </w:rPr>
  </w:style>
  <w:style w:type="numbering" w:customStyle="1" w:styleId="NoList1">
    <w:name w:val="No List1"/>
    <w:next w:val="NoList"/>
    <w:uiPriority w:val="99"/>
    <w:semiHidden/>
    <w:unhideWhenUsed/>
    <w:rsid w:val="00583F3E"/>
  </w:style>
  <w:style w:type="paragraph" w:customStyle="1" w:styleId="Default">
    <w:name w:val="Default"/>
    <w:rsid w:val="00583F3E"/>
    <w:pPr>
      <w:autoSpaceDE w:val="0"/>
      <w:autoSpaceDN w:val="0"/>
      <w:adjustRightInd w:val="0"/>
      <w:spacing w:before="0" w:after="0"/>
    </w:pPr>
    <w:rPr>
      <w:rFonts w:ascii="Symbol" w:eastAsia="Calibri" w:hAnsi="Symbol" w:cs="Symbol"/>
      <w:color w:val="000000"/>
      <w:sz w:val="24"/>
      <w:szCs w:val="24"/>
      <w:lang w:eastAsia="en-AU"/>
    </w:rPr>
  </w:style>
  <w:style w:type="paragraph" w:customStyle="1" w:styleId="plainhanging0">
    <w:name w:val="plainhanging0"/>
    <w:basedOn w:val="Normal"/>
    <w:rsid w:val="00583F3E"/>
    <w:pPr>
      <w:spacing w:before="100" w:beforeAutospacing="1" w:after="100" w:afterAutospacing="1"/>
    </w:pPr>
    <w:rPr>
      <w:rFonts w:ascii="Times New Roman" w:eastAsia="Times New Roman" w:hAnsi="Times New Roman"/>
      <w:color w:val="auto"/>
    </w:rPr>
  </w:style>
  <w:style w:type="paragraph" w:customStyle="1" w:styleId="CommentaryHeading">
    <w:name w:val="Commentary Heading"/>
    <w:basedOn w:val="Normal"/>
    <w:rsid w:val="00583F3E"/>
    <w:pPr>
      <w:keepNext/>
      <w:spacing w:after="60"/>
    </w:pPr>
    <w:rPr>
      <w:rFonts w:ascii="Times New Roman" w:eastAsia="Times New Roman" w:hAnsi="Times New Roman"/>
      <w:b/>
      <w:bCs/>
      <w:color w:val="003366"/>
      <w:szCs w:val="18"/>
    </w:rPr>
  </w:style>
  <w:style w:type="table" w:customStyle="1" w:styleId="GridTable6Colorful1">
    <w:name w:val="Grid Table 6 Colorful1"/>
    <w:basedOn w:val="TableNormal"/>
    <w:uiPriority w:val="51"/>
    <w:rsid w:val="00583F3E"/>
    <w:pPr>
      <w:spacing w:before="0" w:after="0"/>
    </w:pPr>
    <w:rPr>
      <w:rFonts w:ascii="Calibri" w:eastAsia="Calibri" w:hAnsi="Calibri"/>
      <w:color w:val="000000"/>
      <w:sz w:val="22"/>
      <w:szCs w:val="22"/>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ColorfulList-Accent1Char">
    <w:name w:val="Colorful List - Accent 1 Char"/>
    <w:link w:val="ColorfulList-Accent11"/>
    <w:uiPriority w:val="34"/>
    <w:locked/>
    <w:rsid w:val="00583F3E"/>
    <w:rPr>
      <w:rFonts w:ascii="Calibri" w:hAnsi="Calibri"/>
      <w:color w:val="auto"/>
      <w:sz w:val="22"/>
      <w:szCs w:val="22"/>
    </w:rPr>
  </w:style>
  <w:style w:type="paragraph" w:customStyle="1" w:styleId="GridTable31">
    <w:name w:val="Grid Table 31"/>
    <w:basedOn w:val="Heading1"/>
    <w:next w:val="Normal"/>
    <w:uiPriority w:val="39"/>
    <w:unhideWhenUsed/>
    <w:rsid w:val="00583F3E"/>
    <w:pPr>
      <w:spacing w:before="240" w:after="0" w:line="259" w:lineRule="auto"/>
      <w:outlineLvl w:val="9"/>
    </w:pPr>
    <w:rPr>
      <w:rFonts w:ascii="Calibri Light" w:eastAsia="Times New Roman" w:hAnsi="Calibri Light" w:cs="Times New Roman"/>
      <w:b w:val="0"/>
      <w:color w:val="2E74B5"/>
      <w:spacing w:val="0"/>
      <w:sz w:val="32"/>
      <w:lang w:val="en-US"/>
    </w:rPr>
  </w:style>
  <w:style w:type="table" w:styleId="ListTable5Dark-Accent1">
    <w:name w:val="List Table 5 Dark Accent 1"/>
    <w:basedOn w:val="TableNormal"/>
    <w:uiPriority w:val="50"/>
    <w:rsid w:val="00583F3E"/>
    <w:pPr>
      <w:spacing w:before="0" w:after="0"/>
    </w:pPr>
    <w:rPr>
      <w:rFonts w:ascii="Calibri" w:eastAsia="Calibri" w:hAnsi="Calibri"/>
      <w:color w:val="FFFFFF"/>
      <w:lang w:val="en-US" w:eastAsia="ja-JP"/>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2">
    <w:name w:val="Plain Table 2"/>
    <w:basedOn w:val="TableNormal"/>
    <w:uiPriority w:val="42"/>
    <w:rsid w:val="00583F3E"/>
    <w:pPr>
      <w:spacing w:before="0" w:after="0"/>
    </w:pPr>
    <w:rPr>
      <w:rFonts w:ascii="Calibri" w:eastAsia="Calibri" w:hAnsi="Calibri"/>
      <w:color w:val="auto"/>
      <w:lang w:val="en-US"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GridTable1Light">
    <w:name w:val="Grid Table 1 Light"/>
    <w:basedOn w:val="TableNormal"/>
    <w:uiPriority w:val="46"/>
    <w:rsid w:val="00583F3E"/>
    <w:pPr>
      <w:spacing w:before="0" w:after="0"/>
    </w:pPr>
    <w:rPr>
      <w:rFonts w:ascii="Calibri" w:eastAsia="Calibri" w:hAnsi="Calibri"/>
      <w:color w:val="auto"/>
      <w:lang w:val="en-US" w:eastAsia="ja-JP"/>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Revision">
    <w:name w:val="Revision"/>
    <w:hidden/>
    <w:uiPriority w:val="99"/>
    <w:semiHidden/>
    <w:rsid w:val="00583F3E"/>
    <w:pPr>
      <w:spacing w:before="0" w:after="0"/>
    </w:pPr>
    <w:rPr>
      <w:rFonts w:ascii="Calibri" w:eastAsia="Calibri" w:hAnsi="Calibri"/>
      <w:color w:val="auto"/>
      <w:sz w:val="22"/>
      <w:szCs w:val="22"/>
    </w:rPr>
  </w:style>
  <w:style w:type="character" w:customStyle="1" w:styleId="NoSpacingChar">
    <w:name w:val="No Spacing Char"/>
    <w:link w:val="NoSpacing"/>
    <w:uiPriority w:val="1"/>
    <w:rsid w:val="00583F3E"/>
  </w:style>
  <w:style w:type="table" w:styleId="PlainTable4">
    <w:name w:val="Plain Table 4"/>
    <w:basedOn w:val="TableNormal"/>
    <w:uiPriority w:val="44"/>
    <w:rsid w:val="00583F3E"/>
    <w:pPr>
      <w:spacing w:before="0" w:after="0"/>
    </w:pPr>
    <w:rPr>
      <w:rFonts w:ascii="Calibri" w:eastAsia="Calibri" w:hAnsi="Calibri"/>
      <w:color w:val="auto"/>
      <w:lang w:val="en-US" w:eastAsia="ja-JP"/>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3">
    <w:name w:val="Plain Table 3"/>
    <w:basedOn w:val="TableNormal"/>
    <w:uiPriority w:val="43"/>
    <w:rsid w:val="00583F3E"/>
    <w:pPr>
      <w:spacing w:before="0" w:after="0"/>
    </w:pPr>
    <w:rPr>
      <w:rFonts w:ascii="Calibri" w:eastAsia="Calibri" w:hAnsi="Calibri"/>
      <w:color w:val="auto"/>
      <w:lang w:val="en-US" w:eastAsia="ja-JP"/>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TableParagraph">
    <w:name w:val="Table Paragraph"/>
    <w:basedOn w:val="Normal"/>
    <w:uiPriority w:val="1"/>
    <w:qFormat/>
    <w:rsid w:val="00583F3E"/>
    <w:pPr>
      <w:widowControl w:val="0"/>
      <w:spacing w:after="0"/>
    </w:pPr>
    <w:rPr>
      <w:rFonts w:ascii="Calibri" w:hAnsi="Calibri"/>
      <w:color w:val="auto"/>
      <w:sz w:val="22"/>
      <w:szCs w:val="22"/>
    </w:rPr>
  </w:style>
  <w:style w:type="paragraph" w:customStyle="1" w:styleId="Appxhead3">
    <w:name w:val="Appxhead3"/>
    <w:basedOn w:val="Normal"/>
    <w:link w:val="Appxhead3Char"/>
    <w:qFormat/>
    <w:rsid w:val="00583F3E"/>
    <w:pPr>
      <w:spacing w:after="60"/>
    </w:pPr>
    <w:rPr>
      <w:rFonts w:ascii="Arial" w:eastAsia="Times New Roman" w:hAnsi="Arial" w:cs="Arial"/>
      <w:b/>
      <w:smallCaps/>
      <w:color w:val="auto"/>
      <w:sz w:val="22"/>
      <w:szCs w:val="16"/>
    </w:rPr>
  </w:style>
  <w:style w:type="character" w:customStyle="1" w:styleId="Appxhead3Char">
    <w:name w:val="Appxhead3 Char"/>
    <w:link w:val="Appxhead3"/>
    <w:rsid w:val="00583F3E"/>
    <w:rPr>
      <w:rFonts w:ascii="Arial" w:eastAsia="Times New Roman" w:hAnsi="Arial" w:cs="Arial"/>
      <w:b/>
      <w:smallCaps/>
      <w:color w:val="auto"/>
      <w:sz w:val="22"/>
      <w:szCs w:val="16"/>
    </w:rPr>
  </w:style>
  <w:style w:type="paragraph" w:customStyle="1" w:styleId="Appxhead2">
    <w:name w:val="Appxhead2"/>
    <w:basedOn w:val="Normal"/>
    <w:link w:val="Appxhead2Char"/>
    <w:qFormat/>
    <w:rsid w:val="00583F3E"/>
    <w:pPr>
      <w:spacing w:before="240"/>
    </w:pPr>
    <w:rPr>
      <w:rFonts w:ascii="Arial" w:eastAsia="Times New Roman" w:hAnsi="Arial"/>
      <w:b/>
      <w:caps/>
      <w:color w:val="auto"/>
      <w:sz w:val="28"/>
      <w:szCs w:val="28"/>
    </w:rPr>
  </w:style>
  <w:style w:type="character" w:customStyle="1" w:styleId="Appxhead2Char">
    <w:name w:val="Appxhead2 Char"/>
    <w:link w:val="Appxhead2"/>
    <w:rsid w:val="00583F3E"/>
    <w:rPr>
      <w:rFonts w:ascii="Arial" w:eastAsia="Times New Roman" w:hAnsi="Arial"/>
      <w:b/>
      <w:caps/>
      <w:color w:val="auto"/>
      <w:sz w:val="28"/>
      <w:szCs w:val="28"/>
    </w:rPr>
  </w:style>
  <w:style w:type="paragraph" w:customStyle="1" w:styleId="CS-Paragraphnumbering">
    <w:name w:val="CS - Paragraph numbering"/>
    <w:basedOn w:val="Normal"/>
    <w:rsid w:val="00583F3E"/>
    <w:pPr>
      <w:numPr>
        <w:numId w:val="19"/>
      </w:numPr>
      <w:ind w:right="-45"/>
    </w:pPr>
    <w:rPr>
      <w:rFonts w:ascii="Calibri" w:eastAsia="PMingLiU" w:hAnsi="Calibri" w:cs="Calibri"/>
      <w:color w:val="auto"/>
    </w:rPr>
  </w:style>
  <w:style w:type="paragraph" w:styleId="NormalWeb">
    <w:name w:val="Normal (Web)"/>
    <w:basedOn w:val="Normal"/>
    <w:uiPriority w:val="99"/>
    <w:unhideWhenUsed/>
    <w:rsid w:val="00583F3E"/>
    <w:pPr>
      <w:spacing w:before="100" w:beforeAutospacing="1" w:after="100" w:afterAutospacing="1"/>
    </w:pPr>
    <w:rPr>
      <w:rFonts w:ascii="Times New Roman" w:eastAsia="Times New Roman" w:hAnsi="Times New Roman"/>
      <w:color w:val="auto"/>
      <w:lang w:eastAsia="zh-TW"/>
    </w:rPr>
  </w:style>
  <w:style w:type="numbering" w:customStyle="1" w:styleId="NoList2">
    <w:name w:val="No List2"/>
    <w:next w:val="NoList"/>
    <w:semiHidden/>
    <w:unhideWhenUsed/>
    <w:rsid w:val="00583F3E"/>
  </w:style>
  <w:style w:type="table" w:customStyle="1" w:styleId="CVtable1">
    <w:name w:val="CV table1"/>
    <w:basedOn w:val="TableNormal"/>
    <w:next w:val="TableGrid"/>
    <w:rsid w:val="00583F3E"/>
    <w:pPr>
      <w:spacing w:before="0" w:after="0"/>
    </w:pPr>
    <w:rPr>
      <w:rFonts w:ascii="Calibri" w:eastAsia="SimSun" w:hAnsi="Calibri"/>
      <w:color w:val="auto"/>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83F3E"/>
  </w:style>
  <w:style w:type="paragraph" w:customStyle="1" w:styleId="NotesNumber">
    <w:name w:val="Notes Number"/>
    <w:basedOn w:val="Normal"/>
    <w:rsid w:val="00583F3E"/>
    <w:pPr>
      <w:numPr>
        <w:numId w:val="8"/>
      </w:numPr>
      <w:spacing w:after="0"/>
    </w:pPr>
    <w:rPr>
      <w:rFonts w:ascii="Calibri" w:eastAsia="Times New Roman" w:hAnsi="Calibri"/>
      <w:iCs/>
      <w:color w:val="auto"/>
    </w:rPr>
  </w:style>
  <w:style w:type="paragraph" w:customStyle="1" w:styleId="TableTitle">
    <w:name w:val="Table Title"/>
    <w:basedOn w:val="Normal"/>
    <w:next w:val="Normal"/>
    <w:rsid w:val="00583F3E"/>
    <w:pPr>
      <w:spacing w:after="0"/>
      <w:jc w:val="right"/>
    </w:pPr>
    <w:rPr>
      <w:rFonts w:ascii="Calibri" w:eastAsia="Times New Roman" w:hAnsi="Calibri"/>
      <w:b/>
      <w:bCs/>
      <w:color w:val="auto"/>
      <w:sz w:val="18"/>
      <w:szCs w:val="18"/>
    </w:rPr>
  </w:style>
  <w:style w:type="character" w:customStyle="1" w:styleId="ListParagraphChar">
    <w:name w:val="List Paragraph Char"/>
    <w:aliases w:val="OLG List Paragraph Bullets Char"/>
    <w:link w:val="ListParagraph"/>
    <w:uiPriority w:val="34"/>
    <w:rsid w:val="00583F3E"/>
  </w:style>
  <w:style w:type="paragraph" w:customStyle="1" w:styleId="xmsonormal">
    <w:name w:val="x_msonormal"/>
    <w:basedOn w:val="Normal"/>
    <w:rsid w:val="00583F3E"/>
    <w:pPr>
      <w:spacing w:after="0"/>
    </w:pPr>
    <w:rPr>
      <w:rFonts w:ascii="Calibri" w:hAnsi="Calibri" w:cs="Calibri"/>
      <w:color w:val="auto"/>
      <w:sz w:val="22"/>
      <w:szCs w:val="22"/>
    </w:rPr>
  </w:style>
  <w:style w:type="paragraph" w:styleId="TOC9">
    <w:name w:val="toc 9"/>
    <w:basedOn w:val="Normal"/>
    <w:next w:val="Normal"/>
    <w:autoRedefine/>
    <w:uiPriority w:val="39"/>
    <w:unhideWhenUsed/>
    <w:rsid w:val="00583F3E"/>
    <w:pPr>
      <w:spacing w:after="100" w:line="259" w:lineRule="auto"/>
      <w:ind w:left="1760"/>
    </w:pPr>
    <w:rPr>
      <w:rFonts w:ascii="Calibri" w:eastAsia="Times New Roman" w:hAnsi="Calibri"/>
      <w:color w:val="auto"/>
      <w:sz w:val="22"/>
      <w:szCs w:val="22"/>
    </w:rPr>
  </w:style>
  <w:style w:type="character" w:customStyle="1" w:styleId="normaltextrun">
    <w:name w:val="normaltextrun"/>
    <w:basedOn w:val="DefaultParagraphFont"/>
    <w:rsid w:val="00583F3E"/>
  </w:style>
  <w:style w:type="character" w:customStyle="1" w:styleId="eop">
    <w:name w:val="eop"/>
    <w:basedOn w:val="DefaultParagraphFont"/>
    <w:rsid w:val="00583F3E"/>
  </w:style>
  <w:style w:type="character" w:styleId="Mention">
    <w:name w:val="Mention"/>
    <w:basedOn w:val="DefaultParagraphFont"/>
    <w:uiPriority w:val="99"/>
    <w:unhideWhenUsed/>
    <w:rsid w:val="00583F3E"/>
    <w:rPr>
      <w:color w:val="2B579A"/>
      <w:shd w:val="clear" w:color="auto" w:fill="E1DFDD"/>
    </w:rPr>
  </w:style>
  <w:style w:type="paragraph" w:customStyle="1" w:styleId="Char00">
    <w:name w:val="Char00"/>
    <w:basedOn w:val="Normal"/>
    <w:rsid w:val="00583F3E"/>
    <w:pPr>
      <w:spacing w:after="0"/>
    </w:pPr>
    <w:rPr>
      <w:rFonts w:ascii="Arial" w:eastAsia="Times New Roman" w:hAnsi="Arial" w:cs="Arial"/>
      <w:color w:val="auto"/>
      <w:sz w:val="22"/>
      <w:szCs w:val="22"/>
    </w:rPr>
  </w:style>
  <w:style w:type="paragraph" w:customStyle="1" w:styleId="Listbullet1">
    <w:name w:val="List bullet 1"/>
    <w:basedOn w:val="ListBullet"/>
    <w:uiPriority w:val="4"/>
    <w:qFormat/>
    <w:rsid w:val="00F531CB"/>
  </w:style>
  <w:style w:type="paragraph" w:customStyle="1" w:styleId="ListBullet21">
    <w:name w:val="List Bullet 21"/>
    <w:basedOn w:val="ListBullet3"/>
    <w:uiPriority w:val="4"/>
    <w:qFormat/>
    <w:rsid w:val="00994B8D"/>
    <w:pPr>
      <w:numPr>
        <w:ilvl w:val="0"/>
        <w:numId w:val="15"/>
      </w:numPr>
      <w:adjustRightInd w:val="0"/>
      <w:snapToGrid w:val="0"/>
      <w:spacing w:after="0" w:line="320" w:lineRule="atLeast"/>
      <w:contextualSpacing w:val="0"/>
    </w:pPr>
    <w:rPr>
      <w:rFonts w:ascii="Arial" w:eastAsiaTheme="minorEastAsia" w:hAnsi="Arial"/>
    </w:rPr>
  </w:style>
  <w:style w:type="character" w:customStyle="1" w:styleId="apple-converted-space">
    <w:name w:val="apple-converted-space"/>
    <w:basedOn w:val="DefaultParagraphFont"/>
    <w:rsid w:val="00E66AF9"/>
  </w:style>
  <w:style w:type="character" w:customStyle="1" w:styleId="grame">
    <w:name w:val="grame"/>
    <w:basedOn w:val="DefaultParagraphFont"/>
    <w:rsid w:val="00E66AF9"/>
  </w:style>
  <w:style w:type="table" w:customStyle="1" w:styleId="GridTable4-Accent11">
    <w:name w:val="Grid Table 4 - Accent 11"/>
    <w:basedOn w:val="TableNormal"/>
    <w:uiPriority w:val="49"/>
    <w:rsid w:val="00B6644E"/>
    <w:pPr>
      <w:spacing w:before="0" w:after="0"/>
    </w:pPr>
    <w:rPr>
      <w:rFonts w:asciiTheme="minorHAnsi" w:eastAsia="SimSun" w:hAnsiTheme="minorHAnsi" w:cstheme="minorBidi"/>
      <w:color w:val="auto"/>
      <w:sz w:val="22"/>
      <w:szCs w:val="22"/>
    </w:rPr>
    <w:tblPr>
      <w:tblStyleRowBandSize w:val="1"/>
      <w:tblStyleColBandSize w:val="1"/>
      <w:tblBorders>
        <w:top w:val="single" w:sz="4" w:space="0" w:color="3D55F5" w:themeColor="accent1" w:themeTint="99"/>
        <w:left w:val="single" w:sz="4" w:space="0" w:color="3D55F5" w:themeColor="accent1" w:themeTint="99"/>
        <w:bottom w:val="single" w:sz="4" w:space="0" w:color="3D55F5" w:themeColor="accent1" w:themeTint="99"/>
        <w:right w:val="single" w:sz="4" w:space="0" w:color="3D55F5" w:themeColor="accent1" w:themeTint="99"/>
        <w:insideH w:val="single" w:sz="4" w:space="0" w:color="3D55F5" w:themeColor="accent1" w:themeTint="99"/>
        <w:insideV w:val="single" w:sz="4" w:space="0" w:color="3D55F5" w:themeColor="accent1" w:themeTint="99"/>
      </w:tblBorders>
    </w:tblPr>
    <w:tblStylePr w:type="firstRow">
      <w:rPr>
        <w:b/>
        <w:bCs/>
        <w:color w:val="FFFFFF" w:themeColor="background1"/>
      </w:rPr>
      <w:tblPr/>
      <w:tcPr>
        <w:tcBorders>
          <w:top w:val="single" w:sz="4" w:space="0" w:color="081DA4" w:themeColor="accent1"/>
          <w:left w:val="single" w:sz="4" w:space="0" w:color="081DA4" w:themeColor="accent1"/>
          <w:bottom w:val="single" w:sz="4" w:space="0" w:color="081DA4" w:themeColor="accent1"/>
          <w:right w:val="single" w:sz="4" w:space="0" w:color="081DA4" w:themeColor="accent1"/>
          <w:insideH w:val="nil"/>
          <w:insideV w:val="nil"/>
        </w:tcBorders>
        <w:shd w:val="clear" w:color="auto" w:fill="081DA4" w:themeFill="accent1"/>
      </w:tcPr>
    </w:tblStylePr>
    <w:tblStylePr w:type="lastRow">
      <w:rPr>
        <w:b/>
        <w:bCs/>
      </w:rPr>
      <w:tblPr/>
      <w:tcPr>
        <w:tcBorders>
          <w:top w:val="double" w:sz="4" w:space="0" w:color="081DA4" w:themeColor="accent1"/>
        </w:tcBorders>
      </w:tcPr>
    </w:tblStylePr>
    <w:tblStylePr w:type="firstCol">
      <w:rPr>
        <w:b/>
        <w:bCs/>
      </w:rPr>
    </w:tblStylePr>
    <w:tblStylePr w:type="lastCol">
      <w:rPr>
        <w:b/>
        <w:bCs/>
      </w:rPr>
    </w:tblStylePr>
    <w:tblStylePr w:type="band1Vert">
      <w:tblPr/>
      <w:tcPr>
        <w:shd w:val="clear" w:color="auto" w:fill="BEC6FC" w:themeFill="accent1" w:themeFillTint="33"/>
      </w:tcPr>
    </w:tblStylePr>
    <w:tblStylePr w:type="band1Horz">
      <w:tblPr/>
      <w:tcPr>
        <w:shd w:val="clear" w:color="auto" w:fill="BEC6FC" w:themeFill="accent1" w:themeFillTint="33"/>
      </w:tcPr>
    </w:tblStylePr>
  </w:style>
  <w:style w:type="table" w:customStyle="1" w:styleId="GridTable5Dark-Accent11">
    <w:name w:val="Grid Table 5 Dark - Accent 11"/>
    <w:basedOn w:val="TableNormal"/>
    <w:uiPriority w:val="50"/>
    <w:rsid w:val="00B6644E"/>
    <w:pPr>
      <w:spacing w:before="0" w:after="0"/>
    </w:pPr>
    <w:rPr>
      <w:rFonts w:asciiTheme="minorHAnsi" w:eastAsia="SimSun" w:hAnsiTheme="minorHAnsi" w:cstheme="minorBidi"/>
      <w:color w:val="auto"/>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C6F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81DA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81DA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81DA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81DA4" w:themeFill="accent1"/>
      </w:tcPr>
    </w:tblStylePr>
    <w:tblStylePr w:type="band1Vert">
      <w:tblPr/>
      <w:tcPr>
        <w:shd w:val="clear" w:color="auto" w:fill="7D8EF8" w:themeFill="accent1" w:themeFillTint="66"/>
      </w:tcPr>
    </w:tblStylePr>
    <w:tblStylePr w:type="band1Horz">
      <w:tblPr/>
      <w:tcPr>
        <w:shd w:val="clear" w:color="auto" w:fill="7D8EF8" w:themeFill="accent1" w:themeFillTint="66"/>
      </w:tcPr>
    </w:tblStylePr>
  </w:style>
  <w:style w:type="table" w:customStyle="1" w:styleId="GridTable5Dark-Accent41">
    <w:name w:val="Grid Table 5 Dark - Accent 41"/>
    <w:basedOn w:val="TableNormal"/>
    <w:uiPriority w:val="50"/>
    <w:rsid w:val="00B6644E"/>
    <w:pPr>
      <w:spacing w:before="0" w:after="0"/>
    </w:pPr>
    <w:rPr>
      <w:rFonts w:asciiTheme="minorHAnsi" w:eastAsia="SimSun" w:hAnsiTheme="minorHAnsi" w:cstheme="minorBidi"/>
      <w:color w:val="auto"/>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8F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E1F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E1F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E1F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E1FB" w:themeFill="accent4"/>
      </w:tcPr>
    </w:tblStylePr>
    <w:tblStylePr w:type="band1Vert">
      <w:tblPr/>
      <w:tcPr>
        <w:shd w:val="clear" w:color="auto" w:fill="EBF2FD" w:themeFill="accent4" w:themeFillTint="66"/>
      </w:tcPr>
    </w:tblStylePr>
    <w:tblStylePr w:type="band1Horz">
      <w:tblPr/>
      <w:tcPr>
        <w:shd w:val="clear" w:color="auto" w:fill="EBF2FD" w:themeFill="accent4" w:themeFillTint="66"/>
      </w:tcPr>
    </w:tblStylePr>
  </w:style>
  <w:style w:type="numbering" w:customStyle="1" w:styleId="NoList3">
    <w:name w:val="No List3"/>
    <w:next w:val="NoList"/>
    <w:uiPriority w:val="99"/>
    <w:semiHidden/>
    <w:unhideWhenUsed/>
    <w:rsid w:val="0094219E"/>
  </w:style>
  <w:style w:type="table" w:customStyle="1" w:styleId="CVtable2">
    <w:name w:val="CV table2"/>
    <w:basedOn w:val="TableNormal"/>
    <w:next w:val="TableGrid"/>
    <w:uiPriority w:val="39"/>
    <w:rsid w:val="0094219E"/>
    <w:pPr>
      <w:spacing w:before="0" w:after="0"/>
    </w:pPr>
    <w:rPr>
      <w:rFonts w:ascii="Calibri" w:eastAsia="SimSun" w:hAnsi="Calibri"/>
      <w:color w:val="auto"/>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94219E"/>
  </w:style>
  <w:style w:type="character" w:customStyle="1" w:styleId="cf01">
    <w:name w:val="cf01"/>
    <w:basedOn w:val="DefaultParagraphFont"/>
    <w:rsid w:val="0094219E"/>
    <w:rPr>
      <w:rFonts w:ascii="Segoe UI" w:hAnsi="Segoe UI" w:cs="Segoe UI" w:hint="default"/>
      <w:sz w:val="18"/>
      <w:szCs w:val="18"/>
    </w:rPr>
  </w:style>
  <w:style w:type="character" w:customStyle="1" w:styleId="cf11">
    <w:name w:val="cf11"/>
    <w:basedOn w:val="DefaultParagraphFont"/>
    <w:rsid w:val="0094219E"/>
    <w:rPr>
      <w:rFonts w:ascii="Segoe UI" w:hAnsi="Segoe UI" w:cs="Segoe UI" w:hint="default"/>
      <w:i/>
      <w:iCs/>
      <w:sz w:val="18"/>
      <w:szCs w:val="18"/>
    </w:rPr>
  </w:style>
  <w:style w:type="character" w:customStyle="1" w:styleId="cf21">
    <w:name w:val="cf21"/>
    <w:basedOn w:val="DefaultParagraphFont"/>
    <w:rsid w:val="0094219E"/>
    <w:rPr>
      <w:rFonts w:ascii="Segoe UI" w:hAnsi="Segoe UI" w:cs="Segoe UI" w:hint="default"/>
      <w:i/>
      <w:iCs/>
      <w:color w:val="FF0000"/>
      <w:sz w:val="18"/>
      <w:szCs w:val="18"/>
    </w:rPr>
  </w:style>
  <w:style w:type="table" w:customStyle="1" w:styleId="CVtable11">
    <w:name w:val="CV table11"/>
    <w:basedOn w:val="TableNormal"/>
    <w:rsid w:val="0094219E"/>
    <w:pPr>
      <w:spacing w:before="0" w:after="0"/>
    </w:pPr>
    <w:rPr>
      <w:rFonts w:ascii="Calibri" w:eastAsia="Times" w:hAnsi="Calibri"/>
      <w:color w:val="auto"/>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nancialheader">
    <w:name w:val="financialheader"/>
    <w:basedOn w:val="Normal"/>
    <w:uiPriority w:val="2"/>
    <w:rsid w:val="00280BC1"/>
    <w:pPr>
      <w:keepNext/>
      <w:jc w:val="center"/>
      <w:outlineLvl w:val="0"/>
    </w:pPr>
    <w:rPr>
      <w:rFonts w:ascii="Arial" w:eastAsia="Times New Roman" w:hAnsi="Arial" w:cs="Arial"/>
      <w:b/>
      <w:bCs/>
      <w:color w:val="auto"/>
      <w:kern w:val="32"/>
      <w:sz w:val="28"/>
      <w:szCs w:val="28"/>
    </w:rPr>
  </w:style>
  <w:style w:type="paragraph" w:customStyle="1" w:styleId="Footertextportraitpage">
    <w:name w:val="Footer text portrait page"/>
    <w:basedOn w:val="FootnotesEndnotestext"/>
    <w:qFormat/>
    <w:rsid w:val="00EB538B"/>
    <w:pPr>
      <w:tabs>
        <w:tab w:val="center" w:pos="4395"/>
        <w:tab w:val="right" w:pos="8769"/>
      </w:tabs>
      <w:adjustRightInd/>
      <w:snapToGrid/>
      <w:spacing w:before="0" w:after="0" w:line="240" w:lineRule="auto"/>
    </w:pPr>
    <w:rPr>
      <w:rFonts w:ascii="Calibri" w:eastAsia="Calibri" w:hAnsi="Calibri" w:cstheme="minorHAnsi"/>
      <w:bCs/>
      <w:iCs/>
      <w:color w:val="auto"/>
      <w:sz w:val="18"/>
    </w:rPr>
  </w:style>
  <w:style w:type="numbering" w:customStyle="1" w:styleId="ATOIntroBullets">
    <w:name w:val="ATO Intro Bullets"/>
    <w:uiPriority w:val="99"/>
    <w:rsid w:val="005A39DE"/>
    <w:pPr>
      <w:numPr>
        <w:numId w:val="10"/>
      </w:numPr>
    </w:pPr>
  </w:style>
  <w:style w:type="paragraph" w:customStyle="1" w:styleId="msonormal0">
    <w:name w:val="msonormal"/>
    <w:basedOn w:val="Normal"/>
    <w:rsid w:val="00225853"/>
    <w:pPr>
      <w:spacing w:before="100" w:beforeAutospacing="1" w:after="100" w:afterAutospacing="1"/>
    </w:pPr>
    <w:rPr>
      <w:rFonts w:ascii="Times New Roman" w:eastAsia="Times New Roman" w:hAnsi="Times New Roman"/>
      <w:color w:val="auto"/>
      <w:sz w:val="24"/>
      <w:szCs w:val="24"/>
      <w:lang w:val="en-AU"/>
    </w:rPr>
  </w:style>
  <w:style w:type="numbering" w:customStyle="1" w:styleId="NoList4">
    <w:name w:val="No List4"/>
    <w:next w:val="NoList"/>
    <w:uiPriority w:val="99"/>
    <w:semiHidden/>
    <w:unhideWhenUsed/>
    <w:rsid w:val="00225853"/>
  </w:style>
  <w:style w:type="table" w:customStyle="1" w:styleId="CVtable3">
    <w:name w:val="CV table3"/>
    <w:basedOn w:val="TableNormal"/>
    <w:next w:val="TableGrid"/>
    <w:uiPriority w:val="39"/>
    <w:rsid w:val="00225853"/>
    <w:pPr>
      <w:spacing w:before="0" w:after="0"/>
    </w:pPr>
    <w:rPr>
      <w:rFonts w:ascii="Calibri" w:eastAsia="SimSun" w:hAnsi="Calibri"/>
      <w:color w:val="auto"/>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25853"/>
  </w:style>
  <w:style w:type="table" w:customStyle="1" w:styleId="CVtable12">
    <w:name w:val="CV table12"/>
    <w:basedOn w:val="TableNormal"/>
    <w:rsid w:val="00225853"/>
    <w:pPr>
      <w:spacing w:before="0" w:after="0"/>
    </w:pPr>
    <w:rPr>
      <w:rFonts w:ascii="Calibri" w:eastAsia="Times" w:hAnsi="Calibri"/>
      <w:color w:val="auto"/>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51696"/>
    <w:pPr>
      <w:spacing w:before="100" w:beforeAutospacing="1" w:after="100" w:afterAutospacing="1"/>
    </w:pPr>
    <w:rPr>
      <w:rFonts w:ascii="Times New Roman" w:eastAsia="Times New Roman" w:hAnsi="Times New Roman"/>
      <w:color w:val="auto"/>
      <w:sz w:val="24"/>
      <w:szCs w:val="24"/>
      <w:lang w:val="en-AU"/>
    </w:rPr>
  </w:style>
  <w:style w:type="paragraph" w:customStyle="1" w:styleId="Hyperlinks">
    <w:name w:val="Hyperlinks"/>
    <w:basedOn w:val="Normal"/>
    <w:link w:val="HyperlinksChar"/>
    <w:uiPriority w:val="2"/>
    <w:qFormat/>
    <w:rsid w:val="007F5887"/>
    <w:rPr>
      <w:rFonts w:cs="Calibri"/>
      <w:color w:val="081DA4" w:themeColor="accent1"/>
    </w:rPr>
  </w:style>
  <w:style w:type="character" w:customStyle="1" w:styleId="HyperlinksChar">
    <w:name w:val="Hyperlinks Char"/>
    <w:basedOn w:val="DefaultParagraphFont"/>
    <w:link w:val="Hyperlinks"/>
    <w:uiPriority w:val="2"/>
    <w:rsid w:val="007F5887"/>
    <w:rPr>
      <w:rFonts w:cs="Calibri"/>
      <w:color w:val="081DA4" w:themeColor="accent1"/>
      <w:lang w:val="en-US" w:eastAsia="en-AU"/>
    </w:rPr>
  </w:style>
  <w:style w:type="numbering" w:customStyle="1" w:styleId="ATOBullets">
    <w:name w:val="ATO Bullets"/>
    <w:rsid w:val="0049583A"/>
    <w:pPr>
      <w:numPr>
        <w:numId w:val="39"/>
      </w:numPr>
    </w:pPr>
  </w:style>
  <w:style w:type="paragraph" w:customStyle="1" w:styleId="Normal2">
    <w:name w:val="Normal2"/>
    <w:basedOn w:val="Normal"/>
    <w:link w:val="Normal2Char"/>
    <w:qFormat/>
    <w:rsid w:val="00A53CD9"/>
    <w:pPr>
      <w:adjustRightInd w:val="0"/>
      <w:snapToGrid w:val="0"/>
    </w:pPr>
    <w:rPr>
      <w:rFonts w:ascii="Arial" w:eastAsia="Times New Roman" w:hAnsi="Arial" w:cs="Arial"/>
      <w:color w:val="auto"/>
      <w:lang w:val="en-AU"/>
    </w:rPr>
  </w:style>
  <w:style w:type="character" w:customStyle="1" w:styleId="Normal2Char">
    <w:name w:val="Normal2 Char"/>
    <w:basedOn w:val="DefaultParagraphFont"/>
    <w:link w:val="Normal2"/>
    <w:rsid w:val="00A53CD9"/>
    <w:rPr>
      <w:rFonts w:ascii="Arial" w:eastAsia="Times New Roman" w:hAnsi="Arial" w:cs="Arial"/>
      <w:color w:val="auto"/>
      <w:lang w:eastAsia="en-AU"/>
    </w:rPr>
  </w:style>
  <w:style w:type="character" w:customStyle="1" w:styleId="ListNumberChar">
    <w:name w:val="List Number Char"/>
    <w:basedOn w:val="DefaultParagraphFont"/>
    <w:link w:val="ListNumber"/>
    <w:uiPriority w:val="6"/>
    <w:rsid w:val="00A53CD9"/>
    <w:rPr>
      <w:rFonts w:ascii="Arial" w:hAnsi="Arial"/>
      <w:lang w:val="en-US" w:eastAsia="en-AU"/>
    </w:rPr>
  </w:style>
  <w:style w:type="numbering" w:customStyle="1" w:styleId="NoList5">
    <w:name w:val="No List5"/>
    <w:next w:val="NoList"/>
    <w:uiPriority w:val="99"/>
    <w:semiHidden/>
    <w:unhideWhenUsed/>
    <w:rsid w:val="00717BA5"/>
  </w:style>
  <w:style w:type="table" w:customStyle="1" w:styleId="CVtable4">
    <w:name w:val="CV table4"/>
    <w:basedOn w:val="TableNormal"/>
    <w:next w:val="TableGrid"/>
    <w:uiPriority w:val="39"/>
    <w:rsid w:val="00717BA5"/>
    <w:pPr>
      <w:spacing w:before="0" w:after="0"/>
    </w:pPr>
    <w:rPr>
      <w:rFonts w:ascii="Calibri" w:eastAsia="SimSun" w:hAnsi="Calibri"/>
      <w:color w:val="auto"/>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717BA5"/>
  </w:style>
  <w:style w:type="table" w:customStyle="1" w:styleId="CVtable13">
    <w:name w:val="CV table13"/>
    <w:basedOn w:val="TableNormal"/>
    <w:rsid w:val="00717BA5"/>
    <w:pPr>
      <w:spacing w:before="0" w:after="0"/>
    </w:pPr>
    <w:rPr>
      <w:rFonts w:ascii="Calibri" w:eastAsia="Times" w:hAnsi="Calibri"/>
      <w:color w:val="auto"/>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C95755"/>
  </w:style>
  <w:style w:type="paragraph" w:styleId="BodyTextFirstIndent">
    <w:name w:val="Body Text First Indent"/>
    <w:basedOn w:val="BodyText"/>
    <w:link w:val="BodyTextFirstIndentChar"/>
    <w:uiPriority w:val="99"/>
    <w:semiHidden/>
    <w:unhideWhenUsed/>
    <w:rsid w:val="00C95755"/>
    <w:pPr>
      <w:overflowPunct/>
      <w:autoSpaceDE/>
      <w:autoSpaceDN/>
      <w:adjustRightInd/>
      <w:spacing w:after="140"/>
      <w:ind w:firstLine="360"/>
      <w:textAlignment w:val="auto"/>
    </w:pPr>
    <w:rPr>
      <w:rFonts w:asciiTheme="majorHAnsi" w:eastAsiaTheme="minorHAnsi" w:hAnsiTheme="majorHAnsi"/>
      <w:color w:val="000000" w:themeColor="text1"/>
      <w:sz w:val="20"/>
      <w:u w:val="none"/>
      <w:lang w:val="en-US"/>
    </w:rPr>
  </w:style>
  <w:style w:type="character" w:customStyle="1" w:styleId="BodyTextFirstIndentChar">
    <w:name w:val="Body Text First Indent Char"/>
    <w:basedOn w:val="BodyTextChar"/>
    <w:link w:val="BodyTextFirstIndent"/>
    <w:uiPriority w:val="99"/>
    <w:semiHidden/>
    <w:rsid w:val="00C95755"/>
    <w:rPr>
      <w:rFonts w:ascii="Times New Roman" w:eastAsia="Times New Roman" w:hAnsi="Times New Roman"/>
      <w:color w:val="auto"/>
      <w:sz w:val="18"/>
      <w:u w:val="single"/>
      <w:lang w:val="en-US" w:eastAsia="en-AU"/>
    </w:rPr>
  </w:style>
  <w:style w:type="paragraph" w:styleId="BodyTextFirstIndent2">
    <w:name w:val="Body Text First Indent 2"/>
    <w:basedOn w:val="BodyTextIndent"/>
    <w:link w:val="BodyTextFirstIndent2Char"/>
    <w:uiPriority w:val="99"/>
    <w:semiHidden/>
    <w:unhideWhenUsed/>
    <w:rsid w:val="00C95755"/>
    <w:pPr>
      <w:spacing w:after="140"/>
      <w:ind w:firstLine="360"/>
    </w:pPr>
    <w:rPr>
      <w:rFonts w:asciiTheme="majorHAnsi" w:eastAsiaTheme="minorHAnsi" w:hAnsiTheme="majorHAnsi" w:cs="Times New Roman"/>
      <w:color w:val="000000" w:themeColor="text1"/>
    </w:rPr>
  </w:style>
  <w:style w:type="character" w:customStyle="1" w:styleId="BodyTextFirstIndent2Char">
    <w:name w:val="Body Text First Indent 2 Char"/>
    <w:basedOn w:val="BodyTextIndentChar"/>
    <w:link w:val="BodyTextFirstIndent2"/>
    <w:uiPriority w:val="99"/>
    <w:semiHidden/>
    <w:rsid w:val="00C95755"/>
    <w:rPr>
      <w:rFonts w:ascii="Times New Roman" w:eastAsia="Times New Roman" w:hAnsi="Times New Roman" w:cs="Arial"/>
      <w:color w:val="auto"/>
      <w:lang w:val="en-US" w:eastAsia="en-AU"/>
    </w:rPr>
  </w:style>
  <w:style w:type="paragraph" w:styleId="Closing">
    <w:name w:val="Closing"/>
    <w:basedOn w:val="Normal"/>
    <w:link w:val="ClosingChar"/>
    <w:uiPriority w:val="99"/>
    <w:semiHidden/>
    <w:unhideWhenUsed/>
    <w:rsid w:val="00C95755"/>
    <w:pPr>
      <w:spacing w:after="0" w:line="240" w:lineRule="auto"/>
      <w:ind w:left="4252"/>
    </w:pPr>
  </w:style>
  <w:style w:type="character" w:customStyle="1" w:styleId="ClosingChar">
    <w:name w:val="Closing Char"/>
    <w:basedOn w:val="DefaultParagraphFont"/>
    <w:link w:val="Closing"/>
    <w:uiPriority w:val="99"/>
    <w:semiHidden/>
    <w:rsid w:val="00C95755"/>
    <w:rPr>
      <w:lang w:val="en-US" w:eastAsia="en-AU"/>
    </w:rPr>
  </w:style>
  <w:style w:type="paragraph" w:styleId="Date">
    <w:name w:val="Date"/>
    <w:basedOn w:val="Normal"/>
    <w:next w:val="Normal"/>
    <w:link w:val="DateChar"/>
    <w:uiPriority w:val="99"/>
    <w:semiHidden/>
    <w:unhideWhenUsed/>
    <w:rsid w:val="00C95755"/>
  </w:style>
  <w:style w:type="character" w:customStyle="1" w:styleId="DateChar">
    <w:name w:val="Date Char"/>
    <w:basedOn w:val="DefaultParagraphFont"/>
    <w:link w:val="Date"/>
    <w:uiPriority w:val="99"/>
    <w:semiHidden/>
    <w:rsid w:val="00C95755"/>
    <w:rPr>
      <w:lang w:val="en-US" w:eastAsia="en-AU"/>
    </w:rPr>
  </w:style>
  <w:style w:type="paragraph" w:styleId="DocumentMap">
    <w:name w:val="Document Map"/>
    <w:basedOn w:val="Normal"/>
    <w:link w:val="DocumentMapChar"/>
    <w:uiPriority w:val="99"/>
    <w:semiHidden/>
    <w:unhideWhenUsed/>
    <w:rsid w:val="00C9575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95755"/>
    <w:rPr>
      <w:rFonts w:ascii="Segoe UI" w:hAnsi="Segoe UI" w:cs="Segoe UI"/>
      <w:sz w:val="16"/>
      <w:szCs w:val="16"/>
      <w:lang w:val="en-US" w:eastAsia="en-AU"/>
    </w:rPr>
  </w:style>
  <w:style w:type="paragraph" w:styleId="E-mailSignature">
    <w:name w:val="E-mail Signature"/>
    <w:basedOn w:val="Normal"/>
    <w:link w:val="E-mailSignatureChar"/>
    <w:uiPriority w:val="99"/>
    <w:semiHidden/>
    <w:unhideWhenUsed/>
    <w:rsid w:val="00C95755"/>
    <w:pPr>
      <w:spacing w:after="0" w:line="240" w:lineRule="auto"/>
    </w:pPr>
  </w:style>
  <w:style w:type="character" w:customStyle="1" w:styleId="E-mailSignatureChar">
    <w:name w:val="E-mail Signature Char"/>
    <w:basedOn w:val="DefaultParagraphFont"/>
    <w:link w:val="E-mailSignature"/>
    <w:uiPriority w:val="99"/>
    <w:semiHidden/>
    <w:rsid w:val="00C95755"/>
    <w:rPr>
      <w:lang w:val="en-US" w:eastAsia="en-AU"/>
    </w:rPr>
  </w:style>
  <w:style w:type="paragraph" w:styleId="EnvelopeAddress">
    <w:name w:val="envelope address"/>
    <w:basedOn w:val="Normal"/>
    <w:uiPriority w:val="99"/>
    <w:semiHidden/>
    <w:unhideWhenUsed/>
    <w:rsid w:val="00C95755"/>
    <w:pPr>
      <w:framePr w:w="7920" w:h="1980" w:hRule="exact" w:hSpace="180" w:wrap="auto" w:hAnchor="page" w:xAlign="center" w:yAlign="bottom"/>
      <w:spacing w:after="0" w:line="240" w:lineRule="auto"/>
      <w:ind w:left="2880"/>
    </w:pPr>
    <w:rPr>
      <w:rFonts w:eastAsiaTheme="majorEastAsia" w:cstheme="majorBidi"/>
      <w:sz w:val="24"/>
      <w:szCs w:val="24"/>
    </w:rPr>
  </w:style>
  <w:style w:type="paragraph" w:styleId="EnvelopeReturn">
    <w:name w:val="envelope return"/>
    <w:basedOn w:val="Normal"/>
    <w:uiPriority w:val="99"/>
    <w:semiHidden/>
    <w:unhideWhenUsed/>
    <w:rsid w:val="00C95755"/>
    <w:pPr>
      <w:spacing w:after="0" w:line="240" w:lineRule="auto"/>
    </w:pPr>
    <w:rPr>
      <w:rFonts w:eastAsiaTheme="majorEastAsia" w:cstheme="majorBidi"/>
    </w:rPr>
  </w:style>
  <w:style w:type="paragraph" w:styleId="HTMLAddress">
    <w:name w:val="HTML Address"/>
    <w:basedOn w:val="Normal"/>
    <w:link w:val="HTMLAddressChar"/>
    <w:uiPriority w:val="99"/>
    <w:semiHidden/>
    <w:unhideWhenUsed/>
    <w:rsid w:val="00C95755"/>
    <w:pPr>
      <w:spacing w:after="0" w:line="240" w:lineRule="auto"/>
    </w:pPr>
    <w:rPr>
      <w:i/>
      <w:iCs/>
    </w:rPr>
  </w:style>
  <w:style w:type="character" w:customStyle="1" w:styleId="HTMLAddressChar">
    <w:name w:val="HTML Address Char"/>
    <w:basedOn w:val="DefaultParagraphFont"/>
    <w:link w:val="HTMLAddress"/>
    <w:uiPriority w:val="99"/>
    <w:semiHidden/>
    <w:rsid w:val="00C95755"/>
    <w:rPr>
      <w:i/>
      <w:iCs/>
      <w:lang w:val="en-US" w:eastAsia="en-AU"/>
    </w:rPr>
  </w:style>
  <w:style w:type="paragraph" w:styleId="HTMLPreformatted">
    <w:name w:val="HTML Preformatted"/>
    <w:basedOn w:val="Normal"/>
    <w:link w:val="HTMLPreformattedChar"/>
    <w:uiPriority w:val="99"/>
    <w:semiHidden/>
    <w:unhideWhenUsed/>
    <w:rsid w:val="00C95755"/>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C95755"/>
    <w:rPr>
      <w:rFonts w:ascii="Consolas" w:hAnsi="Consolas"/>
      <w:lang w:val="en-US" w:eastAsia="en-AU"/>
    </w:rPr>
  </w:style>
  <w:style w:type="paragraph" w:styleId="Index2">
    <w:name w:val="index 2"/>
    <w:basedOn w:val="Normal"/>
    <w:next w:val="Normal"/>
    <w:autoRedefine/>
    <w:uiPriority w:val="99"/>
    <w:semiHidden/>
    <w:unhideWhenUsed/>
    <w:rsid w:val="00C95755"/>
    <w:pPr>
      <w:spacing w:after="0" w:line="240" w:lineRule="auto"/>
      <w:ind w:left="400" w:hanging="200"/>
    </w:pPr>
  </w:style>
  <w:style w:type="paragraph" w:styleId="Index3">
    <w:name w:val="index 3"/>
    <w:basedOn w:val="Normal"/>
    <w:next w:val="Normal"/>
    <w:autoRedefine/>
    <w:uiPriority w:val="99"/>
    <w:semiHidden/>
    <w:unhideWhenUsed/>
    <w:rsid w:val="00C95755"/>
    <w:pPr>
      <w:spacing w:after="0" w:line="240" w:lineRule="auto"/>
      <w:ind w:left="600" w:hanging="200"/>
    </w:pPr>
  </w:style>
  <w:style w:type="paragraph" w:styleId="Index4">
    <w:name w:val="index 4"/>
    <w:basedOn w:val="Normal"/>
    <w:next w:val="Normal"/>
    <w:autoRedefine/>
    <w:uiPriority w:val="99"/>
    <w:semiHidden/>
    <w:unhideWhenUsed/>
    <w:rsid w:val="00C95755"/>
    <w:pPr>
      <w:spacing w:after="0" w:line="240" w:lineRule="auto"/>
      <w:ind w:left="800" w:hanging="200"/>
    </w:pPr>
  </w:style>
  <w:style w:type="paragraph" w:styleId="Index5">
    <w:name w:val="index 5"/>
    <w:basedOn w:val="Normal"/>
    <w:next w:val="Normal"/>
    <w:autoRedefine/>
    <w:uiPriority w:val="99"/>
    <w:semiHidden/>
    <w:unhideWhenUsed/>
    <w:rsid w:val="00C95755"/>
    <w:pPr>
      <w:spacing w:after="0" w:line="240" w:lineRule="auto"/>
      <w:ind w:left="1000" w:hanging="200"/>
    </w:pPr>
  </w:style>
  <w:style w:type="paragraph" w:styleId="Index6">
    <w:name w:val="index 6"/>
    <w:basedOn w:val="Normal"/>
    <w:next w:val="Normal"/>
    <w:autoRedefine/>
    <w:uiPriority w:val="99"/>
    <w:semiHidden/>
    <w:unhideWhenUsed/>
    <w:rsid w:val="00C95755"/>
    <w:pPr>
      <w:spacing w:after="0" w:line="240" w:lineRule="auto"/>
      <w:ind w:left="1200" w:hanging="200"/>
    </w:pPr>
  </w:style>
  <w:style w:type="paragraph" w:styleId="Index7">
    <w:name w:val="index 7"/>
    <w:basedOn w:val="Normal"/>
    <w:next w:val="Normal"/>
    <w:autoRedefine/>
    <w:uiPriority w:val="99"/>
    <w:semiHidden/>
    <w:unhideWhenUsed/>
    <w:rsid w:val="00C95755"/>
    <w:pPr>
      <w:spacing w:after="0" w:line="240" w:lineRule="auto"/>
      <w:ind w:left="1400" w:hanging="200"/>
    </w:pPr>
  </w:style>
  <w:style w:type="paragraph" w:styleId="Index8">
    <w:name w:val="index 8"/>
    <w:basedOn w:val="Normal"/>
    <w:next w:val="Normal"/>
    <w:autoRedefine/>
    <w:uiPriority w:val="99"/>
    <w:semiHidden/>
    <w:unhideWhenUsed/>
    <w:rsid w:val="00C95755"/>
    <w:pPr>
      <w:spacing w:after="0" w:line="240" w:lineRule="auto"/>
      <w:ind w:left="1600" w:hanging="200"/>
    </w:pPr>
  </w:style>
  <w:style w:type="paragraph" w:styleId="Index9">
    <w:name w:val="index 9"/>
    <w:basedOn w:val="Normal"/>
    <w:next w:val="Normal"/>
    <w:autoRedefine/>
    <w:uiPriority w:val="99"/>
    <w:semiHidden/>
    <w:unhideWhenUsed/>
    <w:rsid w:val="00C95755"/>
    <w:pPr>
      <w:spacing w:after="0" w:line="240" w:lineRule="auto"/>
      <w:ind w:left="1800" w:hanging="200"/>
    </w:pPr>
  </w:style>
  <w:style w:type="paragraph" w:styleId="List">
    <w:name w:val="List"/>
    <w:basedOn w:val="Normal"/>
    <w:uiPriority w:val="99"/>
    <w:semiHidden/>
    <w:unhideWhenUsed/>
    <w:rsid w:val="00C95755"/>
    <w:pPr>
      <w:ind w:left="283" w:hanging="283"/>
      <w:contextualSpacing/>
    </w:pPr>
  </w:style>
  <w:style w:type="paragraph" w:styleId="List2">
    <w:name w:val="List 2"/>
    <w:basedOn w:val="Normal"/>
    <w:uiPriority w:val="99"/>
    <w:semiHidden/>
    <w:unhideWhenUsed/>
    <w:rsid w:val="00C95755"/>
    <w:pPr>
      <w:ind w:left="566" w:hanging="283"/>
      <w:contextualSpacing/>
    </w:pPr>
  </w:style>
  <w:style w:type="paragraph" w:styleId="List3">
    <w:name w:val="List 3"/>
    <w:basedOn w:val="Normal"/>
    <w:uiPriority w:val="99"/>
    <w:semiHidden/>
    <w:unhideWhenUsed/>
    <w:rsid w:val="00C95755"/>
    <w:pPr>
      <w:ind w:left="849" w:hanging="283"/>
      <w:contextualSpacing/>
    </w:pPr>
  </w:style>
  <w:style w:type="paragraph" w:styleId="List4">
    <w:name w:val="List 4"/>
    <w:basedOn w:val="Normal"/>
    <w:uiPriority w:val="99"/>
    <w:semiHidden/>
    <w:unhideWhenUsed/>
    <w:rsid w:val="00C95755"/>
    <w:pPr>
      <w:ind w:left="1132" w:hanging="283"/>
      <w:contextualSpacing/>
    </w:pPr>
  </w:style>
  <w:style w:type="paragraph" w:styleId="List5">
    <w:name w:val="List 5"/>
    <w:basedOn w:val="Normal"/>
    <w:uiPriority w:val="99"/>
    <w:semiHidden/>
    <w:unhideWhenUsed/>
    <w:rsid w:val="00C95755"/>
    <w:pPr>
      <w:ind w:left="1415" w:hanging="283"/>
      <w:contextualSpacing/>
    </w:pPr>
  </w:style>
  <w:style w:type="paragraph" w:styleId="ListBullet4">
    <w:name w:val="List Bullet 4"/>
    <w:basedOn w:val="Normal"/>
    <w:uiPriority w:val="99"/>
    <w:semiHidden/>
    <w:unhideWhenUsed/>
    <w:rsid w:val="00C95755"/>
    <w:pPr>
      <w:numPr>
        <w:numId w:val="109"/>
      </w:numPr>
      <w:contextualSpacing/>
    </w:pPr>
  </w:style>
  <w:style w:type="paragraph" w:styleId="ListBullet5">
    <w:name w:val="List Bullet 5"/>
    <w:basedOn w:val="Normal"/>
    <w:uiPriority w:val="99"/>
    <w:semiHidden/>
    <w:unhideWhenUsed/>
    <w:rsid w:val="00C95755"/>
    <w:pPr>
      <w:numPr>
        <w:numId w:val="110"/>
      </w:numPr>
      <w:contextualSpacing/>
    </w:pPr>
  </w:style>
  <w:style w:type="paragraph" w:styleId="ListContinue">
    <w:name w:val="List Continue"/>
    <w:basedOn w:val="Normal"/>
    <w:uiPriority w:val="99"/>
    <w:semiHidden/>
    <w:unhideWhenUsed/>
    <w:rsid w:val="00C95755"/>
    <w:pPr>
      <w:spacing w:after="120"/>
      <w:ind w:left="283"/>
      <w:contextualSpacing/>
    </w:pPr>
  </w:style>
  <w:style w:type="paragraph" w:styleId="ListContinue2">
    <w:name w:val="List Continue 2"/>
    <w:basedOn w:val="Normal"/>
    <w:uiPriority w:val="99"/>
    <w:semiHidden/>
    <w:unhideWhenUsed/>
    <w:rsid w:val="00C95755"/>
    <w:pPr>
      <w:spacing w:after="120"/>
      <w:ind w:left="566"/>
      <w:contextualSpacing/>
    </w:pPr>
  </w:style>
  <w:style w:type="paragraph" w:styleId="ListContinue3">
    <w:name w:val="List Continue 3"/>
    <w:basedOn w:val="Normal"/>
    <w:uiPriority w:val="99"/>
    <w:semiHidden/>
    <w:unhideWhenUsed/>
    <w:rsid w:val="00C95755"/>
    <w:pPr>
      <w:spacing w:after="120"/>
      <w:ind w:left="849"/>
      <w:contextualSpacing/>
    </w:pPr>
  </w:style>
  <w:style w:type="paragraph" w:styleId="ListContinue4">
    <w:name w:val="List Continue 4"/>
    <w:basedOn w:val="Normal"/>
    <w:uiPriority w:val="99"/>
    <w:semiHidden/>
    <w:unhideWhenUsed/>
    <w:rsid w:val="00C95755"/>
    <w:pPr>
      <w:spacing w:after="120"/>
      <w:ind w:left="1132"/>
      <w:contextualSpacing/>
    </w:pPr>
  </w:style>
  <w:style w:type="paragraph" w:styleId="ListContinue5">
    <w:name w:val="List Continue 5"/>
    <w:basedOn w:val="Normal"/>
    <w:uiPriority w:val="99"/>
    <w:semiHidden/>
    <w:unhideWhenUsed/>
    <w:rsid w:val="00C95755"/>
    <w:pPr>
      <w:spacing w:after="120"/>
      <w:ind w:left="1415"/>
      <w:contextualSpacing/>
    </w:pPr>
  </w:style>
  <w:style w:type="paragraph" w:styleId="ListNumber5">
    <w:name w:val="List Number 5"/>
    <w:basedOn w:val="Normal"/>
    <w:uiPriority w:val="99"/>
    <w:semiHidden/>
    <w:unhideWhenUsed/>
    <w:rsid w:val="00C95755"/>
    <w:pPr>
      <w:numPr>
        <w:numId w:val="111"/>
      </w:numPr>
      <w:contextualSpacing/>
    </w:pPr>
  </w:style>
  <w:style w:type="paragraph" w:styleId="MacroText">
    <w:name w:val="macro"/>
    <w:link w:val="MacroTextChar"/>
    <w:uiPriority w:val="99"/>
    <w:semiHidden/>
    <w:unhideWhenUsed/>
    <w:rsid w:val="00C95755"/>
    <w:pPr>
      <w:tabs>
        <w:tab w:val="left" w:pos="480"/>
        <w:tab w:val="left" w:pos="960"/>
        <w:tab w:val="left" w:pos="1440"/>
        <w:tab w:val="left" w:pos="1920"/>
        <w:tab w:val="left" w:pos="2400"/>
        <w:tab w:val="left" w:pos="2880"/>
        <w:tab w:val="left" w:pos="3360"/>
        <w:tab w:val="left" w:pos="3840"/>
        <w:tab w:val="left" w:pos="4320"/>
      </w:tabs>
      <w:spacing w:before="0" w:after="0" w:line="280" w:lineRule="atLeast"/>
    </w:pPr>
    <w:rPr>
      <w:rFonts w:ascii="Consolas" w:hAnsi="Consolas"/>
      <w:lang w:val="en-US" w:eastAsia="en-AU"/>
    </w:rPr>
  </w:style>
  <w:style w:type="character" w:customStyle="1" w:styleId="MacroTextChar">
    <w:name w:val="Macro Text Char"/>
    <w:basedOn w:val="DefaultParagraphFont"/>
    <w:link w:val="MacroText"/>
    <w:uiPriority w:val="99"/>
    <w:semiHidden/>
    <w:rsid w:val="00C95755"/>
    <w:rPr>
      <w:rFonts w:ascii="Consolas" w:hAnsi="Consolas"/>
      <w:lang w:val="en-US" w:eastAsia="en-AU"/>
    </w:rPr>
  </w:style>
  <w:style w:type="paragraph" w:styleId="MessageHeader">
    <w:name w:val="Message Header"/>
    <w:basedOn w:val="Normal"/>
    <w:link w:val="MessageHeaderChar"/>
    <w:uiPriority w:val="99"/>
    <w:semiHidden/>
    <w:unhideWhenUsed/>
    <w:rsid w:val="00C9575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C95755"/>
    <w:rPr>
      <w:rFonts w:eastAsiaTheme="majorEastAsia" w:cstheme="majorBidi"/>
      <w:sz w:val="24"/>
      <w:szCs w:val="24"/>
      <w:shd w:val="pct20" w:color="auto" w:fill="auto"/>
      <w:lang w:val="en-US" w:eastAsia="en-AU"/>
    </w:rPr>
  </w:style>
  <w:style w:type="paragraph" w:styleId="NormalIndent">
    <w:name w:val="Normal Indent"/>
    <w:basedOn w:val="Normal"/>
    <w:uiPriority w:val="99"/>
    <w:semiHidden/>
    <w:unhideWhenUsed/>
    <w:rsid w:val="00C95755"/>
    <w:pPr>
      <w:ind w:left="720"/>
    </w:pPr>
  </w:style>
  <w:style w:type="paragraph" w:styleId="NoteHeading">
    <w:name w:val="Note Heading"/>
    <w:basedOn w:val="Normal"/>
    <w:next w:val="Normal"/>
    <w:link w:val="NoteHeadingChar"/>
    <w:uiPriority w:val="99"/>
    <w:semiHidden/>
    <w:unhideWhenUsed/>
    <w:rsid w:val="00C95755"/>
    <w:pPr>
      <w:spacing w:after="0" w:line="240" w:lineRule="auto"/>
    </w:pPr>
  </w:style>
  <w:style w:type="character" w:customStyle="1" w:styleId="NoteHeadingChar">
    <w:name w:val="Note Heading Char"/>
    <w:basedOn w:val="DefaultParagraphFont"/>
    <w:link w:val="NoteHeading"/>
    <w:uiPriority w:val="99"/>
    <w:semiHidden/>
    <w:rsid w:val="00C95755"/>
    <w:rPr>
      <w:lang w:val="en-US" w:eastAsia="en-AU"/>
    </w:rPr>
  </w:style>
  <w:style w:type="paragraph" w:styleId="Salutation">
    <w:name w:val="Salutation"/>
    <w:basedOn w:val="Normal"/>
    <w:next w:val="Normal"/>
    <w:link w:val="SalutationChar"/>
    <w:uiPriority w:val="99"/>
    <w:semiHidden/>
    <w:unhideWhenUsed/>
    <w:rsid w:val="00C95755"/>
  </w:style>
  <w:style w:type="character" w:customStyle="1" w:styleId="SalutationChar">
    <w:name w:val="Salutation Char"/>
    <w:basedOn w:val="DefaultParagraphFont"/>
    <w:link w:val="Salutation"/>
    <w:uiPriority w:val="99"/>
    <w:semiHidden/>
    <w:rsid w:val="00C95755"/>
    <w:rPr>
      <w:lang w:val="en-US" w:eastAsia="en-AU"/>
    </w:rPr>
  </w:style>
  <w:style w:type="paragraph" w:styleId="Signature">
    <w:name w:val="Signature"/>
    <w:basedOn w:val="Normal"/>
    <w:link w:val="SignatureChar"/>
    <w:uiPriority w:val="99"/>
    <w:semiHidden/>
    <w:unhideWhenUsed/>
    <w:rsid w:val="00C95755"/>
    <w:pPr>
      <w:spacing w:after="0" w:line="240" w:lineRule="auto"/>
      <w:ind w:left="4252"/>
    </w:pPr>
  </w:style>
  <w:style w:type="character" w:customStyle="1" w:styleId="SignatureChar">
    <w:name w:val="Signature Char"/>
    <w:basedOn w:val="DefaultParagraphFont"/>
    <w:link w:val="Signature"/>
    <w:uiPriority w:val="99"/>
    <w:semiHidden/>
    <w:rsid w:val="00C95755"/>
    <w:rPr>
      <w:lang w:val="en-US" w:eastAsia="en-AU"/>
    </w:rPr>
  </w:style>
  <w:style w:type="paragraph" w:styleId="TableofAuthorities">
    <w:name w:val="table of authorities"/>
    <w:basedOn w:val="Normal"/>
    <w:next w:val="Normal"/>
    <w:uiPriority w:val="99"/>
    <w:semiHidden/>
    <w:unhideWhenUsed/>
    <w:rsid w:val="00C95755"/>
    <w:pPr>
      <w:spacing w:after="0"/>
      <w:ind w:left="200" w:hanging="200"/>
    </w:pPr>
  </w:style>
  <w:style w:type="paragraph" w:styleId="TOAHeading">
    <w:name w:val="toa heading"/>
    <w:basedOn w:val="Normal"/>
    <w:next w:val="Normal"/>
    <w:uiPriority w:val="99"/>
    <w:semiHidden/>
    <w:unhideWhenUsed/>
    <w:rsid w:val="00C95755"/>
    <w:pPr>
      <w:spacing w:before="120"/>
    </w:pPr>
    <w:rPr>
      <w:rFonts w:eastAsiaTheme="majorEastAsia"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231">
      <w:bodyDiv w:val="1"/>
      <w:marLeft w:val="0"/>
      <w:marRight w:val="0"/>
      <w:marTop w:val="0"/>
      <w:marBottom w:val="0"/>
      <w:divBdr>
        <w:top w:val="none" w:sz="0" w:space="0" w:color="auto"/>
        <w:left w:val="none" w:sz="0" w:space="0" w:color="auto"/>
        <w:bottom w:val="none" w:sz="0" w:space="0" w:color="auto"/>
        <w:right w:val="none" w:sz="0" w:space="0" w:color="auto"/>
      </w:divBdr>
    </w:div>
    <w:div w:id="170072909">
      <w:bodyDiv w:val="1"/>
      <w:marLeft w:val="0"/>
      <w:marRight w:val="0"/>
      <w:marTop w:val="0"/>
      <w:marBottom w:val="0"/>
      <w:divBdr>
        <w:top w:val="none" w:sz="0" w:space="0" w:color="auto"/>
        <w:left w:val="none" w:sz="0" w:space="0" w:color="auto"/>
        <w:bottom w:val="none" w:sz="0" w:space="0" w:color="auto"/>
        <w:right w:val="none" w:sz="0" w:space="0" w:color="auto"/>
      </w:divBdr>
    </w:div>
    <w:div w:id="225263202">
      <w:bodyDiv w:val="1"/>
      <w:marLeft w:val="0"/>
      <w:marRight w:val="0"/>
      <w:marTop w:val="0"/>
      <w:marBottom w:val="0"/>
      <w:divBdr>
        <w:top w:val="none" w:sz="0" w:space="0" w:color="auto"/>
        <w:left w:val="none" w:sz="0" w:space="0" w:color="auto"/>
        <w:bottom w:val="none" w:sz="0" w:space="0" w:color="auto"/>
        <w:right w:val="none" w:sz="0" w:space="0" w:color="auto"/>
      </w:divBdr>
    </w:div>
    <w:div w:id="565802505">
      <w:bodyDiv w:val="1"/>
      <w:marLeft w:val="0"/>
      <w:marRight w:val="0"/>
      <w:marTop w:val="0"/>
      <w:marBottom w:val="0"/>
      <w:divBdr>
        <w:top w:val="none" w:sz="0" w:space="0" w:color="auto"/>
        <w:left w:val="none" w:sz="0" w:space="0" w:color="auto"/>
        <w:bottom w:val="none" w:sz="0" w:space="0" w:color="auto"/>
        <w:right w:val="none" w:sz="0" w:space="0" w:color="auto"/>
      </w:divBdr>
    </w:div>
    <w:div w:id="742802818">
      <w:bodyDiv w:val="1"/>
      <w:marLeft w:val="0"/>
      <w:marRight w:val="0"/>
      <w:marTop w:val="0"/>
      <w:marBottom w:val="0"/>
      <w:divBdr>
        <w:top w:val="none" w:sz="0" w:space="0" w:color="auto"/>
        <w:left w:val="none" w:sz="0" w:space="0" w:color="auto"/>
        <w:bottom w:val="none" w:sz="0" w:space="0" w:color="auto"/>
        <w:right w:val="none" w:sz="0" w:space="0" w:color="auto"/>
      </w:divBdr>
    </w:div>
    <w:div w:id="776365894">
      <w:bodyDiv w:val="1"/>
      <w:marLeft w:val="0"/>
      <w:marRight w:val="0"/>
      <w:marTop w:val="0"/>
      <w:marBottom w:val="0"/>
      <w:divBdr>
        <w:top w:val="none" w:sz="0" w:space="0" w:color="auto"/>
        <w:left w:val="none" w:sz="0" w:space="0" w:color="auto"/>
        <w:bottom w:val="none" w:sz="0" w:space="0" w:color="auto"/>
        <w:right w:val="none" w:sz="0" w:space="0" w:color="auto"/>
      </w:divBdr>
    </w:div>
    <w:div w:id="838424019">
      <w:bodyDiv w:val="1"/>
      <w:marLeft w:val="0"/>
      <w:marRight w:val="0"/>
      <w:marTop w:val="0"/>
      <w:marBottom w:val="0"/>
      <w:divBdr>
        <w:top w:val="none" w:sz="0" w:space="0" w:color="auto"/>
        <w:left w:val="none" w:sz="0" w:space="0" w:color="auto"/>
        <w:bottom w:val="none" w:sz="0" w:space="0" w:color="auto"/>
        <w:right w:val="none" w:sz="0" w:space="0" w:color="auto"/>
      </w:divBdr>
    </w:div>
    <w:div w:id="1092623846">
      <w:bodyDiv w:val="1"/>
      <w:marLeft w:val="0"/>
      <w:marRight w:val="0"/>
      <w:marTop w:val="0"/>
      <w:marBottom w:val="0"/>
      <w:divBdr>
        <w:top w:val="none" w:sz="0" w:space="0" w:color="auto"/>
        <w:left w:val="none" w:sz="0" w:space="0" w:color="auto"/>
        <w:bottom w:val="none" w:sz="0" w:space="0" w:color="auto"/>
        <w:right w:val="none" w:sz="0" w:space="0" w:color="auto"/>
      </w:divBdr>
    </w:div>
    <w:div w:id="1180237888">
      <w:bodyDiv w:val="1"/>
      <w:marLeft w:val="0"/>
      <w:marRight w:val="0"/>
      <w:marTop w:val="0"/>
      <w:marBottom w:val="0"/>
      <w:divBdr>
        <w:top w:val="none" w:sz="0" w:space="0" w:color="auto"/>
        <w:left w:val="none" w:sz="0" w:space="0" w:color="auto"/>
        <w:bottom w:val="none" w:sz="0" w:space="0" w:color="auto"/>
        <w:right w:val="none" w:sz="0" w:space="0" w:color="auto"/>
      </w:divBdr>
    </w:div>
    <w:div w:id="1207061194">
      <w:bodyDiv w:val="1"/>
      <w:marLeft w:val="0"/>
      <w:marRight w:val="0"/>
      <w:marTop w:val="0"/>
      <w:marBottom w:val="0"/>
      <w:divBdr>
        <w:top w:val="none" w:sz="0" w:space="0" w:color="auto"/>
        <w:left w:val="none" w:sz="0" w:space="0" w:color="auto"/>
        <w:bottom w:val="none" w:sz="0" w:space="0" w:color="auto"/>
        <w:right w:val="none" w:sz="0" w:space="0" w:color="auto"/>
      </w:divBdr>
    </w:div>
    <w:div w:id="1285036809">
      <w:bodyDiv w:val="1"/>
      <w:marLeft w:val="0"/>
      <w:marRight w:val="0"/>
      <w:marTop w:val="0"/>
      <w:marBottom w:val="0"/>
      <w:divBdr>
        <w:top w:val="none" w:sz="0" w:space="0" w:color="auto"/>
        <w:left w:val="none" w:sz="0" w:space="0" w:color="auto"/>
        <w:bottom w:val="none" w:sz="0" w:space="0" w:color="auto"/>
        <w:right w:val="none" w:sz="0" w:space="0" w:color="auto"/>
      </w:divBdr>
      <w:divsChild>
        <w:div w:id="1851529295">
          <w:marLeft w:val="0"/>
          <w:marRight w:val="0"/>
          <w:marTop w:val="0"/>
          <w:marBottom w:val="0"/>
          <w:divBdr>
            <w:top w:val="none" w:sz="0" w:space="0" w:color="auto"/>
            <w:left w:val="none" w:sz="0" w:space="0" w:color="auto"/>
            <w:bottom w:val="none" w:sz="0" w:space="0" w:color="auto"/>
            <w:right w:val="none" w:sz="0" w:space="0" w:color="auto"/>
          </w:divBdr>
          <w:divsChild>
            <w:div w:id="26104199">
              <w:marLeft w:val="0"/>
              <w:marRight w:val="0"/>
              <w:marTop w:val="120"/>
              <w:marBottom w:val="0"/>
              <w:divBdr>
                <w:top w:val="none" w:sz="0" w:space="0" w:color="auto"/>
                <w:left w:val="none" w:sz="0" w:space="0" w:color="auto"/>
                <w:bottom w:val="none" w:sz="0" w:space="0" w:color="auto"/>
                <w:right w:val="none" w:sz="0" w:space="0" w:color="auto"/>
              </w:divBdr>
            </w:div>
            <w:div w:id="143550814">
              <w:marLeft w:val="0"/>
              <w:marRight w:val="0"/>
              <w:marTop w:val="120"/>
              <w:marBottom w:val="0"/>
              <w:divBdr>
                <w:top w:val="none" w:sz="0" w:space="0" w:color="auto"/>
                <w:left w:val="none" w:sz="0" w:space="0" w:color="auto"/>
                <w:bottom w:val="none" w:sz="0" w:space="0" w:color="auto"/>
                <w:right w:val="none" w:sz="0" w:space="0" w:color="auto"/>
              </w:divBdr>
            </w:div>
            <w:div w:id="165947649">
              <w:marLeft w:val="0"/>
              <w:marRight w:val="0"/>
              <w:marTop w:val="120"/>
              <w:marBottom w:val="0"/>
              <w:divBdr>
                <w:top w:val="none" w:sz="0" w:space="0" w:color="auto"/>
                <w:left w:val="none" w:sz="0" w:space="0" w:color="auto"/>
                <w:bottom w:val="none" w:sz="0" w:space="0" w:color="auto"/>
                <w:right w:val="none" w:sz="0" w:space="0" w:color="auto"/>
              </w:divBdr>
            </w:div>
            <w:div w:id="171797161">
              <w:marLeft w:val="0"/>
              <w:marRight w:val="0"/>
              <w:marTop w:val="120"/>
              <w:marBottom w:val="0"/>
              <w:divBdr>
                <w:top w:val="none" w:sz="0" w:space="0" w:color="auto"/>
                <w:left w:val="none" w:sz="0" w:space="0" w:color="auto"/>
                <w:bottom w:val="none" w:sz="0" w:space="0" w:color="auto"/>
                <w:right w:val="none" w:sz="0" w:space="0" w:color="auto"/>
              </w:divBdr>
            </w:div>
            <w:div w:id="228228519">
              <w:marLeft w:val="0"/>
              <w:marRight w:val="0"/>
              <w:marTop w:val="120"/>
              <w:marBottom w:val="0"/>
              <w:divBdr>
                <w:top w:val="none" w:sz="0" w:space="0" w:color="auto"/>
                <w:left w:val="none" w:sz="0" w:space="0" w:color="auto"/>
                <w:bottom w:val="none" w:sz="0" w:space="0" w:color="auto"/>
                <w:right w:val="none" w:sz="0" w:space="0" w:color="auto"/>
              </w:divBdr>
            </w:div>
            <w:div w:id="344983581">
              <w:marLeft w:val="0"/>
              <w:marRight w:val="0"/>
              <w:marTop w:val="120"/>
              <w:marBottom w:val="0"/>
              <w:divBdr>
                <w:top w:val="none" w:sz="0" w:space="0" w:color="auto"/>
                <w:left w:val="none" w:sz="0" w:space="0" w:color="auto"/>
                <w:bottom w:val="none" w:sz="0" w:space="0" w:color="auto"/>
                <w:right w:val="none" w:sz="0" w:space="0" w:color="auto"/>
              </w:divBdr>
            </w:div>
            <w:div w:id="456484318">
              <w:marLeft w:val="0"/>
              <w:marRight w:val="0"/>
              <w:marTop w:val="120"/>
              <w:marBottom w:val="0"/>
              <w:divBdr>
                <w:top w:val="none" w:sz="0" w:space="0" w:color="auto"/>
                <w:left w:val="none" w:sz="0" w:space="0" w:color="auto"/>
                <w:bottom w:val="none" w:sz="0" w:space="0" w:color="auto"/>
                <w:right w:val="none" w:sz="0" w:space="0" w:color="auto"/>
              </w:divBdr>
            </w:div>
            <w:div w:id="480270483">
              <w:marLeft w:val="0"/>
              <w:marRight w:val="0"/>
              <w:marTop w:val="120"/>
              <w:marBottom w:val="0"/>
              <w:divBdr>
                <w:top w:val="none" w:sz="0" w:space="0" w:color="auto"/>
                <w:left w:val="none" w:sz="0" w:space="0" w:color="auto"/>
                <w:bottom w:val="none" w:sz="0" w:space="0" w:color="auto"/>
                <w:right w:val="none" w:sz="0" w:space="0" w:color="auto"/>
              </w:divBdr>
            </w:div>
            <w:div w:id="566770968">
              <w:marLeft w:val="0"/>
              <w:marRight w:val="0"/>
              <w:marTop w:val="120"/>
              <w:marBottom w:val="0"/>
              <w:divBdr>
                <w:top w:val="none" w:sz="0" w:space="0" w:color="auto"/>
                <w:left w:val="none" w:sz="0" w:space="0" w:color="auto"/>
                <w:bottom w:val="none" w:sz="0" w:space="0" w:color="auto"/>
                <w:right w:val="none" w:sz="0" w:space="0" w:color="auto"/>
              </w:divBdr>
            </w:div>
            <w:div w:id="804734760">
              <w:marLeft w:val="0"/>
              <w:marRight w:val="0"/>
              <w:marTop w:val="120"/>
              <w:marBottom w:val="0"/>
              <w:divBdr>
                <w:top w:val="none" w:sz="0" w:space="0" w:color="auto"/>
                <w:left w:val="none" w:sz="0" w:space="0" w:color="auto"/>
                <w:bottom w:val="none" w:sz="0" w:space="0" w:color="auto"/>
                <w:right w:val="none" w:sz="0" w:space="0" w:color="auto"/>
              </w:divBdr>
            </w:div>
            <w:div w:id="932936631">
              <w:marLeft w:val="0"/>
              <w:marRight w:val="0"/>
              <w:marTop w:val="120"/>
              <w:marBottom w:val="0"/>
              <w:divBdr>
                <w:top w:val="none" w:sz="0" w:space="0" w:color="auto"/>
                <w:left w:val="none" w:sz="0" w:space="0" w:color="auto"/>
                <w:bottom w:val="none" w:sz="0" w:space="0" w:color="auto"/>
                <w:right w:val="none" w:sz="0" w:space="0" w:color="auto"/>
              </w:divBdr>
            </w:div>
            <w:div w:id="990254387">
              <w:marLeft w:val="0"/>
              <w:marRight w:val="0"/>
              <w:marTop w:val="120"/>
              <w:marBottom w:val="0"/>
              <w:divBdr>
                <w:top w:val="none" w:sz="0" w:space="0" w:color="auto"/>
                <w:left w:val="none" w:sz="0" w:space="0" w:color="auto"/>
                <w:bottom w:val="none" w:sz="0" w:space="0" w:color="auto"/>
                <w:right w:val="none" w:sz="0" w:space="0" w:color="auto"/>
              </w:divBdr>
            </w:div>
            <w:div w:id="990668973">
              <w:marLeft w:val="0"/>
              <w:marRight w:val="0"/>
              <w:marTop w:val="120"/>
              <w:marBottom w:val="0"/>
              <w:divBdr>
                <w:top w:val="none" w:sz="0" w:space="0" w:color="auto"/>
                <w:left w:val="none" w:sz="0" w:space="0" w:color="auto"/>
                <w:bottom w:val="none" w:sz="0" w:space="0" w:color="auto"/>
                <w:right w:val="none" w:sz="0" w:space="0" w:color="auto"/>
              </w:divBdr>
            </w:div>
            <w:div w:id="1270548714">
              <w:marLeft w:val="0"/>
              <w:marRight w:val="0"/>
              <w:marTop w:val="0"/>
              <w:marBottom w:val="0"/>
              <w:divBdr>
                <w:top w:val="none" w:sz="0" w:space="0" w:color="auto"/>
                <w:left w:val="none" w:sz="0" w:space="0" w:color="auto"/>
                <w:bottom w:val="none" w:sz="0" w:space="0" w:color="auto"/>
                <w:right w:val="none" w:sz="0" w:space="0" w:color="auto"/>
              </w:divBdr>
            </w:div>
            <w:div w:id="1293556012">
              <w:marLeft w:val="0"/>
              <w:marRight w:val="0"/>
              <w:marTop w:val="120"/>
              <w:marBottom w:val="0"/>
              <w:divBdr>
                <w:top w:val="none" w:sz="0" w:space="0" w:color="auto"/>
                <w:left w:val="none" w:sz="0" w:space="0" w:color="auto"/>
                <w:bottom w:val="none" w:sz="0" w:space="0" w:color="auto"/>
                <w:right w:val="none" w:sz="0" w:space="0" w:color="auto"/>
              </w:divBdr>
            </w:div>
            <w:div w:id="1305509013">
              <w:marLeft w:val="0"/>
              <w:marRight w:val="0"/>
              <w:marTop w:val="120"/>
              <w:marBottom w:val="0"/>
              <w:divBdr>
                <w:top w:val="none" w:sz="0" w:space="0" w:color="auto"/>
                <w:left w:val="none" w:sz="0" w:space="0" w:color="auto"/>
                <w:bottom w:val="none" w:sz="0" w:space="0" w:color="auto"/>
                <w:right w:val="none" w:sz="0" w:space="0" w:color="auto"/>
              </w:divBdr>
            </w:div>
            <w:div w:id="1334071776">
              <w:marLeft w:val="0"/>
              <w:marRight w:val="0"/>
              <w:marTop w:val="120"/>
              <w:marBottom w:val="0"/>
              <w:divBdr>
                <w:top w:val="none" w:sz="0" w:space="0" w:color="auto"/>
                <w:left w:val="none" w:sz="0" w:space="0" w:color="auto"/>
                <w:bottom w:val="none" w:sz="0" w:space="0" w:color="auto"/>
                <w:right w:val="none" w:sz="0" w:space="0" w:color="auto"/>
              </w:divBdr>
            </w:div>
            <w:div w:id="1349987164">
              <w:marLeft w:val="0"/>
              <w:marRight w:val="0"/>
              <w:marTop w:val="120"/>
              <w:marBottom w:val="0"/>
              <w:divBdr>
                <w:top w:val="none" w:sz="0" w:space="0" w:color="auto"/>
                <w:left w:val="none" w:sz="0" w:space="0" w:color="auto"/>
                <w:bottom w:val="none" w:sz="0" w:space="0" w:color="auto"/>
                <w:right w:val="none" w:sz="0" w:space="0" w:color="auto"/>
              </w:divBdr>
            </w:div>
            <w:div w:id="1416324111">
              <w:marLeft w:val="0"/>
              <w:marRight w:val="0"/>
              <w:marTop w:val="120"/>
              <w:marBottom w:val="0"/>
              <w:divBdr>
                <w:top w:val="none" w:sz="0" w:space="0" w:color="auto"/>
                <w:left w:val="none" w:sz="0" w:space="0" w:color="auto"/>
                <w:bottom w:val="none" w:sz="0" w:space="0" w:color="auto"/>
                <w:right w:val="none" w:sz="0" w:space="0" w:color="auto"/>
              </w:divBdr>
            </w:div>
            <w:div w:id="1416587061">
              <w:marLeft w:val="0"/>
              <w:marRight w:val="0"/>
              <w:marTop w:val="120"/>
              <w:marBottom w:val="0"/>
              <w:divBdr>
                <w:top w:val="none" w:sz="0" w:space="0" w:color="auto"/>
                <w:left w:val="none" w:sz="0" w:space="0" w:color="auto"/>
                <w:bottom w:val="none" w:sz="0" w:space="0" w:color="auto"/>
                <w:right w:val="none" w:sz="0" w:space="0" w:color="auto"/>
              </w:divBdr>
            </w:div>
            <w:div w:id="1429815260">
              <w:marLeft w:val="0"/>
              <w:marRight w:val="0"/>
              <w:marTop w:val="120"/>
              <w:marBottom w:val="0"/>
              <w:divBdr>
                <w:top w:val="none" w:sz="0" w:space="0" w:color="auto"/>
                <w:left w:val="none" w:sz="0" w:space="0" w:color="auto"/>
                <w:bottom w:val="none" w:sz="0" w:space="0" w:color="auto"/>
                <w:right w:val="none" w:sz="0" w:space="0" w:color="auto"/>
              </w:divBdr>
            </w:div>
            <w:div w:id="1485513913">
              <w:marLeft w:val="0"/>
              <w:marRight w:val="0"/>
              <w:marTop w:val="120"/>
              <w:marBottom w:val="0"/>
              <w:divBdr>
                <w:top w:val="none" w:sz="0" w:space="0" w:color="auto"/>
                <w:left w:val="none" w:sz="0" w:space="0" w:color="auto"/>
                <w:bottom w:val="none" w:sz="0" w:space="0" w:color="auto"/>
                <w:right w:val="none" w:sz="0" w:space="0" w:color="auto"/>
              </w:divBdr>
            </w:div>
            <w:div w:id="1523784958">
              <w:marLeft w:val="0"/>
              <w:marRight w:val="0"/>
              <w:marTop w:val="120"/>
              <w:marBottom w:val="0"/>
              <w:divBdr>
                <w:top w:val="none" w:sz="0" w:space="0" w:color="auto"/>
                <w:left w:val="none" w:sz="0" w:space="0" w:color="auto"/>
                <w:bottom w:val="none" w:sz="0" w:space="0" w:color="auto"/>
                <w:right w:val="none" w:sz="0" w:space="0" w:color="auto"/>
              </w:divBdr>
            </w:div>
            <w:div w:id="1602956400">
              <w:marLeft w:val="0"/>
              <w:marRight w:val="0"/>
              <w:marTop w:val="120"/>
              <w:marBottom w:val="0"/>
              <w:divBdr>
                <w:top w:val="none" w:sz="0" w:space="0" w:color="auto"/>
                <w:left w:val="none" w:sz="0" w:space="0" w:color="auto"/>
                <w:bottom w:val="none" w:sz="0" w:space="0" w:color="auto"/>
                <w:right w:val="none" w:sz="0" w:space="0" w:color="auto"/>
              </w:divBdr>
            </w:div>
            <w:div w:id="1828474159">
              <w:marLeft w:val="0"/>
              <w:marRight w:val="0"/>
              <w:marTop w:val="120"/>
              <w:marBottom w:val="0"/>
              <w:divBdr>
                <w:top w:val="none" w:sz="0" w:space="0" w:color="auto"/>
                <w:left w:val="none" w:sz="0" w:space="0" w:color="auto"/>
                <w:bottom w:val="none" w:sz="0" w:space="0" w:color="auto"/>
                <w:right w:val="none" w:sz="0" w:space="0" w:color="auto"/>
              </w:divBdr>
            </w:div>
            <w:div w:id="1855684149">
              <w:marLeft w:val="0"/>
              <w:marRight w:val="0"/>
              <w:marTop w:val="120"/>
              <w:marBottom w:val="0"/>
              <w:divBdr>
                <w:top w:val="none" w:sz="0" w:space="0" w:color="auto"/>
                <w:left w:val="none" w:sz="0" w:space="0" w:color="auto"/>
                <w:bottom w:val="none" w:sz="0" w:space="0" w:color="auto"/>
                <w:right w:val="none" w:sz="0" w:space="0" w:color="auto"/>
              </w:divBdr>
            </w:div>
            <w:div w:id="1988390268">
              <w:marLeft w:val="0"/>
              <w:marRight w:val="0"/>
              <w:marTop w:val="120"/>
              <w:marBottom w:val="0"/>
              <w:divBdr>
                <w:top w:val="none" w:sz="0" w:space="0" w:color="auto"/>
                <w:left w:val="none" w:sz="0" w:space="0" w:color="auto"/>
                <w:bottom w:val="none" w:sz="0" w:space="0" w:color="auto"/>
                <w:right w:val="none" w:sz="0" w:space="0" w:color="auto"/>
              </w:divBdr>
            </w:div>
            <w:div w:id="2011253625">
              <w:marLeft w:val="0"/>
              <w:marRight w:val="0"/>
              <w:marTop w:val="120"/>
              <w:marBottom w:val="0"/>
              <w:divBdr>
                <w:top w:val="none" w:sz="0" w:space="0" w:color="auto"/>
                <w:left w:val="none" w:sz="0" w:space="0" w:color="auto"/>
                <w:bottom w:val="none" w:sz="0" w:space="0" w:color="auto"/>
                <w:right w:val="none" w:sz="0" w:space="0" w:color="auto"/>
              </w:divBdr>
            </w:div>
            <w:div w:id="20590818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92252139">
      <w:bodyDiv w:val="1"/>
      <w:marLeft w:val="0"/>
      <w:marRight w:val="0"/>
      <w:marTop w:val="0"/>
      <w:marBottom w:val="0"/>
      <w:divBdr>
        <w:top w:val="none" w:sz="0" w:space="0" w:color="auto"/>
        <w:left w:val="none" w:sz="0" w:space="0" w:color="auto"/>
        <w:bottom w:val="none" w:sz="0" w:space="0" w:color="auto"/>
        <w:right w:val="none" w:sz="0" w:space="0" w:color="auto"/>
      </w:divBdr>
    </w:div>
    <w:div w:id="1475023219">
      <w:bodyDiv w:val="1"/>
      <w:marLeft w:val="0"/>
      <w:marRight w:val="0"/>
      <w:marTop w:val="0"/>
      <w:marBottom w:val="0"/>
      <w:divBdr>
        <w:top w:val="none" w:sz="0" w:space="0" w:color="auto"/>
        <w:left w:val="none" w:sz="0" w:space="0" w:color="auto"/>
        <w:bottom w:val="none" w:sz="0" w:space="0" w:color="auto"/>
        <w:right w:val="none" w:sz="0" w:space="0" w:color="auto"/>
      </w:divBdr>
    </w:div>
    <w:div w:id="1508519974">
      <w:bodyDiv w:val="1"/>
      <w:marLeft w:val="0"/>
      <w:marRight w:val="0"/>
      <w:marTop w:val="0"/>
      <w:marBottom w:val="0"/>
      <w:divBdr>
        <w:top w:val="none" w:sz="0" w:space="0" w:color="auto"/>
        <w:left w:val="none" w:sz="0" w:space="0" w:color="auto"/>
        <w:bottom w:val="none" w:sz="0" w:space="0" w:color="auto"/>
        <w:right w:val="none" w:sz="0" w:space="0" w:color="auto"/>
      </w:divBdr>
    </w:div>
    <w:div w:id="1561943801">
      <w:bodyDiv w:val="1"/>
      <w:marLeft w:val="0"/>
      <w:marRight w:val="0"/>
      <w:marTop w:val="0"/>
      <w:marBottom w:val="0"/>
      <w:divBdr>
        <w:top w:val="none" w:sz="0" w:space="0" w:color="auto"/>
        <w:left w:val="none" w:sz="0" w:space="0" w:color="auto"/>
        <w:bottom w:val="none" w:sz="0" w:space="0" w:color="auto"/>
        <w:right w:val="none" w:sz="0" w:space="0" w:color="auto"/>
      </w:divBdr>
    </w:div>
    <w:div w:id="1724674510">
      <w:bodyDiv w:val="1"/>
      <w:marLeft w:val="0"/>
      <w:marRight w:val="0"/>
      <w:marTop w:val="0"/>
      <w:marBottom w:val="0"/>
      <w:divBdr>
        <w:top w:val="none" w:sz="0" w:space="0" w:color="auto"/>
        <w:left w:val="none" w:sz="0" w:space="0" w:color="auto"/>
        <w:bottom w:val="none" w:sz="0" w:space="0" w:color="auto"/>
        <w:right w:val="none" w:sz="0" w:space="0" w:color="auto"/>
      </w:divBdr>
    </w:div>
    <w:div w:id="1744912855">
      <w:bodyDiv w:val="1"/>
      <w:marLeft w:val="0"/>
      <w:marRight w:val="0"/>
      <w:marTop w:val="0"/>
      <w:marBottom w:val="0"/>
      <w:divBdr>
        <w:top w:val="none" w:sz="0" w:space="0" w:color="auto"/>
        <w:left w:val="none" w:sz="0" w:space="0" w:color="auto"/>
        <w:bottom w:val="none" w:sz="0" w:space="0" w:color="auto"/>
        <w:right w:val="none" w:sz="0" w:space="0" w:color="auto"/>
      </w:divBdr>
    </w:div>
    <w:div w:id="1770923928">
      <w:bodyDiv w:val="1"/>
      <w:marLeft w:val="0"/>
      <w:marRight w:val="0"/>
      <w:marTop w:val="0"/>
      <w:marBottom w:val="0"/>
      <w:divBdr>
        <w:top w:val="none" w:sz="0" w:space="0" w:color="auto"/>
        <w:left w:val="none" w:sz="0" w:space="0" w:color="auto"/>
        <w:bottom w:val="none" w:sz="0" w:space="0" w:color="auto"/>
        <w:right w:val="none" w:sz="0" w:space="0" w:color="auto"/>
      </w:divBdr>
      <w:divsChild>
        <w:div w:id="642806172">
          <w:marLeft w:val="0"/>
          <w:marRight w:val="0"/>
          <w:marTop w:val="0"/>
          <w:marBottom w:val="0"/>
          <w:divBdr>
            <w:top w:val="none" w:sz="0" w:space="0" w:color="auto"/>
            <w:left w:val="none" w:sz="0" w:space="0" w:color="auto"/>
            <w:bottom w:val="none" w:sz="0" w:space="0" w:color="auto"/>
            <w:right w:val="none" w:sz="0" w:space="0" w:color="auto"/>
          </w:divBdr>
          <w:divsChild>
            <w:div w:id="1783082">
              <w:marLeft w:val="0"/>
              <w:marRight w:val="0"/>
              <w:marTop w:val="120"/>
              <w:marBottom w:val="0"/>
              <w:divBdr>
                <w:top w:val="none" w:sz="0" w:space="0" w:color="auto"/>
                <w:left w:val="none" w:sz="0" w:space="0" w:color="auto"/>
                <w:bottom w:val="none" w:sz="0" w:space="0" w:color="auto"/>
                <w:right w:val="none" w:sz="0" w:space="0" w:color="auto"/>
              </w:divBdr>
            </w:div>
            <w:div w:id="106587015">
              <w:marLeft w:val="0"/>
              <w:marRight w:val="0"/>
              <w:marTop w:val="120"/>
              <w:marBottom w:val="0"/>
              <w:divBdr>
                <w:top w:val="none" w:sz="0" w:space="0" w:color="auto"/>
                <w:left w:val="none" w:sz="0" w:space="0" w:color="auto"/>
                <w:bottom w:val="none" w:sz="0" w:space="0" w:color="auto"/>
                <w:right w:val="none" w:sz="0" w:space="0" w:color="auto"/>
              </w:divBdr>
            </w:div>
            <w:div w:id="182089965">
              <w:marLeft w:val="0"/>
              <w:marRight w:val="0"/>
              <w:marTop w:val="120"/>
              <w:marBottom w:val="0"/>
              <w:divBdr>
                <w:top w:val="none" w:sz="0" w:space="0" w:color="auto"/>
                <w:left w:val="none" w:sz="0" w:space="0" w:color="auto"/>
                <w:bottom w:val="none" w:sz="0" w:space="0" w:color="auto"/>
                <w:right w:val="none" w:sz="0" w:space="0" w:color="auto"/>
              </w:divBdr>
            </w:div>
            <w:div w:id="219752175">
              <w:marLeft w:val="0"/>
              <w:marRight w:val="0"/>
              <w:marTop w:val="120"/>
              <w:marBottom w:val="0"/>
              <w:divBdr>
                <w:top w:val="none" w:sz="0" w:space="0" w:color="auto"/>
                <w:left w:val="none" w:sz="0" w:space="0" w:color="auto"/>
                <w:bottom w:val="none" w:sz="0" w:space="0" w:color="auto"/>
                <w:right w:val="none" w:sz="0" w:space="0" w:color="auto"/>
              </w:divBdr>
            </w:div>
            <w:div w:id="285432307">
              <w:marLeft w:val="0"/>
              <w:marRight w:val="0"/>
              <w:marTop w:val="120"/>
              <w:marBottom w:val="0"/>
              <w:divBdr>
                <w:top w:val="none" w:sz="0" w:space="0" w:color="auto"/>
                <w:left w:val="none" w:sz="0" w:space="0" w:color="auto"/>
                <w:bottom w:val="none" w:sz="0" w:space="0" w:color="auto"/>
                <w:right w:val="none" w:sz="0" w:space="0" w:color="auto"/>
              </w:divBdr>
            </w:div>
            <w:div w:id="338779004">
              <w:marLeft w:val="0"/>
              <w:marRight w:val="0"/>
              <w:marTop w:val="120"/>
              <w:marBottom w:val="0"/>
              <w:divBdr>
                <w:top w:val="none" w:sz="0" w:space="0" w:color="auto"/>
                <w:left w:val="none" w:sz="0" w:space="0" w:color="auto"/>
                <w:bottom w:val="none" w:sz="0" w:space="0" w:color="auto"/>
                <w:right w:val="none" w:sz="0" w:space="0" w:color="auto"/>
              </w:divBdr>
            </w:div>
            <w:div w:id="370688223">
              <w:marLeft w:val="0"/>
              <w:marRight w:val="0"/>
              <w:marTop w:val="120"/>
              <w:marBottom w:val="0"/>
              <w:divBdr>
                <w:top w:val="none" w:sz="0" w:space="0" w:color="auto"/>
                <w:left w:val="none" w:sz="0" w:space="0" w:color="auto"/>
                <w:bottom w:val="none" w:sz="0" w:space="0" w:color="auto"/>
                <w:right w:val="none" w:sz="0" w:space="0" w:color="auto"/>
              </w:divBdr>
            </w:div>
            <w:div w:id="406414619">
              <w:marLeft w:val="0"/>
              <w:marRight w:val="0"/>
              <w:marTop w:val="120"/>
              <w:marBottom w:val="0"/>
              <w:divBdr>
                <w:top w:val="none" w:sz="0" w:space="0" w:color="auto"/>
                <w:left w:val="none" w:sz="0" w:space="0" w:color="auto"/>
                <w:bottom w:val="none" w:sz="0" w:space="0" w:color="auto"/>
                <w:right w:val="none" w:sz="0" w:space="0" w:color="auto"/>
              </w:divBdr>
            </w:div>
            <w:div w:id="452945548">
              <w:marLeft w:val="0"/>
              <w:marRight w:val="0"/>
              <w:marTop w:val="120"/>
              <w:marBottom w:val="0"/>
              <w:divBdr>
                <w:top w:val="none" w:sz="0" w:space="0" w:color="auto"/>
                <w:left w:val="none" w:sz="0" w:space="0" w:color="auto"/>
                <w:bottom w:val="none" w:sz="0" w:space="0" w:color="auto"/>
                <w:right w:val="none" w:sz="0" w:space="0" w:color="auto"/>
              </w:divBdr>
            </w:div>
            <w:div w:id="684939201">
              <w:marLeft w:val="0"/>
              <w:marRight w:val="0"/>
              <w:marTop w:val="120"/>
              <w:marBottom w:val="0"/>
              <w:divBdr>
                <w:top w:val="none" w:sz="0" w:space="0" w:color="auto"/>
                <w:left w:val="none" w:sz="0" w:space="0" w:color="auto"/>
                <w:bottom w:val="none" w:sz="0" w:space="0" w:color="auto"/>
                <w:right w:val="none" w:sz="0" w:space="0" w:color="auto"/>
              </w:divBdr>
            </w:div>
            <w:div w:id="736633915">
              <w:marLeft w:val="0"/>
              <w:marRight w:val="0"/>
              <w:marTop w:val="120"/>
              <w:marBottom w:val="0"/>
              <w:divBdr>
                <w:top w:val="none" w:sz="0" w:space="0" w:color="auto"/>
                <w:left w:val="none" w:sz="0" w:space="0" w:color="auto"/>
                <w:bottom w:val="none" w:sz="0" w:space="0" w:color="auto"/>
                <w:right w:val="none" w:sz="0" w:space="0" w:color="auto"/>
              </w:divBdr>
            </w:div>
            <w:div w:id="892814147">
              <w:marLeft w:val="0"/>
              <w:marRight w:val="0"/>
              <w:marTop w:val="120"/>
              <w:marBottom w:val="0"/>
              <w:divBdr>
                <w:top w:val="none" w:sz="0" w:space="0" w:color="auto"/>
                <w:left w:val="none" w:sz="0" w:space="0" w:color="auto"/>
                <w:bottom w:val="none" w:sz="0" w:space="0" w:color="auto"/>
                <w:right w:val="none" w:sz="0" w:space="0" w:color="auto"/>
              </w:divBdr>
            </w:div>
            <w:div w:id="909194916">
              <w:marLeft w:val="0"/>
              <w:marRight w:val="0"/>
              <w:marTop w:val="120"/>
              <w:marBottom w:val="0"/>
              <w:divBdr>
                <w:top w:val="none" w:sz="0" w:space="0" w:color="auto"/>
                <w:left w:val="none" w:sz="0" w:space="0" w:color="auto"/>
                <w:bottom w:val="none" w:sz="0" w:space="0" w:color="auto"/>
                <w:right w:val="none" w:sz="0" w:space="0" w:color="auto"/>
              </w:divBdr>
            </w:div>
            <w:div w:id="974749101">
              <w:marLeft w:val="0"/>
              <w:marRight w:val="0"/>
              <w:marTop w:val="120"/>
              <w:marBottom w:val="0"/>
              <w:divBdr>
                <w:top w:val="none" w:sz="0" w:space="0" w:color="auto"/>
                <w:left w:val="none" w:sz="0" w:space="0" w:color="auto"/>
                <w:bottom w:val="none" w:sz="0" w:space="0" w:color="auto"/>
                <w:right w:val="none" w:sz="0" w:space="0" w:color="auto"/>
              </w:divBdr>
            </w:div>
            <w:div w:id="1059091557">
              <w:marLeft w:val="0"/>
              <w:marRight w:val="0"/>
              <w:marTop w:val="120"/>
              <w:marBottom w:val="0"/>
              <w:divBdr>
                <w:top w:val="none" w:sz="0" w:space="0" w:color="auto"/>
                <w:left w:val="none" w:sz="0" w:space="0" w:color="auto"/>
                <w:bottom w:val="none" w:sz="0" w:space="0" w:color="auto"/>
                <w:right w:val="none" w:sz="0" w:space="0" w:color="auto"/>
              </w:divBdr>
            </w:div>
            <w:div w:id="1071586990">
              <w:marLeft w:val="0"/>
              <w:marRight w:val="0"/>
              <w:marTop w:val="120"/>
              <w:marBottom w:val="0"/>
              <w:divBdr>
                <w:top w:val="none" w:sz="0" w:space="0" w:color="auto"/>
                <w:left w:val="none" w:sz="0" w:space="0" w:color="auto"/>
                <w:bottom w:val="none" w:sz="0" w:space="0" w:color="auto"/>
                <w:right w:val="none" w:sz="0" w:space="0" w:color="auto"/>
              </w:divBdr>
            </w:div>
            <w:div w:id="1121190596">
              <w:marLeft w:val="0"/>
              <w:marRight w:val="0"/>
              <w:marTop w:val="120"/>
              <w:marBottom w:val="0"/>
              <w:divBdr>
                <w:top w:val="none" w:sz="0" w:space="0" w:color="auto"/>
                <w:left w:val="none" w:sz="0" w:space="0" w:color="auto"/>
                <w:bottom w:val="none" w:sz="0" w:space="0" w:color="auto"/>
                <w:right w:val="none" w:sz="0" w:space="0" w:color="auto"/>
              </w:divBdr>
            </w:div>
            <w:div w:id="1241448454">
              <w:marLeft w:val="0"/>
              <w:marRight w:val="0"/>
              <w:marTop w:val="120"/>
              <w:marBottom w:val="0"/>
              <w:divBdr>
                <w:top w:val="none" w:sz="0" w:space="0" w:color="auto"/>
                <w:left w:val="none" w:sz="0" w:space="0" w:color="auto"/>
                <w:bottom w:val="none" w:sz="0" w:space="0" w:color="auto"/>
                <w:right w:val="none" w:sz="0" w:space="0" w:color="auto"/>
              </w:divBdr>
            </w:div>
            <w:div w:id="1292440872">
              <w:marLeft w:val="0"/>
              <w:marRight w:val="0"/>
              <w:marTop w:val="120"/>
              <w:marBottom w:val="0"/>
              <w:divBdr>
                <w:top w:val="none" w:sz="0" w:space="0" w:color="auto"/>
                <w:left w:val="none" w:sz="0" w:space="0" w:color="auto"/>
                <w:bottom w:val="none" w:sz="0" w:space="0" w:color="auto"/>
                <w:right w:val="none" w:sz="0" w:space="0" w:color="auto"/>
              </w:divBdr>
            </w:div>
            <w:div w:id="1353603487">
              <w:marLeft w:val="0"/>
              <w:marRight w:val="0"/>
              <w:marTop w:val="120"/>
              <w:marBottom w:val="0"/>
              <w:divBdr>
                <w:top w:val="none" w:sz="0" w:space="0" w:color="auto"/>
                <w:left w:val="none" w:sz="0" w:space="0" w:color="auto"/>
                <w:bottom w:val="none" w:sz="0" w:space="0" w:color="auto"/>
                <w:right w:val="none" w:sz="0" w:space="0" w:color="auto"/>
              </w:divBdr>
            </w:div>
            <w:div w:id="1459639268">
              <w:marLeft w:val="0"/>
              <w:marRight w:val="0"/>
              <w:marTop w:val="120"/>
              <w:marBottom w:val="0"/>
              <w:divBdr>
                <w:top w:val="none" w:sz="0" w:space="0" w:color="auto"/>
                <w:left w:val="none" w:sz="0" w:space="0" w:color="auto"/>
                <w:bottom w:val="none" w:sz="0" w:space="0" w:color="auto"/>
                <w:right w:val="none" w:sz="0" w:space="0" w:color="auto"/>
              </w:divBdr>
            </w:div>
            <w:div w:id="1521551232">
              <w:marLeft w:val="0"/>
              <w:marRight w:val="0"/>
              <w:marTop w:val="120"/>
              <w:marBottom w:val="0"/>
              <w:divBdr>
                <w:top w:val="none" w:sz="0" w:space="0" w:color="auto"/>
                <w:left w:val="none" w:sz="0" w:space="0" w:color="auto"/>
                <w:bottom w:val="none" w:sz="0" w:space="0" w:color="auto"/>
                <w:right w:val="none" w:sz="0" w:space="0" w:color="auto"/>
              </w:divBdr>
            </w:div>
            <w:div w:id="1598557318">
              <w:marLeft w:val="0"/>
              <w:marRight w:val="0"/>
              <w:marTop w:val="0"/>
              <w:marBottom w:val="0"/>
              <w:divBdr>
                <w:top w:val="none" w:sz="0" w:space="0" w:color="auto"/>
                <w:left w:val="none" w:sz="0" w:space="0" w:color="auto"/>
                <w:bottom w:val="none" w:sz="0" w:space="0" w:color="auto"/>
                <w:right w:val="none" w:sz="0" w:space="0" w:color="auto"/>
              </w:divBdr>
            </w:div>
            <w:div w:id="1757362024">
              <w:marLeft w:val="0"/>
              <w:marRight w:val="0"/>
              <w:marTop w:val="120"/>
              <w:marBottom w:val="0"/>
              <w:divBdr>
                <w:top w:val="none" w:sz="0" w:space="0" w:color="auto"/>
                <w:left w:val="none" w:sz="0" w:space="0" w:color="auto"/>
                <w:bottom w:val="none" w:sz="0" w:space="0" w:color="auto"/>
                <w:right w:val="none" w:sz="0" w:space="0" w:color="auto"/>
              </w:divBdr>
            </w:div>
            <w:div w:id="1846091567">
              <w:marLeft w:val="0"/>
              <w:marRight w:val="0"/>
              <w:marTop w:val="120"/>
              <w:marBottom w:val="0"/>
              <w:divBdr>
                <w:top w:val="none" w:sz="0" w:space="0" w:color="auto"/>
                <w:left w:val="none" w:sz="0" w:space="0" w:color="auto"/>
                <w:bottom w:val="none" w:sz="0" w:space="0" w:color="auto"/>
                <w:right w:val="none" w:sz="0" w:space="0" w:color="auto"/>
              </w:divBdr>
            </w:div>
            <w:div w:id="1857424220">
              <w:marLeft w:val="0"/>
              <w:marRight w:val="0"/>
              <w:marTop w:val="120"/>
              <w:marBottom w:val="0"/>
              <w:divBdr>
                <w:top w:val="none" w:sz="0" w:space="0" w:color="auto"/>
                <w:left w:val="none" w:sz="0" w:space="0" w:color="auto"/>
                <w:bottom w:val="none" w:sz="0" w:space="0" w:color="auto"/>
                <w:right w:val="none" w:sz="0" w:space="0" w:color="auto"/>
              </w:divBdr>
            </w:div>
            <w:div w:id="1893996933">
              <w:marLeft w:val="0"/>
              <w:marRight w:val="0"/>
              <w:marTop w:val="120"/>
              <w:marBottom w:val="0"/>
              <w:divBdr>
                <w:top w:val="none" w:sz="0" w:space="0" w:color="auto"/>
                <w:left w:val="none" w:sz="0" w:space="0" w:color="auto"/>
                <w:bottom w:val="none" w:sz="0" w:space="0" w:color="auto"/>
                <w:right w:val="none" w:sz="0" w:space="0" w:color="auto"/>
              </w:divBdr>
            </w:div>
            <w:div w:id="2054771818">
              <w:marLeft w:val="0"/>
              <w:marRight w:val="0"/>
              <w:marTop w:val="120"/>
              <w:marBottom w:val="0"/>
              <w:divBdr>
                <w:top w:val="none" w:sz="0" w:space="0" w:color="auto"/>
                <w:left w:val="none" w:sz="0" w:space="0" w:color="auto"/>
                <w:bottom w:val="none" w:sz="0" w:space="0" w:color="auto"/>
                <w:right w:val="none" w:sz="0" w:space="0" w:color="auto"/>
              </w:divBdr>
            </w:div>
            <w:div w:id="21000539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31296652">
      <w:bodyDiv w:val="1"/>
      <w:marLeft w:val="0"/>
      <w:marRight w:val="0"/>
      <w:marTop w:val="0"/>
      <w:marBottom w:val="0"/>
      <w:divBdr>
        <w:top w:val="none" w:sz="0" w:space="0" w:color="auto"/>
        <w:left w:val="none" w:sz="0" w:space="0" w:color="auto"/>
        <w:bottom w:val="none" w:sz="0" w:space="0" w:color="auto"/>
        <w:right w:val="none" w:sz="0" w:space="0" w:color="auto"/>
      </w:divBdr>
    </w:div>
    <w:div w:id="214029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reativecommons.org/licenses/by/4.0/" TargetMode="External"/><Relationship Id="rId21" Type="http://schemas.openxmlformats.org/officeDocument/2006/relationships/hyperlink" Target="tel:1300555727" TargetMode="External"/><Relationship Id="rId42" Type="http://schemas.openxmlformats.org/officeDocument/2006/relationships/chart" Target="charts/chart3.xml"/><Relationship Id="rId47" Type="http://schemas.openxmlformats.org/officeDocument/2006/relationships/image" Target="media/image12.png"/><Relationship Id="rId63" Type="http://schemas.openxmlformats.org/officeDocument/2006/relationships/image" Target="media/image16.png"/><Relationship Id="rId68" Type="http://schemas.openxmlformats.org/officeDocument/2006/relationships/header" Target="header4.xml"/><Relationship Id="rId84" Type="http://schemas.openxmlformats.org/officeDocument/2006/relationships/header" Target="header10.xml"/><Relationship Id="rId89" Type="http://schemas.openxmlformats.org/officeDocument/2006/relationships/header" Target="header13.xml"/><Relationship Id="rId16" Type="http://schemas.openxmlformats.org/officeDocument/2006/relationships/hyperlink" Target="tel:131450" TargetMode="External"/><Relationship Id="rId11" Type="http://schemas.openxmlformats.org/officeDocument/2006/relationships/image" Target="media/image1.jpg"/><Relationship Id="rId32" Type="http://schemas.openxmlformats.org/officeDocument/2006/relationships/hyperlink" Target="mailto:enquiry@actleave.act.gov.au" TargetMode="External"/><Relationship Id="rId37" Type="http://schemas.openxmlformats.org/officeDocument/2006/relationships/image" Target="media/image8.png"/><Relationship Id="rId53" Type="http://schemas.openxmlformats.org/officeDocument/2006/relationships/chart" Target="charts/chart9.xml"/><Relationship Id="rId58" Type="http://schemas.openxmlformats.org/officeDocument/2006/relationships/footer" Target="footer2.xml"/><Relationship Id="rId74" Type="http://schemas.openxmlformats.org/officeDocument/2006/relationships/footer" Target="footer7.xml"/><Relationship Id="rId79" Type="http://schemas.openxmlformats.org/officeDocument/2006/relationships/header" Target="header8.xml"/><Relationship Id="rId5" Type="http://schemas.openxmlformats.org/officeDocument/2006/relationships/numbering" Target="numbering.xml"/><Relationship Id="rId90" Type="http://schemas.openxmlformats.org/officeDocument/2006/relationships/image" Target="media/image21.jpg"/><Relationship Id="rId95" Type="http://schemas.microsoft.com/office/2020/10/relationships/intelligence" Target="intelligence2.xml"/><Relationship Id="rId22" Type="http://schemas.openxmlformats.org/officeDocument/2006/relationships/hyperlink" Target="tel:132281" TargetMode="External"/><Relationship Id="rId27" Type="http://schemas.openxmlformats.org/officeDocument/2006/relationships/hyperlink" Target="https://actleave.act.gov.au/" TargetMode="External"/><Relationship Id="rId43" Type="http://schemas.openxmlformats.org/officeDocument/2006/relationships/chart" Target="charts/chart4.xml"/><Relationship Id="rId48" Type="http://schemas.openxmlformats.org/officeDocument/2006/relationships/image" Target="media/image13.png"/><Relationship Id="rId64" Type="http://schemas.openxmlformats.org/officeDocument/2006/relationships/chart" Target="charts/chart12.xml"/><Relationship Id="rId69"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image" Target="media/image14.png"/><Relationship Id="rId72" Type="http://schemas.openxmlformats.org/officeDocument/2006/relationships/header" Target="header6.xml"/><Relationship Id="rId80" Type="http://schemas.openxmlformats.org/officeDocument/2006/relationships/footer" Target="footer11.xml"/><Relationship Id="rId85" Type="http://schemas.openxmlformats.org/officeDocument/2006/relationships/image" Target="media/image19.tif"/><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enquiry@actleave.act.gov.au" TargetMode="External"/><Relationship Id="rId17" Type="http://schemas.openxmlformats.org/officeDocument/2006/relationships/hyperlink" Target="https://www.accesshub.gov.au/about-the-nrs" TargetMode="External"/><Relationship Id="rId25" Type="http://schemas.openxmlformats.org/officeDocument/2006/relationships/image" Target="media/image2.png"/><Relationship Id="rId33" Type="http://schemas.openxmlformats.org/officeDocument/2006/relationships/hyperlink" Target="http://www.legislation.act.gov.au/" TargetMode="External"/><Relationship Id="rId38" Type="http://schemas.openxmlformats.org/officeDocument/2006/relationships/chart" Target="charts/chart1.xml"/><Relationship Id="rId46" Type="http://schemas.openxmlformats.org/officeDocument/2006/relationships/chart" Target="charts/chart6.xml"/><Relationship Id="rId59" Type="http://schemas.openxmlformats.org/officeDocument/2006/relationships/header" Target="header3.xml"/><Relationship Id="rId67" Type="http://schemas.openxmlformats.org/officeDocument/2006/relationships/image" Target="media/image18.tif"/><Relationship Id="rId20" Type="http://schemas.openxmlformats.org/officeDocument/2006/relationships/hyperlink" Target="https://www.accesshub.gov.au/" TargetMode="External"/><Relationship Id="rId41" Type="http://schemas.openxmlformats.org/officeDocument/2006/relationships/image" Target="media/image10.png"/><Relationship Id="rId54" Type="http://schemas.openxmlformats.org/officeDocument/2006/relationships/image" Target="media/image15.jpg"/><Relationship Id="rId62" Type="http://schemas.openxmlformats.org/officeDocument/2006/relationships/chart" Target="charts/chart11.xml"/><Relationship Id="rId70" Type="http://schemas.openxmlformats.org/officeDocument/2006/relationships/header" Target="header5.xml"/><Relationship Id="rId75" Type="http://schemas.openxmlformats.org/officeDocument/2006/relationships/footer" Target="footer8.xml"/><Relationship Id="rId83" Type="http://schemas.openxmlformats.org/officeDocument/2006/relationships/header" Target="header9.xml"/><Relationship Id="rId88" Type="http://schemas.openxmlformats.org/officeDocument/2006/relationships/image" Target="media/image20.tif"/><Relationship Id="rId9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tisnational.gov.au/" TargetMode="External"/><Relationship Id="rId23" Type="http://schemas.openxmlformats.org/officeDocument/2006/relationships/hyperlink" Target="tel:132281" TargetMode="External"/><Relationship Id="rId28" Type="http://schemas.openxmlformats.org/officeDocument/2006/relationships/image" Target="media/image3.jpg"/><Relationship Id="rId36" Type="http://schemas.openxmlformats.org/officeDocument/2006/relationships/image" Target="media/image7.jpg"/><Relationship Id="rId49" Type="http://schemas.openxmlformats.org/officeDocument/2006/relationships/chart" Target="charts/chart7.xm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mailto:enquiry@actleave.act.gov.au" TargetMode="External"/><Relationship Id="rId44" Type="http://schemas.openxmlformats.org/officeDocument/2006/relationships/image" Target="media/image11.png"/><Relationship Id="rId52" Type="http://schemas.openxmlformats.org/officeDocument/2006/relationships/hyperlink" Target="https://www.cmtedd.act.gov.au/functions/foi/disclosure-log-2025" TargetMode="External"/><Relationship Id="rId60" Type="http://schemas.openxmlformats.org/officeDocument/2006/relationships/footer" Target="footer3.xml"/><Relationship Id="rId65" Type="http://schemas.openxmlformats.org/officeDocument/2006/relationships/chart" Target="charts/chart13.xml"/><Relationship Id="rId73" Type="http://schemas.openxmlformats.org/officeDocument/2006/relationships/footer" Target="footer6.xml"/><Relationship Id="rId78" Type="http://schemas.openxmlformats.org/officeDocument/2006/relationships/footer" Target="footer10.xml"/><Relationship Id="rId81" Type="http://schemas.openxmlformats.org/officeDocument/2006/relationships/hyperlink" Target="https://actleave.act.gov.au/resources/" TargetMode="External"/><Relationship Id="rId86" Type="http://schemas.openxmlformats.org/officeDocument/2006/relationships/header" Target="header11.xm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ctleave.act.gov.au/" TargetMode="External"/><Relationship Id="rId18" Type="http://schemas.openxmlformats.org/officeDocument/2006/relationships/hyperlink" Target="tel:133677" TargetMode="External"/><Relationship Id="rId39" Type="http://schemas.openxmlformats.org/officeDocument/2006/relationships/image" Target="media/image9.png"/><Relationship Id="rId34" Type="http://schemas.openxmlformats.org/officeDocument/2006/relationships/hyperlink" Target="https://www.act.gov.au/open/annual-reports" TargetMode="External"/><Relationship Id="rId50" Type="http://schemas.openxmlformats.org/officeDocument/2006/relationships/chart" Target="charts/chart8.xml"/><Relationship Id="rId55" Type="http://schemas.openxmlformats.org/officeDocument/2006/relationships/header" Target="header1.xml"/><Relationship Id="rId76" Type="http://schemas.openxmlformats.org/officeDocument/2006/relationships/header" Target="header7.xml"/><Relationship Id="rId7" Type="http://schemas.openxmlformats.org/officeDocument/2006/relationships/settings" Target="settings.xml"/><Relationship Id="rId71" Type="http://schemas.openxmlformats.org/officeDocument/2006/relationships/footer" Target="footer5.xml"/><Relationship Id="rId92" Type="http://schemas.openxmlformats.org/officeDocument/2006/relationships/header" Target="header15.xml"/><Relationship Id="rId2" Type="http://schemas.openxmlformats.org/officeDocument/2006/relationships/customXml" Target="../customXml/item2.xml"/><Relationship Id="rId29" Type="http://schemas.openxmlformats.org/officeDocument/2006/relationships/image" Target="media/image4.jpeg"/><Relationship Id="rId24" Type="http://schemas.openxmlformats.org/officeDocument/2006/relationships/hyperlink" Target="https://www.accesshub.gov.au/" TargetMode="External"/><Relationship Id="rId40" Type="http://schemas.openxmlformats.org/officeDocument/2006/relationships/chart" Target="charts/chart2.xml"/><Relationship Id="rId45" Type="http://schemas.openxmlformats.org/officeDocument/2006/relationships/chart" Target="charts/chart5.xml"/><Relationship Id="rId66" Type="http://schemas.openxmlformats.org/officeDocument/2006/relationships/image" Target="media/image17.tif"/><Relationship Id="rId87" Type="http://schemas.openxmlformats.org/officeDocument/2006/relationships/header" Target="header12.xml"/><Relationship Id="rId61" Type="http://schemas.openxmlformats.org/officeDocument/2006/relationships/chart" Target="charts/chart10.xml"/><Relationship Id="rId82" Type="http://schemas.openxmlformats.org/officeDocument/2006/relationships/hyperlink" Target="https://www.tenders.act.gov.au/contract/search" TargetMode="External"/><Relationship Id="rId19" Type="http://schemas.openxmlformats.org/officeDocument/2006/relationships/hyperlink" Target="tel:132281" TargetMode="External"/><Relationship Id="rId14" Type="http://schemas.openxmlformats.org/officeDocument/2006/relationships/hyperlink" Target="mailto:CMTEDDFOI@act.gov.au" TargetMode="External"/><Relationship Id="rId30" Type="http://schemas.openxmlformats.org/officeDocument/2006/relationships/image" Target="media/image5.png"/><Relationship Id="rId35" Type="http://schemas.openxmlformats.org/officeDocument/2006/relationships/image" Target="media/image6.jpg"/><Relationship Id="rId56" Type="http://schemas.openxmlformats.org/officeDocument/2006/relationships/header" Target="header2.xml"/><Relationship Id="rId77" Type="http://schemas.openxmlformats.org/officeDocument/2006/relationships/footer" Target="footer9.xml"/></Relationships>
</file>

<file path=word/charts/_rels/chart1.xml.rels><?xml version="1.0" encoding="UTF-8" standalone="yes"?>
<Relationships xmlns="http://schemas.openxmlformats.org/package/2006/relationships"><Relationship Id="rId3" Type="http://schemas.openxmlformats.org/officeDocument/2006/relationships/oleObject" Target="https://actgovernment.sharepoint.com/teams/ACTLeaveCommunications/Shared%20Documents/Reporting/Annual%20Reporting/2026%20Annual%20Report/Annual%20Report%20-%20Statistic%20Graphs%202025-26%20(Tim%20-%20New%20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actgovernment.sharepoint.com/teams/ACTLeaveCommunications/Shared%20Documents/Reporting/Annual%20Reporting/2026%20Annual%20Report/Annual%20Report%20-%20Statistic%20Graphs%202025-26%20(Tim%20-%20New%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actgovernment.sharepoint.com/teams/ACTLeaveCommunications/Shared%20Documents/Reporting/Annual%20Reporting/2026%20Annual%20Report/Annual%20Report%20-%20Statistic%20Graphs%202025-26%20(Tim%20-%20New%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actgovernment.sharepoint.com/teams/ACTLeaveCommunications/Shared%20Documents/Reporting/Annual%20Reporting/2026%20Annual%20Report/Annual%20Report%20-%20Statistic%20Graphs%202025-26%20(Tim%20-%20New%20Grap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actgovernment.sharepoint.com/teams/ACTLeaveCommunications/Shared%20Documents/Reporting/Annual%20Reporting/2026%20Annual%20Report/Annual%20Report%20-%20Statistic%20Graphs%202025-26%20(Tim%20-%20New%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actgovernment.sharepoint.com/teams/ACTLeaveCommunications/Shared%20Documents/Reporting/Annual%20Reporting/2026%20Annual%20Report/Annual%20Report%20-%20Statistic%20Graphs%202025-26%20(Tim%20-%20New%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actgovernment.sharepoint.com/teams/ACTLeaveCommunications/Shared%20Documents/Reporting/Annual%20Reporting/2026%20Annual%20Report/Annual%20Report%20-%20Statistic%20Graphs%202025-26%20(Tim%20-%20New%20Graph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actgovernment.sharepoint.com/teams/ACTLeaveCommunications/Shared%20Documents/Reporting/Annual%20Reporting/2026%20Annual%20Report/Annual%20Report%20-%20Statistic%20Graphs%202025-26%20(Tim%20-%20New%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actgovernment.sharepoint.com/teams/ACTLeaveCommunications/Shared%20Documents/Reporting/Annual%20Reporting/2026%20Annual%20Report/Graphs/Leave%20resourcing%20by%20functio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actgovernment.sharepoint.com/teams/ACTLSLA-Finance/Shared%20Documents/Financial%20Statements/2025-26/Financial%20Statements,%20SOP,%20MDA/Management%20Discussion%20and%20Analysis/MDA%202025-26_Charts%20and%20Table.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actgovernment.sharepoint.com/teams/ACTLSLA-Finance/Shared%20Documents/Financial%20Statements/2025-26/Financial%20Statements,%20SOP,%20MDA/Management%20Discussion%20and%20Analysis/MDA%202025-26_Charts%20and%20Table.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actgovernment.sharepoint.com/teams/ACTLSLA-Finance/Shared%20Documents/Financial%20Statements/2025-26/Financial%20Statements,%20SOP,%20MDA/Management%20Discussion%20and%20Analysis/MDA%202025-26_Charts%20and%20Table.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actgovernment.sharepoint.com/teams/ACTLSLA-Finance/Shared%20Documents/Financial%20Statements/2025-26/Financial%20Statements,%20SOP,%20MDA/Management%20Discussion%20and%20Analysis/MDA%202025-26_Charts%20and%20Table.xlsx"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0642576525068125"/>
          <c:y val="3.0690528843726941E-2"/>
          <c:w val="0.87838752508877571"/>
          <c:h val="0.75784209996737473"/>
        </c:manualLayout>
      </c:layout>
      <c:barChart>
        <c:barDir val="col"/>
        <c:grouping val="clustered"/>
        <c:varyColors val="0"/>
        <c:ser>
          <c:idx val="8"/>
          <c:order val="8"/>
          <c:tx>
            <c:strRef>
              <c:f>Construction!$S$1</c:f>
              <c:strCache>
                <c:ptCount val="1"/>
                <c:pt idx="0">
                  <c:v>2024</c:v>
                </c:pt>
              </c:strCache>
            </c:strRef>
          </c:tx>
          <c:spPr>
            <a:solidFill>
              <a:schemeClr val="accent4"/>
            </a:solidFill>
            <a:ln>
              <a:noFill/>
            </a:ln>
            <a:effectLst/>
          </c:spPr>
          <c:invertIfNegative val="0"/>
          <c:cat>
            <c:strRef>
              <c:f>Construction!$A$2:$A$6</c:f>
              <c:strCache>
                <c:ptCount val="4"/>
                <c:pt idx="0">
                  <c:v>Registered employers</c:v>
                </c:pt>
                <c:pt idx="1">
                  <c:v>Active workers (excludes apprentices)</c:v>
                </c:pt>
                <c:pt idx="2">
                  <c:v>Active apprentices</c:v>
                </c:pt>
                <c:pt idx="3">
                  <c:v>Inactive workers</c:v>
                </c:pt>
              </c:strCache>
              <c:extLst/>
            </c:strRef>
          </c:cat>
          <c:val>
            <c:numRef>
              <c:f>Construction!$S$2:$S$6</c:f>
              <c:numCache>
                <c:formatCode>#,##0</c:formatCode>
                <c:ptCount val="4"/>
                <c:pt idx="0">
                  <c:v>2303</c:v>
                </c:pt>
                <c:pt idx="1">
                  <c:v>24589</c:v>
                </c:pt>
                <c:pt idx="2">
                  <c:v>2647</c:v>
                </c:pt>
                <c:pt idx="3">
                  <c:v>3691</c:v>
                </c:pt>
              </c:numCache>
              <c:extLst/>
            </c:numRef>
          </c:val>
          <c:extLst>
            <c:ext xmlns:c16="http://schemas.microsoft.com/office/drawing/2014/chart" uri="{C3380CC4-5D6E-409C-BE32-E72D297353CC}">
              <c16:uniqueId val="{00000000-8658-4485-84E8-E4B893B0C812}"/>
            </c:ext>
          </c:extLst>
        </c:ser>
        <c:ser>
          <c:idx val="9"/>
          <c:order val="9"/>
          <c:tx>
            <c:strRef>
              <c:f>Construction!$T$1</c:f>
              <c:strCache>
                <c:ptCount val="1"/>
                <c:pt idx="0">
                  <c:v>2025</c:v>
                </c:pt>
              </c:strCache>
            </c:strRef>
          </c:tx>
          <c:spPr>
            <a:solidFill>
              <a:schemeClr val="accent2"/>
            </a:solidFill>
            <a:ln>
              <a:noFill/>
            </a:ln>
            <a:effectLst/>
          </c:spPr>
          <c:invertIfNegative val="0"/>
          <c:cat>
            <c:strRef>
              <c:f>Construction!$A$2:$A$6</c:f>
              <c:strCache>
                <c:ptCount val="4"/>
                <c:pt idx="0">
                  <c:v>Registered employers</c:v>
                </c:pt>
                <c:pt idx="1">
                  <c:v>Active workers (excludes apprentices)</c:v>
                </c:pt>
                <c:pt idx="2">
                  <c:v>Active apprentices</c:v>
                </c:pt>
                <c:pt idx="3">
                  <c:v>Inactive workers</c:v>
                </c:pt>
              </c:strCache>
              <c:extLst/>
            </c:strRef>
          </c:cat>
          <c:val>
            <c:numRef>
              <c:f>Construction!$T$2:$T$6</c:f>
              <c:numCache>
                <c:formatCode>#,##0</c:formatCode>
                <c:ptCount val="4"/>
                <c:pt idx="0">
                  <c:v>2244</c:v>
                </c:pt>
                <c:pt idx="1">
                  <c:v>24932</c:v>
                </c:pt>
                <c:pt idx="2">
                  <c:v>1694</c:v>
                </c:pt>
                <c:pt idx="3">
                  <c:v>3864</c:v>
                </c:pt>
              </c:numCache>
              <c:extLst/>
            </c:numRef>
          </c:val>
          <c:extLst>
            <c:ext xmlns:c16="http://schemas.microsoft.com/office/drawing/2014/chart" uri="{C3380CC4-5D6E-409C-BE32-E72D297353CC}">
              <c16:uniqueId val="{00000001-8658-4485-84E8-E4B893B0C812}"/>
            </c:ext>
          </c:extLst>
        </c:ser>
        <c:ser>
          <c:idx val="10"/>
          <c:order val="10"/>
          <c:tx>
            <c:strRef>
              <c:f>Construction!$U$1</c:f>
              <c:strCache>
                <c:ptCount val="1"/>
                <c:pt idx="0">
                  <c:v>2026</c:v>
                </c:pt>
              </c:strCache>
            </c:strRef>
          </c:tx>
          <c:spPr>
            <a:solidFill>
              <a:schemeClr val="accent1"/>
            </a:solidFill>
            <a:ln>
              <a:noFill/>
            </a:ln>
            <a:effectLst/>
          </c:spPr>
          <c:invertIfNegative val="0"/>
          <c:cat>
            <c:strRef>
              <c:f>Construction!$A$2:$A$6</c:f>
              <c:strCache>
                <c:ptCount val="4"/>
                <c:pt idx="0">
                  <c:v>Registered employers</c:v>
                </c:pt>
                <c:pt idx="1">
                  <c:v>Active workers (excludes apprentices)</c:v>
                </c:pt>
                <c:pt idx="2">
                  <c:v>Active apprentices</c:v>
                </c:pt>
                <c:pt idx="3">
                  <c:v>Inactive workers</c:v>
                </c:pt>
              </c:strCache>
              <c:extLst/>
            </c:strRef>
          </c:cat>
          <c:val>
            <c:numRef>
              <c:f>Construction!$U$2:$U$6</c:f>
              <c:numCache>
                <c:formatCode>#,##0</c:formatCode>
                <c:ptCount val="4"/>
                <c:pt idx="0">
                  <c:v>2234</c:v>
                </c:pt>
                <c:pt idx="1">
                  <c:v>24380</c:v>
                </c:pt>
                <c:pt idx="2">
                  <c:v>1364</c:v>
                </c:pt>
                <c:pt idx="3">
                  <c:v>4041</c:v>
                </c:pt>
              </c:numCache>
              <c:extLst/>
            </c:numRef>
          </c:val>
          <c:extLst>
            <c:ext xmlns:c16="http://schemas.microsoft.com/office/drawing/2014/chart" uri="{C3380CC4-5D6E-409C-BE32-E72D297353CC}">
              <c16:uniqueId val="{00000002-8658-4485-84E8-E4B893B0C812}"/>
            </c:ext>
          </c:extLst>
        </c:ser>
        <c:dLbls>
          <c:showLegendKey val="0"/>
          <c:showVal val="0"/>
          <c:showCatName val="0"/>
          <c:showSerName val="0"/>
          <c:showPercent val="0"/>
          <c:showBubbleSize val="0"/>
        </c:dLbls>
        <c:gapWidth val="150"/>
        <c:axId val="955056632"/>
        <c:axId val="955058592"/>
        <c:extLst>
          <c:ext xmlns:c15="http://schemas.microsoft.com/office/drawing/2012/chart" uri="{02D57815-91ED-43cb-92C2-25804820EDAC}">
            <c15:filteredBarSeries>
              <c15:ser>
                <c:idx val="0"/>
                <c:order val="0"/>
                <c:tx>
                  <c:strRef>
                    <c:extLst>
                      <c:ext uri="{02D57815-91ED-43cb-92C2-25804820EDAC}">
                        <c15:formulaRef>
                          <c15:sqref>Construction!$K$1</c15:sqref>
                        </c15:formulaRef>
                      </c:ext>
                    </c:extLst>
                    <c:strCache>
                      <c:ptCount val="1"/>
                      <c:pt idx="0">
                        <c:v>2016</c:v>
                      </c:pt>
                    </c:strCache>
                  </c:strRef>
                </c:tx>
                <c:spPr>
                  <a:solidFill>
                    <a:schemeClr val="accent1">
                      <a:shade val="41000"/>
                    </a:schemeClr>
                  </a:solidFill>
                  <a:ln>
                    <a:noFill/>
                  </a:ln>
                  <a:effectLst/>
                </c:spPr>
                <c:invertIfNegative val="0"/>
                <c:cat>
                  <c:strRef>
                    <c:extLst>
                      <c:ext uri="{02D57815-91ED-43cb-92C2-25804820EDAC}">
                        <c15:formulaRef>
                          <c15:sqref>Construction!$A$2:$A$6</c15:sqref>
                        </c15:formulaRef>
                      </c:ext>
                    </c:extLst>
                    <c:strCache>
                      <c:ptCount val="4"/>
                      <c:pt idx="0">
                        <c:v>Registered employers</c:v>
                      </c:pt>
                      <c:pt idx="1">
                        <c:v>Active workers (excludes apprentices)</c:v>
                      </c:pt>
                      <c:pt idx="2">
                        <c:v>Active apprentices</c:v>
                      </c:pt>
                      <c:pt idx="3">
                        <c:v>Inactive workers</c:v>
                      </c:pt>
                    </c:strCache>
                  </c:strRef>
                </c:cat>
                <c:val>
                  <c:numRef>
                    <c:extLst>
                      <c:ext uri="{02D57815-91ED-43cb-92C2-25804820EDAC}">
                        <c15:formulaRef>
                          <c15:sqref>Construction!$K$2:$K$6</c15:sqref>
                        </c15:formulaRef>
                      </c:ext>
                    </c:extLst>
                    <c:numCache>
                      <c:formatCode>#,##0</c:formatCode>
                      <c:ptCount val="4"/>
                      <c:pt idx="0">
                        <c:v>1665</c:v>
                      </c:pt>
                      <c:pt idx="1">
                        <c:v>20944</c:v>
                      </c:pt>
                      <c:pt idx="2">
                        <c:v>1985</c:v>
                      </c:pt>
                      <c:pt idx="3">
                        <c:v>1624</c:v>
                      </c:pt>
                    </c:numCache>
                  </c:numRef>
                </c:val>
                <c:extLst>
                  <c:ext xmlns:c16="http://schemas.microsoft.com/office/drawing/2014/chart" uri="{C3380CC4-5D6E-409C-BE32-E72D297353CC}">
                    <c16:uniqueId val="{00000003-8658-4485-84E8-E4B893B0C812}"/>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Construction!$L$1</c15:sqref>
                        </c15:formulaRef>
                      </c:ext>
                    </c:extLst>
                    <c:strCache>
                      <c:ptCount val="1"/>
                      <c:pt idx="0">
                        <c:v>2017</c:v>
                      </c:pt>
                    </c:strCache>
                  </c:strRef>
                </c:tx>
                <c:spPr>
                  <a:solidFill>
                    <a:schemeClr val="accent1">
                      <a:shade val="53000"/>
                    </a:schemeClr>
                  </a:solidFill>
                  <a:ln>
                    <a:noFill/>
                  </a:ln>
                  <a:effectLst/>
                </c:spPr>
                <c:invertIfNegative val="0"/>
                <c:cat>
                  <c:strRef>
                    <c:extLst xmlns:c15="http://schemas.microsoft.com/office/drawing/2012/chart">
                      <c:ext xmlns:c15="http://schemas.microsoft.com/office/drawing/2012/chart" uri="{02D57815-91ED-43cb-92C2-25804820EDAC}">
                        <c15:formulaRef>
                          <c15:sqref>Construction!$A$2:$A$6</c15:sqref>
                        </c15:formulaRef>
                      </c:ext>
                    </c:extLst>
                    <c:strCache>
                      <c:ptCount val="4"/>
                      <c:pt idx="0">
                        <c:v>Registered employers</c:v>
                      </c:pt>
                      <c:pt idx="1">
                        <c:v>Active workers (excludes apprentices)</c:v>
                      </c:pt>
                      <c:pt idx="2">
                        <c:v>Active apprentices</c:v>
                      </c:pt>
                      <c:pt idx="3">
                        <c:v>Inactive workers</c:v>
                      </c:pt>
                    </c:strCache>
                  </c:strRef>
                </c:cat>
                <c:val>
                  <c:numRef>
                    <c:extLst xmlns:c15="http://schemas.microsoft.com/office/drawing/2012/chart">
                      <c:ext xmlns:c15="http://schemas.microsoft.com/office/drawing/2012/chart" uri="{02D57815-91ED-43cb-92C2-25804820EDAC}">
                        <c15:formulaRef>
                          <c15:sqref>Construction!$L$2:$L$6</c15:sqref>
                        </c15:formulaRef>
                      </c:ext>
                    </c:extLst>
                    <c:numCache>
                      <c:formatCode>#,##0</c:formatCode>
                      <c:ptCount val="4"/>
                      <c:pt idx="0">
                        <c:v>1688</c:v>
                      </c:pt>
                      <c:pt idx="1">
                        <c:v>20059</c:v>
                      </c:pt>
                      <c:pt idx="2">
                        <c:v>2220</c:v>
                      </c:pt>
                      <c:pt idx="3">
                        <c:v>1898</c:v>
                      </c:pt>
                    </c:numCache>
                  </c:numRef>
                </c:val>
                <c:extLst xmlns:c15="http://schemas.microsoft.com/office/drawing/2012/chart">
                  <c:ext xmlns:c16="http://schemas.microsoft.com/office/drawing/2014/chart" uri="{C3380CC4-5D6E-409C-BE32-E72D297353CC}">
                    <c16:uniqueId val="{00000004-8658-4485-84E8-E4B893B0C812}"/>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Construction!$M$1</c15:sqref>
                        </c15:formulaRef>
                      </c:ext>
                    </c:extLst>
                    <c:strCache>
                      <c:ptCount val="1"/>
                      <c:pt idx="0">
                        <c:v>2018</c:v>
                      </c:pt>
                    </c:strCache>
                  </c:strRef>
                </c:tx>
                <c:spPr>
                  <a:solidFill>
                    <a:schemeClr val="accent1">
                      <a:shade val="65000"/>
                    </a:schemeClr>
                  </a:solidFill>
                  <a:ln>
                    <a:noFill/>
                  </a:ln>
                  <a:effectLst/>
                </c:spPr>
                <c:invertIfNegative val="0"/>
                <c:cat>
                  <c:strRef>
                    <c:extLst xmlns:c15="http://schemas.microsoft.com/office/drawing/2012/chart">
                      <c:ext xmlns:c15="http://schemas.microsoft.com/office/drawing/2012/chart" uri="{02D57815-91ED-43cb-92C2-25804820EDAC}">
                        <c15:formulaRef>
                          <c15:sqref>Construction!$A$2:$A$6</c15:sqref>
                        </c15:formulaRef>
                      </c:ext>
                    </c:extLst>
                    <c:strCache>
                      <c:ptCount val="4"/>
                      <c:pt idx="0">
                        <c:v>Registered employers</c:v>
                      </c:pt>
                      <c:pt idx="1">
                        <c:v>Active workers (excludes apprentices)</c:v>
                      </c:pt>
                      <c:pt idx="2">
                        <c:v>Active apprentices</c:v>
                      </c:pt>
                      <c:pt idx="3">
                        <c:v>Inactive workers</c:v>
                      </c:pt>
                    </c:strCache>
                  </c:strRef>
                </c:cat>
                <c:val>
                  <c:numRef>
                    <c:extLst xmlns:c15="http://schemas.microsoft.com/office/drawing/2012/chart">
                      <c:ext xmlns:c15="http://schemas.microsoft.com/office/drawing/2012/chart" uri="{02D57815-91ED-43cb-92C2-25804820EDAC}">
                        <c15:formulaRef>
                          <c15:sqref>Construction!$M$2:$M$6</c15:sqref>
                        </c15:formulaRef>
                      </c:ext>
                    </c:extLst>
                    <c:numCache>
                      <c:formatCode>#,##0</c:formatCode>
                      <c:ptCount val="4"/>
                      <c:pt idx="0">
                        <c:v>1753</c:v>
                      </c:pt>
                      <c:pt idx="1">
                        <c:v>21077</c:v>
                      </c:pt>
                      <c:pt idx="2">
                        <c:v>1814</c:v>
                      </c:pt>
                      <c:pt idx="3">
                        <c:v>3427</c:v>
                      </c:pt>
                    </c:numCache>
                  </c:numRef>
                </c:val>
                <c:extLst xmlns:c15="http://schemas.microsoft.com/office/drawing/2012/chart">
                  <c:ext xmlns:c16="http://schemas.microsoft.com/office/drawing/2014/chart" uri="{C3380CC4-5D6E-409C-BE32-E72D297353CC}">
                    <c16:uniqueId val="{00000005-8658-4485-84E8-E4B893B0C812}"/>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Construction!$N$1</c15:sqref>
                        </c15:formulaRef>
                      </c:ext>
                    </c:extLst>
                    <c:strCache>
                      <c:ptCount val="1"/>
                      <c:pt idx="0">
                        <c:v>2019</c:v>
                      </c:pt>
                    </c:strCache>
                  </c:strRef>
                </c:tx>
                <c:spPr>
                  <a:solidFill>
                    <a:schemeClr val="accent1">
                      <a:shade val="80000"/>
                    </a:schemeClr>
                  </a:solidFill>
                  <a:ln>
                    <a:noFill/>
                  </a:ln>
                  <a:effectLst/>
                </c:spPr>
                <c:invertIfNegative val="0"/>
                <c:cat>
                  <c:strRef>
                    <c:extLst xmlns:c15="http://schemas.microsoft.com/office/drawing/2012/chart">
                      <c:ext xmlns:c15="http://schemas.microsoft.com/office/drawing/2012/chart" uri="{02D57815-91ED-43cb-92C2-25804820EDAC}">
                        <c15:formulaRef>
                          <c15:sqref>Construction!$A$2:$A$6</c15:sqref>
                        </c15:formulaRef>
                      </c:ext>
                    </c:extLst>
                    <c:strCache>
                      <c:ptCount val="4"/>
                      <c:pt idx="0">
                        <c:v>Registered employers</c:v>
                      </c:pt>
                      <c:pt idx="1">
                        <c:v>Active workers (excludes apprentices)</c:v>
                      </c:pt>
                      <c:pt idx="2">
                        <c:v>Active apprentices</c:v>
                      </c:pt>
                      <c:pt idx="3">
                        <c:v>Inactive workers</c:v>
                      </c:pt>
                    </c:strCache>
                  </c:strRef>
                </c:cat>
                <c:val>
                  <c:numRef>
                    <c:extLst xmlns:c15="http://schemas.microsoft.com/office/drawing/2012/chart">
                      <c:ext xmlns:c15="http://schemas.microsoft.com/office/drawing/2012/chart" uri="{02D57815-91ED-43cb-92C2-25804820EDAC}">
                        <c15:formulaRef>
                          <c15:sqref>Construction!$N$2:$N$6</c15:sqref>
                        </c15:formulaRef>
                      </c:ext>
                    </c:extLst>
                    <c:numCache>
                      <c:formatCode>#,##0</c:formatCode>
                      <c:ptCount val="4"/>
                      <c:pt idx="0">
                        <c:v>1810</c:v>
                      </c:pt>
                      <c:pt idx="1">
                        <c:v>21806</c:v>
                      </c:pt>
                      <c:pt idx="2">
                        <c:v>2299</c:v>
                      </c:pt>
                      <c:pt idx="3">
                        <c:v>4030</c:v>
                      </c:pt>
                    </c:numCache>
                  </c:numRef>
                </c:val>
                <c:extLst xmlns:c15="http://schemas.microsoft.com/office/drawing/2012/chart">
                  <c:ext xmlns:c16="http://schemas.microsoft.com/office/drawing/2014/chart" uri="{C3380CC4-5D6E-409C-BE32-E72D297353CC}">
                    <c16:uniqueId val="{00000006-8658-4485-84E8-E4B893B0C812}"/>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Construction!$O$1</c15:sqref>
                        </c15:formulaRef>
                      </c:ext>
                    </c:extLst>
                    <c:strCache>
                      <c:ptCount val="1"/>
                      <c:pt idx="0">
                        <c:v>2020</c:v>
                      </c:pt>
                    </c:strCache>
                  </c:strRef>
                </c:tx>
                <c:spPr>
                  <a:solidFill>
                    <a:schemeClr val="accent1">
                      <a:shade val="93000"/>
                    </a:schemeClr>
                  </a:solidFill>
                  <a:ln>
                    <a:noFill/>
                  </a:ln>
                  <a:effectLst/>
                </c:spPr>
                <c:invertIfNegative val="0"/>
                <c:dPt>
                  <c:idx val="1"/>
                  <c:invertIfNegative val="0"/>
                  <c:bubble3D val="0"/>
                  <c:spPr>
                    <a:solidFill>
                      <a:schemeClr val="accent1">
                        <a:shade val="93000"/>
                      </a:schemeClr>
                    </a:solidFill>
                    <a:ln>
                      <a:noFill/>
                    </a:ln>
                    <a:effectLst/>
                  </c:spPr>
                  <c:extLst xmlns:c15="http://schemas.microsoft.com/office/drawing/2012/chart">
                    <c:ext xmlns:c16="http://schemas.microsoft.com/office/drawing/2014/chart" uri="{C3380CC4-5D6E-409C-BE32-E72D297353CC}">
                      <c16:uniqueId val="{00000008-8658-4485-84E8-E4B893B0C812}"/>
                    </c:ext>
                  </c:extLst>
                </c:dPt>
                <c:cat>
                  <c:strRef>
                    <c:extLst xmlns:c15="http://schemas.microsoft.com/office/drawing/2012/chart">
                      <c:ext xmlns:c15="http://schemas.microsoft.com/office/drawing/2012/chart" uri="{02D57815-91ED-43cb-92C2-25804820EDAC}">
                        <c15:formulaRef>
                          <c15:sqref>Construction!$A$2:$A$6</c15:sqref>
                        </c15:formulaRef>
                      </c:ext>
                    </c:extLst>
                    <c:strCache>
                      <c:ptCount val="4"/>
                      <c:pt idx="0">
                        <c:v>Registered employers</c:v>
                      </c:pt>
                      <c:pt idx="1">
                        <c:v>Active workers (excludes apprentices)</c:v>
                      </c:pt>
                      <c:pt idx="2">
                        <c:v>Active apprentices</c:v>
                      </c:pt>
                      <c:pt idx="3">
                        <c:v>Inactive workers</c:v>
                      </c:pt>
                    </c:strCache>
                  </c:strRef>
                </c:cat>
                <c:val>
                  <c:numRef>
                    <c:extLst xmlns:c15="http://schemas.microsoft.com/office/drawing/2012/chart">
                      <c:ext xmlns:c15="http://schemas.microsoft.com/office/drawing/2012/chart" uri="{02D57815-91ED-43cb-92C2-25804820EDAC}">
                        <c15:formulaRef>
                          <c15:sqref>Construction!$O$2:$O$6</c15:sqref>
                        </c15:formulaRef>
                      </c:ext>
                    </c:extLst>
                    <c:numCache>
                      <c:formatCode>#,##0</c:formatCode>
                      <c:ptCount val="4"/>
                      <c:pt idx="0">
                        <c:v>1912</c:v>
                      </c:pt>
                      <c:pt idx="1">
                        <c:v>23478</c:v>
                      </c:pt>
                      <c:pt idx="2">
                        <c:v>1954</c:v>
                      </c:pt>
                      <c:pt idx="3">
                        <c:v>3122</c:v>
                      </c:pt>
                    </c:numCache>
                  </c:numRef>
                </c:val>
                <c:extLst xmlns:c15="http://schemas.microsoft.com/office/drawing/2012/chart">
                  <c:ext xmlns:c16="http://schemas.microsoft.com/office/drawing/2014/chart" uri="{C3380CC4-5D6E-409C-BE32-E72D297353CC}">
                    <c16:uniqueId val="{00000009-8658-4485-84E8-E4B893B0C812}"/>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Construction!$P$1</c15:sqref>
                        </c15:formulaRef>
                      </c:ext>
                    </c:extLst>
                    <c:strCache>
                      <c:ptCount val="1"/>
                      <c:pt idx="0">
                        <c:v>2021</c:v>
                      </c:pt>
                    </c:strCache>
                  </c:strRef>
                </c:tx>
                <c:spPr>
                  <a:solidFill>
                    <a:schemeClr val="accent1">
                      <a:tint val="94000"/>
                    </a:schemeClr>
                  </a:solidFill>
                  <a:ln>
                    <a:noFill/>
                  </a:ln>
                  <a:effectLst/>
                </c:spPr>
                <c:invertIfNegative val="0"/>
                <c:cat>
                  <c:strRef>
                    <c:extLst xmlns:c15="http://schemas.microsoft.com/office/drawing/2012/chart">
                      <c:ext xmlns:c15="http://schemas.microsoft.com/office/drawing/2012/chart" uri="{02D57815-91ED-43cb-92C2-25804820EDAC}">
                        <c15:formulaRef>
                          <c15:sqref>Construction!$A$2:$A$6</c15:sqref>
                        </c15:formulaRef>
                      </c:ext>
                    </c:extLst>
                    <c:strCache>
                      <c:ptCount val="4"/>
                      <c:pt idx="0">
                        <c:v>Registered employers</c:v>
                      </c:pt>
                      <c:pt idx="1">
                        <c:v>Active workers (excludes apprentices)</c:v>
                      </c:pt>
                      <c:pt idx="2">
                        <c:v>Active apprentices</c:v>
                      </c:pt>
                      <c:pt idx="3">
                        <c:v>Inactive workers</c:v>
                      </c:pt>
                    </c:strCache>
                  </c:strRef>
                </c:cat>
                <c:val>
                  <c:numRef>
                    <c:extLst xmlns:c15="http://schemas.microsoft.com/office/drawing/2012/chart">
                      <c:ext xmlns:c15="http://schemas.microsoft.com/office/drawing/2012/chart" uri="{02D57815-91ED-43cb-92C2-25804820EDAC}">
                        <c15:formulaRef>
                          <c15:sqref>Construction!$P$2:$P$6</c15:sqref>
                        </c15:formulaRef>
                      </c:ext>
                    </c:extLst>
                    <c:numCache>
                      <c:formatCode>#,##0</c:formatCode>
                      <c:ptCount val="4"/>
                      <c:pt idx="0">
                        <c:v>2076</c:v>
                      </c:pt>
                      <c:pt idx="1">
                        <c:v>23812</c:v>
                      </c:pt>
                      <c:pt idx="2">
                        <c:v>2218</c:v>
                      </c:pt>
                      <c:pt idx="3">
                        <c:v>3198</c:v>
                      </c:pt>
                    </c:numCache>
                  </c:numRef>
                </c:val>
                <c:extLst xmlns:c15="http://schemas.microsoft.com/office/drawing/2012/chart">
                  <c:ext xmlns:c16="http://schemas.microsoft.com/office/drawing/2014/chart" uri="{C3380CC4-5D6E-409C-BE32-E72D297353CC}">
                    <c16:uniqueId val="{0000000A-8658-4485-84E8-E4B893B0C812}"/>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Construction!$Q$1</c15:sqref>
                        </c15:formulaRef>
                      </c:ext>
                    </c:extLst>
                    <c:strCache>
                      <c:ptCount val="1"/>
                      <c:pt idx="0">
                        <c:v>2022</c:v>
                      </c:pt>
                    </c:strCache>
                  </c:strRef>
                </c:tx>
                <c:spPr>
                  <a:solidFill>
                    <a:schemeClr val="accent1">
                      <a:tint val="81000"/>
                    </a:schemeClr>
                  </a:solidFill>
                  <a:ln>
                    <a:noFill/>
                  </a:ln>
                  <a:effectLst/>
                </c:spPr>
                <c:invertIfNegative val="0"/>
                <c:cat>
                  <c:strRef>
                    <c:extLst xmlns:c15="http://schemas.microsoft.com/office/drawing/2012/chart">
                      <c:ext xmlns:c15="http://schemas.microsoft.com/office/drawing/2012/chart" uri="{02D57815-91ED-43cb-92C2-25804820EDAC}">
                        <c15:formulaRef>
                          <c15:sqref>Construction!$A$2:$A$6</c15:sqref>
                        </c15:formulaRef>
                      </c:ext>
                    </c:extLst>
                    <c:strCache>
                      <c:ptCount val="4"/>
                      <c:pt idx="0">
                        <c:v>Registered employers</c:v>
                      </c:pt>
                      <c:pt idx="1">
                        <c:v>Active workers (excludes apprentices)</c:v>
                      </c:pt>
                      <c:pt idx="2">
                        <c:v>Active apprentices</c:v>
                      </c:pt>
                      <c:pt idx="3">
                        <c:v>Inactive workers</c:v>
                      </c:pt>
                    </c:strCache>
                  </c:strRef>
                </c:cat>
                <c:val>
                  <c:numRef>
                    <c:extLst xmlns:c15="http://schemas.microsoft.com/office/drawing/2012/chart">
                      <c:ext xmlns:c15="http://schemas.microsoft.com/office/drawing/2012/chart" uri="{02D57815-91ED-43cb-92C2-25804820EDAC}">
                        <c15:formulaRef>
                          <c15:sqref>Construction!$Q$2:$Q$6</c15:sqref>
                        </c15:formulaRef>
                      </c:ext>
                    </c:extLst>
                    <c:numCache>
                      <c:formatCode>#,##0</c:formatCode>
                      <c:ptCount val="4"/>
                      <c:pt idx="0">
                        <c:v>2157</c:v>
                      </c:pt>
                      <c:pt idx="1">
                        <c:v>24362</c:v>
                      </c:pt>
                      <c:pt idx="2">
                        <c:v>2364</c:v>
                      </c:pt>
                      <c:pt idx="3">
                        <c:v>3377</c:v>
                      </c:pt>
                    </c:numCache>
                  </c:numRef>
                </c:val>
                <c:extLst xmlns:c15="http://schemas.microsoft.com/office/drawing/2012/chart">
                  <c:ext xmlns:c16="http://schemas.microsoft.com/office/drawing/2014/chart" uri="{C3380CC4-5D6E-409C-BE32-E72D297353CC}">
                    <c16:uniqueId val="{0000000B-8658-4485-84E8-E4B893B0C812}"/>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Construction!$R$1</c15:sqref>
                        </c15:formulaRef>
                      </c:ext>
                    </c:extLst>
                    <c:strCache>
                      <c:ptCount val="1"/>
                      <c:pt idx="0">
                        <c:v>2023</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Construction!$A$2:$A$6</c15:sqref>
                        </c15:formulaRef>
                      </c:ext>
                    </c:extLst>
                    <c:strCache>
                      <c:ptCount val="4"/>
                      <c:pt idx="0">
                        <c:v>Registered employers</c:v>
                      </c:pt>
                      <c:pt idx="1">
                        <c:v>Active workers (excludes apprentices)</c:v>
                      </c:pt>
                      <c:pt idx="2">
                        <c:v>Active apprentices</c:v>
                      </c:pt>
                      <c:pt idx="3">
                        <c:v>Inactive workers</c:v>
                      </c:pt>
                    </c:strCache>
                  </c:strRef>
                </c:cat>
                <c:val>
                  <c:numRef>
                    <c:extLst xmlns:c15="http://schemas.microsoft.com/office/drawing/2012/chart">
                      <c:ext xmlns:c15="http://schemas.microsoft.com/office/drawing/2012/chart" uri="{02D57815-91ED-43cb-92C2-25804820EDAC}">
                        <c15:formulaRef>
                          <c15:sqref>Construction!$R$2:$R$6</c15:sqref>
                        </c15:formulaRef>
                      </c:ext>
                    </c:extLst>
                    <c:numCache>
                      <c:formatCode>#,##0</c:formatCode>
                      <c:ptCount val="4"/>
                      <c:pt idx="0">
                        <c:v>2250</c:v>
                      </c:pt>
                      <c:pt idx="1">
                        <c:v>24780</c:v>
                      </c:pt>
                      <c:pt idx="2">
                        <c:v>2371</c:v>
                      </c:pt>
                      <c:pt idx="3">
                        <c:v>3544</c:v>
                      </c:pt>
                    </c:numCache>
                  </c:numRef>
                </c:val>
                <c:extLst xmlns:c15="http://schemas.microsoft.com/office/drawing/2012/chart">
                  <c:ext xmlns:c16="http://schemas.microsoft.com/office/drawing/2014/chart" uri="{C3380CC4-5D6E-409C-BE32-E72D297353CC}">
                    <c16:uniqueId val="{0000000C-8658-4485-84E8-E4B893B0C812}"/>
                  </c:ext>
                </c:extLst>
              </c15:ser>
            </c15:filteredBarSeries>
          </c:ext>
        </c:extLst>
      </c:barChart>
      <c:catAx>
        <c:axId val="955056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955058592"/>
        <c:crosses val="autoZero"/>
        <c:auto val="1"/>
        <c:lblAlgn val="ctr"/>
        <c:lblOffset val="100"/>
        <c:noMultiLvlLbl val="0"/>
      </c:catAx>
      <c:valAx>
        <c:axId val="955058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955056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12700" cap="flat" cmpd="sng" algn="ctr">
      <a:no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95761567298522"/>
          <c:y val="3.3126283195160436E-2"/>
          <c:w val="0.89004236495002309"/>
          <c:h val="0.78054922738572996"/>
        </c:manualLayout>
      </c:layout>
      <c:barChart>
        <c:barDir val="col"/>
        <c:grouping val="clustered"/>
        <c:varyColors val="0"/>
        <c:ser>
          <c:idx val="0"/>
          <c:order val="0"/>
          <c:tx>
            <c:strRef>
              <c:f>Construction!$A$17</c:f>
              <c:strCache>
                <c:ptCount val="1"/>
                <c:pt idx="0">
                  <c:v>Amount ($)</c:v>
                </c:pt>
              </c:strCache>
            </c:strRef>
          </c:tx>
          <c:spPr>
            <a:solidFill>
              <a:schemeClr val="accent1"/>
            </a:solidFill>
            <a:ln>
              <a:noFill/>
            </a:ln>
            <a:effectLst/>
          </c:spPr>
          <c:invertIfNegative val="0"/>
          <c:cat>
            <c:numRef>
              <c:f>Construction!$O$1:$U$1</c:f>
              <c:numCache>
                <c:formatCode>General</c:formatCode>
                <c:ptCount val="7"/>
                <c:pt idx="0">
                  <c:v>2020</c:v>
                </c:pt>
                <c:pt idx="1">
                  <c:v>2021</c:v>
                </c:pt>
                <c:pt idx="2">
                  <c:v>2022</c:v>
                </c:pt>
                <c:pt idx="3">
                  <c:v>2023</c:v>
                </c:pt>
                <c:pt idx="4">
                  <c:v>2024</c:v>
                </c:pt>
                <c:pt idx="5">
                  <c:v>2025</c:v>
                </c:pt>
                <c:pt idx="6">
                  <c:v>2026</c:v>
                </c:pt>
              </c:numCache>
              <c:extLst/>
            </c:numRef>
          </c:cat>
          <c:val>
            <c:numRef>
              <c:f>Construction!$O$17:$U$17</c:f>
              <c:numCache>
                <c:formatCode>#,##0.000,,\M</c:formatCode>
                <c:ptCount val="7"/>
                <c:pt idx="0">
                  <c:v>14905000</c:v>
                </c:pt>
                <c:pt idx="1">
                  <c:v>15849000</c:v>
                </c:pt>
                <c:pt idx="2">
                  <c:v>14659000</c:v>
                </c:pt>
                <c:pt idx="3">
                  <c:v>17609000</c:v>
                </c:pt>
                <c:pt idx="4">
                  <c:v>19388000</c:v>
                </c:pt>
                <c:pt idx="5">
                  <c:v>22170000</c:v>
                </c:pt>
                <c:pt idx="6">
                  <c:v>23393000</c:v>
                </c:pt>
              </c:numCache>
              <c:extLst/>
            </c:numRef>
          </c:val>
          <c:extLst>
            <c:ext xmlns:c16="http://schemas.microsoft.com/office/drawing/2014/chart" uri="{C3380CC4-5D6E-409C-BE32-E72D297353CC}">
              <c16:uniqueId val="{00000000-9811-47C6-9545-DE165C9BF396}"/>
            </c:ext>
          </c:extLst>
        </c:ser>
        <c:dLbls>
          <c:showLegendKey val="0"/>
          <c:showVal val="0"/>
          <c:showCatName val="0"/>
          <c:showSerName val="0"/>
          <c:showPercent val="0"/>
          <c:showBubbleSize val="0"/>
        </c:dLbls>
        <c:gapWidth val="150"/>
        <c:axId val="559680584"/>
        <c:axId val="559684504"/>
      </c:barChart>
      <c:catAx>
        <c:axId val="559680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84504"/>
        <c:crosses val="autoZero"/>
        <c:auto val="1"/>
        <c:lblAlgn val="ctr"/>
        <c:lblOffset val="100"/>
        <c:noMultiLvlLbl val="0"/>
      </c:catAx>
      <c:valAx>
        <c:axId val="5596845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80584"/>
        <c:crosses val="autoZero"/>
        <c:crossBetween val="between"/>
        <c:dispUnits>
          <c:builtInUnit val="millions"/>
          <c:dispUnitsLbl>
            <c:layout>
              <c:manualLayout>
                <c:xMode val="edge"/>
                <c:yMode val="edge"/>
                <c:x val="8.6918730986527588E-3"/>
                <c:y val="0.41759125642494066"/>
              </c:manualLayout>
            </c:layout>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Millions ($)</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119042161594845"/>
          <c:y val="1.9373961762012594E-2"/>
          <c:w val="0.88801641553047628"/>
          <c:h val="0.79343393369330673"/>
        </c:manualLayout>
      </c:layout>
      <c:barChart>
        <c:barDir val="col"/>
        <c:grouping val="clustered"/>
        <c:varyColors val="0"/>
        <c:ser>
          <c:idx val="8"/>
          <c:order val="8"/>
          <c:tx>
            <c:strRef>
              <c:f>Services!$S$1</c:f>
              <c:strCache>
                <c:ptCount val="1"/>
                <c:pt idx="0">
                  <c:v>2024</c:v>
                </c:pt>
              </c:strCache>
            </c:strRef>
          </c:tx>
          <c:spPr>
            <a:solidFill>
              <a:schemeClr val="accent4"/>
            </a:solidFill>
            <a:ln>
              <a:noFill/>
            </a:ln>
            <a:effectLst/>
          </c:spPr>
          <c:invertIfNegative val="0"/>
          <c:cat>
            <c:strRef>
              <c:f>Services!$A$2:$A$5</c:f>
              <c:strCache>
                <c:ptCount val="3"/>
                <c:pt idx="0">
                  <c:v>Registered employers</c:v>
                </c:pt>
                <c:pt idx="1">
                  <c:v>Active workers</c:v>
                </c:pt>
                <c:pt idx="2">
                  <c:v>Inactive workers</c:v>
                </c:pt>
              </c:strCache>
              <c:extLst/>
            </c:strRef>
          </c:cat>
          <c:val>
            <c:numRef>
              <c:f>Services!$S$2:$S$5</c:f>
              <c:numCache>
                <c:formatCode>#,##0</c:formatCode>
                <c:ptCount val="3"/>
                <c:pt idx="0">
                  <c:v>153</c:v>
                </c:pt>
                <c:pt idx="1">
                  <c:v>7214</c:v>
                </c:pt>
                <c:pt idx="2">
                  <c:v>1095</c:v>
                </c:pt>
              </c:numCache>
              <c:extLst/>
            </c:numRef>
          </c:val>
          <c:extLst>
            <c:ext xmlns:c16="http://schemas.microsoft.com/office/drawing/2014/chart" uri="{C3380CC4-5D6E-409C-BE32-E72D297353CC}">
              <c16:uniqueId val="{00000000-00AA-4E0F-9D96-376EA5490D30}"/>
            </c:ext>
          </c:extLst>
        </c:ser>
        <c:ser>
          <c:idx val="9"/>
          <c:order val="9"/>
          <c:tx>
            <c:strRef>
              <c:f>Services!$T$1</c:f>
              <c:strCache>
                <c:ptCount val="1"/>
                <c:pt idx="0">
                  <c:v>2025</c:v>
                </c:pt>
              </c:strCache>
            </c:strRef>
          </c:tx>
          <c:spPr>
            <a:solidFill>
              <a:schemeClr val="accent2"/>
            </a:solidFill>
            <a:ln>
              <a:noFill/>
            </a:ln>
            <a:effectLst/>
          </c:spPr>
          <c:invertIfNegative val="0"/>
          <c:cat>
            <c:strRef>
              <c:f>Services!$A$2:$A$5</c:f>
              <c:strCache>
                <c:ptCount val="3"/>
                <c:pt idx="0">
                  <c:v>Registered employers</c:v>
                </c:pt>
                <c:pt idx="1">
                  <c:v>Active workers</c:v>
                </c:pt>
                <c:pt idx="2">
                  <c:v>Inactive workers</c:v>
                </c:pt>
              </c:strCache>
              <c:extLst/>
            </c:strRef>
          </c:cat>
          <c:val>
            <c:numRef>
              <c:f>Services!$T$2:$T$5</c:f>
              <c:numCache>
                <c:formatCode>#,##0</c:formatCode>
                <c:ptCount val="3"/>
                <c:pt idx="0">
                  <c:v>168</c:v>
                </c:pt>
                <c:pt idx="1">
                  <c:v>7703</c:v>
                </c:pt>
                <c:pt idx="2">
                  <c:v>1118</c:v>
                </c:pt>
              </c:numCache>
              <c:extLst/>
            </c:numRef>
          </c:val>
          <c:extLst>
            <c:ext xmlns:c16="http://schemas.microsoft.com/office/drawing/2014/chart" uri="{C3380CC4-5D6E-409C-BE32-E72D297353CC}">
              <c16:uniqueId val="{00000001-00AA-4E0F-9D96-376EA5490D30}"/>
            </c:ext>
          </c:extLst>
        </c:ser>
        <c:ser>
          <c:idx val="10"/>
          <c:order val="10"/>
          <c:tx>
            <c:strRef>
              <c:f>Services!$U$1</c:f>
              <c:strCache>
                <c:ptCount val="1"/>
                <c:pt idx="0">
                  <c:v>2026</c:v>
                </c:pt>
              </c:strCache>
            </c:strRef>
          </c:tx>
          <c:spPr>
            <a:solidFill>
              <a:schemeClr val="accent1"/>
            </a:solidFill>
            <a:ln>
              <a:noFill/>
            </a:ln>
            <a:effectLst/>
          </c:spPr>
          <c:invertIfNegative val="0"/>
          <c:cat>
            <c:strRef>
              <c:f>Services!$A$2:$A$5</c:f>
              <c:strCache>
                <c:ptCount val="3"/>
                <c:pt idx="0">
                  <c:v>Registered employers</c:v>
                </c:pt>
                <c:pt idx="1">
                  <c:v>Active workers</c:v>
                </c:pt>
                <c:pt idx="2">
                  <c:v>Inactive workers</c:v>
                </c:pt>
              </c:strCache>
              <c:extLst/>
            </c:strRef>
          </c:cat>
          <c:val>
            <c:numRef>
              <c:f>Services!$U$2:$U$5</c:f>
              <c:numCache>
                <c:formatCode>#,##0</c:formatCode>
                <c:ptCount val="3"/>
                <c:pt idx="0">
                  <c:v>164</c:v>
                </c:pt>
                <c:pt idx="1">
                  <c:v>7829</c:v>
                </c:pt>
                <c:pt idx="2">
                  <c:v>1166</c:v>
                </c:pt>
              </c:numCache>
              <c:extLst/>
            </c:numRef>
          </c:val>
          <c:extLst>
            <c:ext xmlns:c16="http://schemas.microsoft.com/office/drawing/2014/chart" uri="{C3380CC4-5D6E-409C-BE32-E72D297353CC}">
              <c16:uniqueId val="{00000002-00AA-4E0F-9D96-376EA5490D30}"/>
            </c:ext>
          </c:extLst>
        </c:ser>
        <c:dLbls>
          <c:showLegendKey val="0"/>
          <c:showVal val="0"/>
          <c:showCatName val="0"/>
          <c:showSerName val="0"/>
          <c:showPercent val="0"/>
          <c:showBubbleSize val="0"/>
        </c:dLbls>
        <c:gapWidth val="150"/>
        <c:axId val="559686072"/>
        <c:axId val="559683328"/>
        <c:extLst>
          <c:ext xmlns:c15="http://schemas.microsoft.com/office/drawing/2012/chart" uri="{02D57815-91ED-43cb-92C2-25804820EDAC}">
            <c15:filteredBarSeries>
              <c15:ser>
                <c:idx val="0"/>
                <c:order val="0"/>
                <c:tx>
                  <c:strRef>
                    <c:extLst>
                      <c:ext uri="{02D57815-91ED-43cb-92C2-25804820EDAC}">
                        <c15:formulaRef>
                          <c15:sqref>Services!$K$1</c15:sqref>
                        </c15:formulaRef>
                      </c:ext>
                    </c:extLst>
                    <c:strCache>
                      <c:ptCount val="1"/>
                      <c:pt idx="0">
                        <c:v>2016</c:v>
                      </c:pt>
                    </c:strCache>
                  </c:strRef>
                </c:tx>
                <c:spPr>
                  <a:solidFill>
                    <a:schemeClr val="accent2">
                      <a:shade val="41000"/>
                    </a:schemeClr>
                  </a:solidFill>
                  <a:ln>
                    <a:noFill/>
                  </a:ln>
                  <a:effectLst/>
                </c:spPr>
                <c:invertIfNegative val="0"/>
                <c:cat>
                  <c:strRef>
                    <c:extLst>
                      <c:ext uri="{02D57815-91ED-43cb-92C2-25804820EDAC}">
                        <c15:formulaRef>
                          <c15:sqref>Services!$A$2:$A$5</c15:sqref>
                        </c15:formulaRef>
                      </c:ext>
                    </c:extLst>
                    <c:strCache>
                      <c:ptCount val="3"/>
                      <c:pt idx="0">
                        <c:v>Registered employers</c:v>
                      </c:pt>
                      <c:pt idx="1">
                        <c:v>Active workers</c:v>
                      </c:pt>
                      <c:pt idx="2">
                        <c:v>Inactive workers</c:v>
                      </c:pt>
                    </c:strCache>
                  </c:strRef>
                </c:cat>
                <c:val>
                  <c:numRef>
                    <c:extLst>
                      <c:ext uri="{02D57815-91ED-43cb-92C2-25804820EDAC}">
                        <c15:formulaRef>
                          <c15:sqref>Services!$K$2:$K$5</c15:sqref>
                        </c15:formulaRef>
                      </c:ext>
                    </c:extLst>
                    <c:numCache>
                      <c:formatCode>#,##0</c:formatCode>
                      <c:ptCount val="3"/>
                      <c:pt idx="0">
                        <c:v>97</c:v>
                      </c:pt>
                      <c:pt idx="1">
                        <c:v>5312</c:v>
                      </c:pt>
                      <c:pt idx="2">
                        <c:v>362</c:v>
                      </c:pt>
                    </c:numCache>
                  </c:numRef>
                </c:val>
                <c:extLst>
                  <c:ext xmlns:c16="http://schemas.microsoft.com/office/drawing/2014/chart" uri="{C3380CC4-5D6E-409C-BE32-E72D297353CC}">
                    <c16:uniqueId val="{00000003-00AA-4E0F-9D96-376EA5490D30}"/>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Services!$L$1</c15:sqref>
                        </c15:formulaRef>
                      </c:ext>
                    </c:extLst>
                    <c:strCache>
                      <c:ptCount val="1"/>
                      <c:pt idx="0">
                        <c:v>2017</c:v>
                      </c:pt>
                    </c:strCache>
                  </c:strRef>
                </c:tx>
                <c:spPr>
                  <a:solidFill>
                    <a:schemeClr val="accent2">
                      <a:shade val="53000"/>
                    </a:schemeClr>
                  </a:solidFill>
                  <a:ln>
                    <a:noFill/>
                  </a:ln>
                  <a:effectLst/>
                </c:spPr>
                <c:invertIfNegative val="0"/>
                <c:cat>
                  <c:strRef>
                    <c:extLst xmlns:c15="http://schemas.microsoft.com/office/drawing/2012/chart">
                      <c:ext xmlns:c15="http://schemas.microsoft.com/office/drawing/2012/chart" uri="{02D57815-91ED-43cb-92C2-25804820EDAC}">
                        <c15:formulaRef>
                          <c15:sqref>Services!$A$2:$A$5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Services!$L$2:$L$5</c15:sqref>
                        </c15:formulaRef>
                      </c:ext>
                    </c:extLst>
                    <c:numCache>
                      <c:formatCode>#,##0</c:formatCode>
                      <c:ptCount val="3"/>
                      <c:pt idx="0">
                        <c:v>104</c:v>
                      </c:pt>
                      <c:pt idx="1">
                        <c:v>5573</c:v>
                      </c:pt>
                      <c:pt idx="2">
                        <c:v>223</c:v>
                      </c:pt>
                    </c:numCache>
                  </c:numRef>
                </c:val>
                <c:extLst xmlns:c15="http://schemas.microsoft.com/office/drawing/2012/chart">
                  <c:ext xmlns:c16="http://schemas.microsoft.com/office/drawing/2014/chart" uri="{C3380CC4-5D6E-409C-BE32-E72D297353CC}">
                    <c16:uniqueId val="{00000004-00AA-4E0F-9D96-376EA5490D30}"/>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Services!$M$1</c15:sqref>
                        </c15:formulaRef>
                      </c:ext>
                    </c:extLst>
                    <c:strCache>
                      <c:ptCount val="1"/>
                      <c:pt idx="0">
                        <c:v>2018</c:v>
                      </c:pt>
                    </c:strCache>
                  </c:strRef>
                </c:tx>
                <c:spPr>
                  <a:solidFill>
                    <a:schemeClr val="accent2">
                      <a:shade val="65000"/>
                    </a:schemeClr>
                  </a:solidFill>
                  <a:ln>
                    <a:noFill/>
                  </a:ln>
                  <a:effectLst/>
                </c:spPr>
                <c:invertIfNegative val="0"/>
                <c:cat>
                  <c:strRef>
                    <c:extLst xmlns:c15="http://schemas.microsoft.com/office/drawing/2012/chart">
                      <c:ext xmlns:c15="http://schemas.microsoft.com/office/drawing/2012/chart" uri="{02D57815-91ED-43cb-92C2-25804820EDAC}">
                        <c15:formulaRef>
                          <c15:sqref>Services!$A$2:$A$5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Services!$M$2:$M$5</c15:sqref>
                        </c15:formulaRef>
                      </c:ext>
                    </c:extLst>
                    <c:numCache>
                      <c:formatCode>#,##0</c:formatCode>
                      <c:ptCount val="3"/>
                      <c:pt idx="0">
                        <c:v>108</c:v>
                      </c:pt>
                      <c:pt idx="1">
                        <c:v>5351</c:v>
                      </c:pt>
                      <c:pt idx="2">
                        <c:v>708</c:v>
                      </c:pt>
                    </c:numCache>
                  </c:numRef>
                </c:val>
                <c:extLst xmlns:c15="http://schemas.microsoft.com/office/drawing/2012/chart">
                  <c:ext xmlns:c16="http://schemas.microsoft.com/office/drawing/2014/chart" uri="{C3380CC4-5D6E-409C-BE32-E72D297353CC}">
                    <c16:uniqueId val="{00000005-00AA-4E0F-9D96-376EA5490D30}"/>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Services!$N$1</c15:sqref>
                        </c15:formulaRef>
                      </c:ext>
                    </c:extLst>
                    <c:strCache>
                      <c:ptCount val="1"/>
                      <c:pt idx="0">
                        <c:v>2019</c:v>
                      </c:pt>
                    </c:strCache>
                  </c:strRef>
                </c:tx>
                <c:spPr>
                  <a:solidFill>
                    <a:schemeClr val="accent2">
                      <a:shade val="80000"/>
                    </a:schemeClr>
                  </a:solidFill>
                  <a:ln>
                    <a:noFill/>
                  </a:ln>
                  <a:effectLst/>
                </c:spPr>
                <c:invertIfNegative val="0"/>
                <c:cat>
                  <c:strRef>
                    <c:extLst xmlns:c15="http://schemas.microsoft.com/office/drawing/2012/chart">
                      <c:ext xmlns:c15="http://schemas.microsoft.com/office/drawing/2012/chart" uri="{02D57815-91ED-43cb-92C2-25804820EDAC}">
                        <c15:formulaRef>
                          <c15:sqref>Services!$A$2:$A$5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Services!$N$2:$N$5</c15:sqref>
                        </c15:formulaRef>
                      </c:ext>
                    </c:extLst>
                    <c:numCache>
                      <c:formatCode>#,##0</c:formatCode>
                      <c:ptCount val="3"/>
                      <c:pt idx="0">
                        <c:v>128</c:v>
                      </c:pt>
                      <c:pt idx="1">
                        <c:v>5564</c:v>
                      </c:pt>
                      <c:pt idx="2">
                        <c:v>979</c:v>
                      </c:pt>
                    </c:numCache>
                  </c:numRef>
                </c:val>
                <c:extLst xmlns:c15="http://schemas.microsoft.com/office/drawing/2012/chart">
                  <c:ext xmlns:c16="http://schemas.microsoft.com/office/drawing/2014/chart" uri="{C3380CC4-5D6E-409C-BE32-E72D297353CC}">
                    <c16:uniqueId val="{00000006-00AA-4E0F-9D96-376EA5490D30}"/>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Services!$O$1</c15:sqref>
                        </c15:formulaRef>
                      </c:ext>
                    </c:extLst>
                    <c:strCache>
                      <c:ptCount val="1"/>
                      <c:pt idx="0">
                        <c:v>2020</c:v>
                      </c:pt>
                    </c:strCache>
                  </c:strRef>
                </c:tx>
                <c:spPr>
                  <a:solidFill>
                    <a:schemeClr val="accent2">
                      <a:shade val="93000"/>
                    </a:schemeClr>
                  </a:solidFill>
                  <a:ln>
                    <a:noFill/>
                  </a:ln>
                  <a:effectLst/>
                </c:spPr>
                <c:invertIfNegative val="0"/>
                <c:cat>
                  <c:strRef>
                    <c:extLst xmlns:c15="http://schemas.microsoft.com/office/drawing/2012/chart">
                      <c:ext xmlns:c15="http://schemas.microsoft.com/office/drawing/2012/chart" uri="{02D57815-91ED-43cb-92C2-25804820EDAC}">
                        <c15:formulaRef>
                          <c15:sqref>Services!$A$2:$A$5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Services!$O$2:$O$5</c15:sqref>
                        </c15:formulaRef>
                      </c:ext>
                    </c:extLst>
                    <c:numCache>
                      <c:formatCode>#,##0</c:formatCode>
                      <c:ptCount val="3"/>
                      <c:pt idx="0">
                        <c:v>136</c:v>
                      </c:pt>
                      <c:pt idx="1">
                        <c:v>5806</c:v>
                      </c:pt>
                      <c:pt idx="2">
                        <c:v>964</c:v>
                      </c:pt>
                    </c:numCache>
                  </c:numRef>
                </c:val>
                <c:extLst xmlns:c15="http://schemas.microsoft.com/office/drawing/2012/chart">
                  <c:ext xmlns:c16="http://schemas.microsoft.com/office/drawing/2014/chart" uri="{C3380CC4-5D6E-409C-BE32-E72D297353CC}">
                    <c16:uniqueId val="{00000007-00AA-4E0F-9D96-376EA5490D30}"/>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Services!$P$1</c15:sqref>
                        </c15:formulaRef>
                      </c:ext>
                    </c:extLst>
                    <c:strCache>
                      <c:ptCount val="1"/>
                      <c:pt idx="0">
                        <c:v>2021</c:v>
                      </c:pt>
                    </c:strCache>
                  </c:strRef>
                </c:tx>
                <c:spPr>
                  <a:solidFill>
                    <a:schemeClr val="accent2">
                      <a:tint val="94000"/>
                    </a:schemeClr>
                  </a:solidFill>
                  <a:ln>
                    <a:noFill/>
                  </a:ln>
                  <a:effectLst/>
                </c:spPr>
                <c:invertIfNegative val="0"/>
                <c:cat>
                  <c:strRef>
                    <c:extLst xmlns:c15="http://schemas.microsoft.com/office/drawing/2012/chart">
                      <c:ext xmlns:c15="http://schemas.microsoft.com/office/drawing/2012/chart" uri="{02D57815-91ED-43cb-92C2-25804820EDAC}">
                        <c15:formulaRef>
                          <c15:sqref>Services!$A$2:$A$5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Services!$P$2:$P$5</c15:sqref>
                        </c15:formulaRef>
                      </c:ext>
                    </c:extLst>
                    <c:numCache>
                      <c:formatCode>#,##0</c:formatCode>
                      <c:ptCount val="3"/>
                      <c:pt idx="0">
                        <c:v>148</c:v>
                      </c:pt>
                      <c:pt idx="1">
                        <c:v>5961</c:v>
                      </c:pt>
                      <c:pt idx="2">
                        <c:v>991</c:v>
                      </c:pt>
                    </c:numCache>
                  </c:numRef>
                </c:val>
                <c:extLst xmlns:c15="http://schemas.microsoft.com/office/drawing/2012/chart">
                  <c:ext xmlns:c16="http://schemas.microsoft.com/office/drawing/2014/chart" uri="{C3380CC4-5D6E-409C-BE32-E72D297353CC}">
                    <c16:uniqueId val="{00000008-00AA-4E0F-9D96-376EA5490D30}"/>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Services!$Q$1</c15:sqref>
                        </c15:formulaRef>
                      </c:ext>
                    </c:extLst>
                    <c:strCache>
                      <c:ptCount val="1"/>
                      <c:pt idx="0">
                        <c:v>2022</c:v>
                      </c:pt>
                    </c:strCache>
                  </c:strRef>
                </c:tx>
                <c:spPr>
                  <a:solidFill>
                    <a:schemeClr val="accent2">
                      <a:tint val="81000"/>
                    </a:schemeClr>
                  </a:solidFill>
                  <a:ln>
                    <a:noFill/>
                  </a:ln>
                  <a:effectLst/>
                </c:spPr>
                <c:invertIfNegative val="0"/>
                <c:cat>
                  <c:strRef>
                    <c:extLst xmlns:c15="http://schemas.microsoft.com/office/drawing/2012/chart">
                      <c:ext xmlns:c15="http://schemas.microsoft.com/office/drawing/2012/chart" uri="{02D57815-91ED-43cb-92C2-25804820EDAC}">
                        <c15:formulaRef>
                          <c15:sqref>Services!$A$2:$A$5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Services!$Q$2:$Q$5</c15:sqref>
                        </c15:formulaRef>
                      </c:ext>
                    </c:extLst>
                    <c:numCache>
                      <c:formatCode>#,##0</c:formatCode>
                      <c:ptCount val="3"/>
                      <c:pt idx="0">
                        <c:v>152</c:v>
                      </c:pt>
                      <c:pt idx="1">
                        <c:v>6391</c:v>
                      </c:pt>
                      <c:pt idx="2">
                        <c:v>1023</c:v>
                      </c:pt>
                    </c:numCache>
                  </c:numRef>
                </c:val>
                <c:extLst xmlns:c15="http://schemas.microsoft.com/office/drawing/2012/chart">
                  <c:ext xmlns:c16="http://schemas.microsoft.com/office/drawing/2014/chart" uri="{C3380CC4-5D6E-409C-BE32-E72D297353CC}">
                    <c16:uniqueId val="{00000009-00AA-4E0F-9D96-376EA5490D30}"/>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Services!$R$1</c15:sqref>
                        </c15:formulaRef>
                      </c:ext>
                    </c:extLst>
                    <c:strCache>
                      <c:ptCount val="1"/>
                      <c:pt idx="0">
                        <c:v>2023</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Services!$A$2:$A$5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Services!$R$2:$R$5</c15:sqref>
                        </c15:formulaRef>
                      </c:ext>
                    </c:extLst>
                    <c:numCache>
                      <c:formatCode>#,##0</c:formatCode>
                      <c:ptCount val="3"/>
                      <c:pt idx="0">
                        <c:v>155</c:v>
                      </c:pt>
                      <c:pt idx="1">
                        <c:v>6904</c:v>
                      </c:pt>
                      <c:pt idx="2">
                        <c:v>1048</c:v>
                      </c:pt>
                    </c:numCache>
                  </c:numRef>
                </c:val>
                <c:extLst xmlns:c15="http://schemas.microsoft.com/office/drawing/2012/chart">
                  <c:ext xmlns:c16="http://schemas.microsoft.com/office/drawing/2014/chart" uri="{C3380CC4-5D6E-409C-BE32-E72D297353CC}">
                    <c16:uniqueId val="{0000000A-00AA-4E0F-9D96-376EA5490D30}"/>
                  </c:ext>
                </c:extLst>
              </c15:ser>
            </c15:filteredBarSeries>
          </c:ext>
        </c:extLst>
      </c:barChart>
      <c:catAx>
        <c:axId val="559686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59683328"/>
        <c:crosses val="autoZero"/>
        <c:auto val="1"/>
        <c:lblAlgn val="ctr"/>
        <c:lblOffset val="100"/>
        <c:noMultiLvlLbl val="0"/>
      </c:catAx>
      <c:valAx>
        <c:axId val="559683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59686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12700" cap="flat" cmpd="sng" algn="ctr">
      <a:no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37384242064081"/>
          <c:y val="5.1654545046829564E-2"/>
          <c:w val="0.87662612151690233"/>
          <c:h val="0.76891152889977088"/>
        </c:manualLayout>
      </c:layout>
      <c:barChart>
        <c:barDir val="col"/>
        <c:grouping val="clustered"/>
        <c:varyColors val="0"/>
        <c:ser>
          <c:idx val="0"/>
          <c:order val="0"/>
          <c:tx>
            <c:strRef>
              <c:f>Services!$A$16</c:f>
              <c:strCache>
                <c:ptCount val="1"/>
                <c:pt idx="0">
                  <c:v>Amount ($)</c:v>
                </c:pt>
              </c:strCache>
            </c:strRef>
          </c:tx>
          <c:spPr>
            <a:solidFill>
              <a:schemeClr val="accent1"/>
            </a:solidFill>
            <a:ln>
              <a:noFill/>
            </a:ln>
            <a:effectLst/>
          </c:spPr>
          <c:invertIfNegative val="0"/>
          <c:cat>
            <c:numRef>
              <c:f>Services!$O$1:$U$1</c:f>
              <c:numCache>
                <c:formatCode>General</c:formatCode>
                <c:ptCount val="7"/>
                <c:pt idx="0">
                  <c:v>2020</c:v>
                </c:pt>
                <c:pt idx="1">
                  <c:v>2021</c:v>
                </c:pt>
                <c:pt idx="2">
                  <c:v>2022</c:v>
                </c:pt>
                <c:pt idx="3">
                  <c:v>2023</c:v>
                </c:pt>
                <c:pt idx="4">
                  <c:v>2024</c:v>
                </c:pt>
                <c:pt idx="5">
                  <c:v>2025</c:v>
                </c:pt>
                <c:pt idx="6">
                  <c:v>2026</c:v>
                </c:pt>
              </c:numCache>
              <c:extLst/>
            </c:numRef>
          </c:cat>
          <c:val>
            <c:numRef>
              <c:f>Services!$O$16:$U$16</c:f>
              <c:numCache>
                <c:formatCode>#,##0.000,,\M</c:formatCode>
                <c:ptCount val="7"/>
                <c:pt idx="0">
                  <c:v>1316000</c:v>
                </c:pt>
                <c:pt idx="1">
                  <c:v>1301000</c:v>
                </c:pt>
                <c:pt idx="2">
                  <c:v>1273000</c:v>
                </c:pt>
                <c:pt idx="3">
                  <c:v>1427000</c:v>
                </c:pt>
                <c:pt idx="4">
                  <c:v>1386000</c:v>
                </c:pt>
                <c:pt idx="5">
                  <c:v>1560000</c:v>
                </c:pt>
                <c:pt idx="6">
                  <c:v>1577000</c:v>
                </c:pt>
              </c:numCache>
              <c:extLst/>
            </c:numRef>
          </c:val>
          <c:extLst>
            <c:ext xmlns:c16="http://schemas.microsoft.com/office/drawing/2014/chart" uri="{C3380CC4-5D6E-409C-BE32-E72D297353CC}">
              <c16:uniqueId val="{00000000-4279-48DE-81D0-6F92DB33FE8B}"/>
            </c:ext>
          </c:extLst>
        </c:ser>
        <c:dLbls>
          <c:showLegendKey val="0"/>
          <c:showVal val="0"/>
          <c:showCatName val="0"/>
          <c:showSerName val="0"/>
          <c:showPercent val="0"/>
          <c:showBubbleSize val="0"/>
        </c:dLbls>
        <c:gapWidth val="150"/>
        <c:axId val="559685288"/>
        <c:axId val="559686464"/>
      </c:barChart>
      <c:catAx>
        <c:axId val="559685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86464"/>
        <c:crosses val="autoZero"/>
        <c:auto val="1"/>
        <c:lblAlgn val="ctr"/>
        <c:lblOffset val="100"/>
        <c:noMultiLvlLbl val="0"/>
      </c:catAx>
      <c:valAx>
        <c:axId val="559686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85288"/>
        <c:crosses val="autoZero"/>
        <c:crossBetween val="between"/>
        <c:dispUnits>
          <c:builtInUnit val="millions"/>
          <c:dispUnitsLbl>
            <c:layout>
              <c:manualLayout>
                <c:xMode val="edge"/>
                <c:yMode val="edge"/>
                <c:x val="8.6918730986527588E-3"/>
                <c:y val="0.41759125642494066"/>
              </c:manualLayout>
            </c:layout>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Millions ($)</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8.7283587984103864E-2"/>
          <c:y val="3.7421330158190165E-2"/>
          <c:w val="0.91271641201589615"/>
          <c:h val="0.81313309216174479"/>
        </c:manualLayout>
      </c:layout>
      <c:barChart>
        <c:barDir val="col"/>
        <c:grouping val="clustered"/>
        <c:varyColors val="0"/>
        <c:ser>
          <c:idx val="8"/>
          <c:order val="8"/>
          <c:tx>
            <c:strRef>
              <c:f>Community!$S$1</c:f>
              <c:strCache>
                <c:ptCount val="1"/>
                <c:pt idx="0">
                  <c:v>2024</c:v>
                </c:pt>
              </c:strCache>
            </c:strRef>
          </c:tx>
          <c:spPr>
            <a:solidFill>
              <a:schemeClr val="accent4"/>
            </a:solidFill>
            <a:ln>
              <a:noFill/>
            </a:ln>
            <a:effectLst/>
          </c:spPr>
          <c:invertIfNegative val="0"/>
          <c:cat>
            <c:strRef>
              <c:f>Community!$A$2:$A$5</c:f>
              <c:strCache>
                <c:ptCount val="3"/>
                <c:pt idx="0">
                  <c:v>Registered employers</c:v>
                </c:pt>
                <c:pt idx="1">
                  <c:v>Active workers</c:v>
                </c:pt>
                <c:pt idx="2">
                  <c:v>Inactive workers</c:v>
                </c:pt>
              </c:strCache>
              <c:extLst/>
            </c:strRef>
          </c:cat>
          <c:val>
            <c:numRef>
              <c:f>Community!$S$2:$S$5</c:f>
              <c:numCache>
                <c:formatCode>#,##0</c:formatCode>
                <c:ptCount val="3"/>
                <c:pt idx="0">
                  <c:v>481</c:v>
                </c:pt>
                <c:pt idx="1">
                  <c:v>36904</c:v>
                </c:pt>
                <c:pt idx="2">
                  <c:v>1704</c:v>
                </c:pt>
              </c:numCache>
              <c:extLst/>
            </c:numRef>
          </c:val>
          <c:extLst>
            <c:ext xmlns:c16="http://schemas.microsoft.com/office/drawing/2014/chart" uri="{C3380CC4-5D6E-409C-BE32-E72D297353CC}">
              <c16:uniqueId val="{00000000-2B91-4CD9-935F-D67FF2D65160}"/>
            </c:ext>
          </c:extLst>
        </c:ser>
        <c:ser>
          <c:idx val="9"/>
          <c:order val="9"/>
          <c:tx>
            <c:strRef>
              <c:f>Community!$T$1</c:f>
              <c:strCache>
                <c:ptCount val="1"/>
                <c:pt idx="0">
                  <c:v>2025</c:v>
                </c:pt>
              </c:strCache>
            </c:strRef>
          </c:tx>
          <c:spPr>
            <a:solidFill>
              <a:schemeClr val="accent2"/>
            </a:solidFill>
            <a:ln>
              <a:noFill/>
            </a:ln>
            <a:effectLst/>
          </c:spPr>
          <c:invertIfNegative val="0"/>
          <c:cat>
            <c:strRef>
              <c:f>Community!$A$2:$A$5</c:f>
              <c:strCache>
                <c:ptCount val="3"/>
                <c:pt idx="0">
                  <c:v>Registered employers</c:v>
                </c:pt>
                <c:pt idx="1">
                  <c:v>Active workers</c:v>
                </c:pt>
                <c:pt idx="2">
                  <c:v>Inactive workers</c:v>
                </c:pt>
              </c:strCache>
              <c:extLst/>
            </c:strRef>
          </c:cat>
          <c:val>
            <c:numRef>
              <c:f>Community!$T$2:$T$5</c:f>
              <c:numCache>
                <c:formatCode>#,##0</c:formatCode>
                <c:ptCount val="3"/>
                <c:pt idx="0">
                  <c:v>504</c:v>
                </c:pt>
                <c:pt idx="1">
                  <c:v>38794</c:v>
                </c:pt>
                <c:pt idx="2">
                  <c:v>1958</c:v>
                </c:pt>
              </c:numCache>
              <c:extLst/>
            </c:numRef>
          </c:val>
          <c:extLst>
            <c:ext xmlns:c16="http://schemas.microsoft.com/office/drawing/2014/chart" uri="{C3380CC4-5D6E-409C-BE32-E72D297353CC}">
              <c16:uniqueId val="{00000001-2B91-4CD9-935F-D67FF2D65160}"/>
            </c:ext>
          </c:extLst>
        </c:ser>
        <c:ser>
          <c:idx val="10"/>
          <c:order val="10"/>
          <c:tx>
            <c:strRef>
              <c:f>Community!$U$1</c:f>
              <c:strCache>
                <c:ptCount val="1"/>
                <c:pt idx="0">
                  <c:v>2026</c:v>
                </c:pt>
              </c:strCache>
            </c:strRef>
          </c:tx>
          <c:spPr>
            <a:solidFill>
              <a:schemeClr val="accent1"/>
            </a:solidFill>
            <a:ln>
              <a:noFill/>
            </a:ln>
            <a:effectLst/>
          </c:spPr>
          <c:invertIfNegative val="0"/>
          <c:cat>
            <c:strRef>
              <c:f>Community!$A$2:$A$5</c:f>
              <c:strCache>
                <c:ptCount val="3"/>
                <c:pt idx="0">
                  <c:v>Registered employers</c:v>
                </c:pt>
                <c:pt idx="1">
                  <c:v>Active workers</c:v>
                </c:pt>
                <c:pt idx="2">
                  <c:v>Inactive workers</c:v>
                </c:pt>
              </c:strCache>
              <c:extLst/>
            </c:strRef>
          </c:cat>
          <c:val>
            <c:numRef>
              <c:f>Community!$U$2:$U$5</c:f>
              <c:numCache>
                <c:formatCode>#,##0</c:formatCode>
                <c:ptCount val="3"/>
                <c:pt idx="0">
                  <c:v>550</c:v>
                </c:pt>
                <c:pt idx="1">
                  <c:v>39453</c:v>
                </c:pt>
                <c:pt idx="2">
                  <c:v>2304</c:v>
                </c:pt>
              </c:numCache>
              <c:extLst/>
            </c:numRef>
          </c:val>
          <c:extLst>
            <c:ext xmlns:c16="http://schemas.microsoft.com/office/drawing/2014/chart" uri="{C3380CC4-5D6E-409C-BE32-E72D297353CC}">
              <c16:uniqueId val="{00000002-2B91-4CD9-935F-D67FF2D65160}"/>
            </c:ext>
          </c:extLst>
        </c:ser>
        <c:dLbls>
          <c:showLegendKey val="0"/>
          <c:showVal val="0"/>
          <c:showCatName val="0"/>
          <c:showSerName val="0"/>
          <c:showPercent val="0"/>
          <c:showBubbleSize val="0"/>
        </c:dLbls>
        <c:gapWidth val="150"/>
        <c:axId val="559634200"/>
        <c:axId val="559633024"/>
        <c:extLst>
          <c:ext xmlns:c15="http://schemas.microsoft.com/office/drawing/2012/chart" uri="{02D57815-91ED-43cb-92C2-25804820EDAC}">
            <c15:filteredBarSeries>
              <c15:ser>
                <c:idx val="0"/>
                <c:order val="0"/>
                <c:tx>
                  <c:strRef>
                    <c:extLst>
                      <c:ext uri="{02D57815-91ED-43cb-92C2-25804820EDAC}">
                        <c15:formulaRef>
                          <c15:sqref>Community!$K$1</c15:sqref>
                        </c15:formulaRef>
                      </c:ext>
                    </c:extLst>
                    <c:strCache>
                      <c:ptCount val="1"/>
                      <c:pt idx="0">
                        <c:v>2016</c:v>
                      </c:pt>
                    </c:strCache>
                  </c:strRef>
                </c:tx>
                <c:spPr>
                  <a:solidFill>
                    <a:schemeClr val="accent2">
                      <a:shade val="41000"/>
                    </a:schemeClr>
                  </a:solidFill>
                  <a:ln>
                    <a:noFill/>
                  </a:ln>
                  <a:effectLst/>
                </c:spPr>
                <c:invertIfNegative val="0"/>
                <c:cat>
                  <c:strRef>
                    <c:extLst>
                      <c:ext uri="{02D57815-91ED-43cb-92C2-25804820EDAC}">
                        <c15:formulaRef>
                          <c15:sqref>Community!$A$2:$A$5</c15:sqref>
                        </c15:formulaRef>
                      </c:ext>
                    </c:extLst>
                    <c:strCache>
                      <c:ptCount val="3"/>
                      <c:pt idx="0">
                        <c:v>Registered employers</c:v>
                      </c:pt>
                      <c:pt idx="1">
                        <c:v>Active workers</c:v>
                      </c:pt>
                      <c:pt idx="2">
                        <c:v>Inactive workers</c:v>
                      </c:pt>
                    </c:strCache>
                  </c:strRef>
                </c:cat>
                <c:val>
                  <c:numRef>
                    <c:extLst>
                      <c:ext uri="{02D57815-91ED-43cb-92C2-25804820EDAC}">
                        <c15:formulaRef>
                          <c15:sqref>Community!$K$2:$K$5</c15:sqref>
                        </c15:formulaRef>
                      </c:ext>
                    </c:extLst>
                    <c:numCache>
                      <c:formatCode>#,##0</c:formatCode>
                      <c:ptCount val="3"/>
                      <c:pt idx="0">
                        <c:v>254</c:v>
                      </c:pt>
                      <c:pt idx="1">
                        <c:v>19201</c:v>
                      </c:pt>
                      <c:pt idx="2">
                        <c:v>423</c:v>
                      </c:pt>
                    </c:numCache>
                  </c:numRef>
                </c:val>
                <c:extLst>
                  <c:ext xmlns:c16="http://schemas.microsoft.com/office/drawing/2014/chart" uri="{C3380CC4-5D6E-409C-BE32-E72D297353CC}">
                    <c16:uniqueId val="{00000003-2B91-4CD9-935F-D67FF2D65160}"/>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Community!$L$1</c15:sqref>
                        </c15:formulaRef>
                      </c:ext>
                    </c:extLst>
                    <c:strCache>
                      <c:ptCount val="1"/>
                      <c:pt idx="0">
                        <c:v>2017</c:v>
                      </c:pt>
                    </c:strCache>
                  </c:strRef>
                </c:tx>
                <c:spPr>
                  <a:solidFill>
                    <a:schemeClr val="accent2">
                      <a:shade val="53000"/>
                    </a:schemeClr>
                  </a:solidFill>
                  <a:ln>
                    <a:noFill/>
                  </a:ln>
                  <a:effectLst/>
                </c:spPr>
                <c:invertIfNegative val="0"/>
                <c:cat>
                  <c:strRef>
                    <c:extLst xmlns:c15="http://schemas.microsoft.com/office/drawing/2012/chart">
                      <c:ext xmlns:c15="http://schemas.microsoft.com/office/drawing/2012/chart" uri="{02D57815-91ED-43cb-92C2-25804820EDAC}">
                        <c15:formulaRef>
                          <c15:sqref>Community!$A$2:$A$5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Community!$L$2:$L$5</c15:sqref>
                        </c15:formulaRef>
                      </c:ext>
                    </c:extLst>
                    <c:numCache>
                      <c:formatCode>#,##0</c:formatCode>
                      <c:ptCount val="3"/>
                      <c:pt idx="0">
                        <c:v>269</c:v>
                      </c:pt>
                      <c:pt idx="1">
                        <c:v>24594</c:v>
                      </c:pt>
                      <c:pt idx="2">
                        <c:v>134</c:v>
                      </c:pt>
                    </c:numCache>
                  </c:numRef>
                </c:val>
                <c:extLst xmlns:c15="http://schemas.microsoft.com/office/drawing/2012/chart">
                  <c:ext xmlns:c16="http://schemas.microsoft.com/office/drawing/2014/chart" uri="{C3380CC4-5D6E-409C-BE32-E72D297353CC}">
                    <c16:uniqueId val="{00000004-2B91-4CD9-935F-D67FF2D65160}"/>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Community!$M$1</c15:sqref>
                        </c15:formulaRef>
                      </c:ext>
                    </c:extLst>
                    <c:strCache>
                      <c:ptCount val="1"/>
                      <c:pt idx="0">
                        <c:v>2018</c:v>
                      </c:pt>
                    </c:strCache>
                  </c:strRef>
                </c:tx>
                <c:spPr>
                  <a:solidFill>
                    <a:schemeClr val="accent2">
                      <a:shade val="65000"/>
                    </a:schemeClr>
                  </a:solidFill>
                  <a:ln>
                    <a:noFill/>
                  </a:ln>
                  <a:effectLst/>
                </c:spPr>
                <c:invertIfNegative val="0"/>
                <c:cat>
                  <c:strRef>
                    <c:extLst xmlns:c15="http://schemas.microsoft.com/office/drawing/2012/chart">
                      <c:ext xmlns:c15="http://schemas.microsoft.com/office/drawing/2012/chart" uri="{02D57815-91ED-43cb-92C2-25804820EDAC}">
                        <c15:formulaRef>
                          <c15:sqref>Community!$A$2:$A$5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Community!$M$2:$M$5</c15:sqref>
                        </c15:formulaRef>
                      </c:ext>
                    </c:extLst>
                    <c:numCache>
                      <c:formatCode>#,##0</c:formatCode>
                      <c:ptCount val="3"/>
                      <c:pt idx="0">
                        <c:v>292</c:v>
                      </c:pt>
                      <c:pt idx="1">
                        <c:v>24656</c:v>
                      </c:pt>
                      <c:pt idx="2">
                        <c:v>239</c:v>
                      </c:pt>
                    </c:numCache>
                  </c:numRef>
                </c:val>
                <c:extLst xmlns:c15="http://schemas.microsoft.com/office/drawing/2012/chart">
                  <c:ext xmlns:c16="http://schemas.microsoft.com/office/drawing/2014/chart" uri="{C3380CC4-5D6E-409C-BE32-E72D297353CC}">
                    <c16:uniqueId val="{00000005-2B91-4CD9-935F-D67FF2D65160}"/>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Community!$N$1</c15:sqref>
                        </c15:formulaRef>
                      </c:ext>
                    </c:extLst>
                    <c:strCache>
                      <c:ptCount val="1"/>
                      <c:pt idx="0">
                        <c:v>2019</c:v>
                      </c:pt>
                    </c:strCache>
                  </c:strRef>
                </c:tx>
                <c:spPr>
                  <a:solidFill>
                    <a:schemeClr val="accent2">
                      <a:shade val="80000"/>
                    </a:schemeClr>
                  </a:solidFill>
                  <a:ln>
                    <a:noFill/>
                  </a:ln>
                  <a:effectLst/>
                </c:spPr>
                <c:invertIfNegative val="0"/>
                <c:cat>
                  <c:strRef>
                    <c:extLst xmlns:c15="http://schemas.microsoft.com/office/drawing/2012/chart">
                      <c:ext xmlns:c15="http://schemas.microsoft.com/office/drawing/2012/chart" uri="{02D57815-91ED-43cb-92C2-25804820EDAC}">
                        <c15:formulaRef>
                          <c15:sqref>Community!$A$2:$A$5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Community!$N$2:$N$5</c15:sqref>
                        </c15:formulaRef>
                      </c:ext>
                    </c:extLst>
                    <c:numCache>
                      <c:formatCode>#,##0</c:formatCode>
                      <c:ptCount val="3"/>
                      <c:pt idx="0">
                        <c:v>329</c:v>
                      </c:pt>
                      <c:pt idx="1">
                        <c:v>26498</c:v>
                      </c:pt>
                      <c:pt idx="2">
                        <c:v>767</c:v>
                      </c:pt>
                    </c:numCache>
                  </c:numRef>
                </c:val>
                <c:extLst xmlns:c15="http://schemas.microsoft.com/office/drawing/2012/chart">
                  <c:ext xmlns:c16="http://schemas.microsoft.com/office/drawing/2014/chart" uri="{C3380CC4-5D6E-409C-BE32-E72D297353CC}">
                    <c16:uniqueId val="{00000006-2B91-4CD9-935F-D67FF2D65160}"/>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Community!$O$1</c15:sqref>
                        </c15:formulaRef>
                      </c:ext>
                    </c:extLst>
                    <c:strCache>
                      <c:ptCount val="1"/>
                      <c:pt idx="0">
                        <c:v>2020</c:v>
                      </c:pt>
                    </c:strCache>
                  </c:strRef>
                </c:tx>
                <c:spPr>
                  <a:solidFill>
                    <a:schemeClr val="accent2">
                      <a:shade val="93000"/>
                    </a:schemeClr>
                  </a:solidFill>
                  <a:ln>
                    <a:noFill/>
                  </a:ln>
                  <a:effectLst/>
                </c:spPr>
                <c:invertIfNegative val="0"/>
                <c:cat>
                  <c:strRef>
                    <c:extLst xmlns:c15="http://schemas.microsoft.com/office/drawing/2012/chart">
                      <c:ext xmlns:c15="http://schemas.microsoft.com/office/drawing/2012/chart" uri="{02D57815-91ED-43cb-92C2-25804820EDAC}">
                        <c15:formulaRef>
                          <c15:sqref>Community!$A$2:$A$5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Community!$O$2:$O$5</c15:sqref>
                        </c15:formulaRef>
                      </c:ext>
                    </c:extLst>
                    <c:numCache>
                      <c:formatCode>#,##0</c:formatCode>
                      <c:ptCount val="3"/>
                      <c:pt idx="0">
                        <c:v>363</c:v>
                      </c:pt>
                      <c:pt idx="1">
                        <c:v>28543</c:v>
                      </c:pt>
                      <c:pt idx="2">
                        <c:v>891</c:v>
                      </c:pt>
                    </c:numCache>
                  </c:numRef>
                </c:val>
                <c:extLst xmlns:c15="http://schemas.microsoft.com/office/drawing/2012/chart">
                  <c:ext xmlns:c16="http://schemas.microsoft.com/office/drawing/2014/chart" uri="{C3380CC4-5D6E-409C-BE32-E72D297353CC}">
                    <c16:uniqueId val="{00000007-2B91-4CD9-935F-D67FF2D65160}"/>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Community!$P$1</c15:sqref>
                        </c15:formulaRef>
                      </c:ext>
                    </c:extLst>
                    <c:strCache>
                      <c:ptCount val="1"/>
                      <c:pt idx="0">
                        <c:v>2021</c:v>
                      </c:pt>
                    </c:strCache>
                  </c:strRef>
                </c:tx>
                <c:spPr>
                  <a:solidFill>
                    <a:schemeClr val="accent2">
                      <a:tint val="94000"/>
                    </a:schemeClr>
                  </a:solidFill>
                  <a:ln>
                    <a:noFill/>
                  </a:ln>
                  <a:effectLst/>
                </c:spPr>
                <c:invertIfNegative val="0"/>
                <c:cat>
                  <c:strRef>
                    <c:extLst xmlns:c15="http://schemas.microsoft.com/office/drawing/2012/chart">
                      <c:ext xmlns:c15="http://schemas.microsoft.com/office/drawing/2012/chart" uri="{02D57815-91ED-43cb-92C2-25804820EDAC}">
                        <c15:formulaRef>
                          <c15:sqref>Community!$A$2:$A$5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Community!$P$2:$P$5</c15:sqref>
                        </c15:formulaRef>
                      </c:ext>
                    </c:extLst>
                    <c:numCache>
                      <c:formatCode>#,##0</c:formatCode>
                      <c:ptCount val="3"/>
                      <c:pt idx="0">
                        <c:v>392</c:v>
                      </c:pt>
                      <c:pt idx="1">
                        <c:v>30195</c:v>
                      </c:pt>
                      <c:pt idx="2">
                        <c:v>1098</c:v>
                      </c:pt>
                    </c:numCache>
                  </c:numRef>
                </c:val>
                <c:extLst xmlns:c15="http://schemas.microsoft.com/office/drawing/2012/chart">
                  <c:ext xmlns:c16="http://schemas.microsoft.com/office/drawing/2014/chart" uri="{C3380CC4-5D6E-409C-BE32-E72D297353CC}">
                    <c16:uniqueId val="{00000008-2B91-4CD9-935F-D67FF2D65160}"/>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Community!$Q$1</c15:sqref>
                        </c15:formulaRef>
                      </c:ext>
                    </c:extLst>
                    <c:strCache>
                      <c:ptCount val="1"/>
                      <c:pt idx="0">
                        <c:v>2022</c:v>
                      </c:pt>
                    </c:strCache>
                  </c:strRef>
                </c:tx>
                <c:spPr>
                  <a:solidFill>
                    <a:schemeClr val="accent2">
                      <a:tint val="81000"/>
                    </a:schemeClr>
                  </a:solidFill>
                  <a:ln>
                    <a:noFill/>
                  </a:ln>
                  <a:effectLst/>
                </c:spPr>
                <c:invertIfNegative val="0"/>
                <c:cat>
                  <c:strRef>
                    <c:extLst xmlns:c15="http://schemas.microsoft.com/office/drawing/2012/chart">
                      <c:ext xmlns:c15="http://schemas.microsoft.com/office/drawing/2012/chart" uri="{02D57815-91ED-43cb-92C2-25804820EDAC}">
                        <c15:formulaRef>
                          <c15:sqref>Community!$A$2:$A$5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Community!$Q$2:$Q$5</c15:sqref>
                        </c15:formulaRef>
                      </c:ext>
                    </c:extLst>
                    <c:numCache>
                      <c:formatCode>#,##0</c:formatCode>
                      <c:ptCount val="3"/>
                      <c:pt idx="0">
                        <c:v>422</c:v>
                      </c:pt>
                      <c:pt idx="1">
                        <c:v>32273</c:v>
                      </c:pt>
                      <c:pt idx="2">
                        <c:v>1307</c:v>
                      </c:pt>
                    </c:numCache>
                  </c:numRef>
                </c:val>
                <c:extLst xmlns:c15="http://schemas.microsoft.com/office/drawing/2012/chart">
                  <c:ext xmlns:c16="http://schemas.microsoft.com/office/drawing/2014/chart" uri="{C3380CC4-5D6E-409C-BE32-E72D297353CC}">
                    <c16:uniqueId val="{00000009-2B91-4CD9-935F-D67FF2D65160}"/>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Community!$R$1</c15:sqref>
                        </c15:formulaRef>
                      </c:ext>
                    </c:extLst>
                    <c:strCache>
                      <c:ptCount val="1"/>
                      <c:pt idx="0">
                        <c:v>2023</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Community!$A$2:$A$5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Community!$R$2:$R$5</c15:sqref>
                        </c15:formulaRef>
                      </c:ext>
                    </c:extLst>
                    <c:numCache>
                      <c:formatCode>#,##0</c:formatCode>
                      <c:ptCount val="3"/>
                      <c:pt idx="0">
                        <c:v>461</c:v>
                      </c:pt>
                      <c:pt idx="1">
                        <c:v>34803</c:v>
                      </c:pt>
                      <c:pt idx="2">
                        <c:v>1498</c:v>
                      </c:pt>
                    </c:numCache>
                  </c:numRef>
                </c:val>
                <c:extLst xmlns:c15="http://schemas.microsoft.com/office/drawing/2012/chart">
                  <c:ext xmlns:c16="http://schemas.microsoft.com/office/drawing/2014/chart" uri="{C3380CC4-5D6E-409C-BE32-E72D297353CC}">
                    <c16:uniqueId val="{0000000A-2B91-4CD9-935F-D67FF2D65160}"/>
                  </c:ext>
                </c:extLst>
              </c15:ser>
            </c15:filteredBarSeries>
          </c:ext>
        </c:extLst>
      </c:barChart>
      <c:catAx>
        <c:axId val="559634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59633024"/>
        <c:crosses val="autoZero"/>
        <c:auto val="1"/>
        <c:lblAlgn val="ctr"/>
        <c:lblOffset val="100"/>
        <c:noMultiLvlLbl val="0"/>
      </c:catAx>
      <c:valAx>
        <c:axId val="5596330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59634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12700" cap="flat" cmpd="sng" algn="ctr">
      <a:no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75958665544163"/>
          <c:y val="5.1612885746207517E-2"/>
          <c:w val="0.86153181795671763"/>
          <c:h val="0.77801692384627652"/>
        </c:manualLayout>
      </c:layout>
      <c:barChart>
        <c:barDir val="col"/>
        <c:grouping val="clustered"/>
        <c:varyColors val="0"/>
        <c:ser>
          <c:idx val="0"/>
          <c:order val="0"/>
          <c:tx>
            <c:strRef>
              <c:f>Community!$A$16</c:f>
              <c:strCache>
                <c:ptCount val="1"/>
                <c:pt idx="0">
                  <c:v>Amount ($)</c:v>
                </c:pt>
              </c:strCache>
            </c:strRef>
          </c:tx>
          <c:spPr>
            <a:solidFill>
              <a:schemeClr val="accent1"/>
            </a:solidFill>
            <a:ln>
              <a:noFill/>
            </a:ln>
            <a:effectLst/>
          </c:spPr>
          <c:invertIfNegative val="0"/>
          <c:cat>
            <c:numRef>
              <c:f>Community!$O$1:$U$1</c:f>
              <c:numCache>
                <c:formatCode>General</c:formatCode>
                <c:ptCount val="7"/>
                <c:pt idx="0">
                  <c:v>2020</c:v>
                </c:pt>
                <c:pt idx="1">
                  <c:v>2021</c:v>
                </c:pt>
                <c:pt idx="2">
                  <c:v>2022</c:v>
                </c:pt>
                <c:pt idx="3">
                  <c:v>2023</c:v>
                </c:pt>
                <c:pt idx="4">
                  <c:v>2024</c:v>
                </c:pt>
                <c:pt idx="5">
                  <c:v>2025</c:v>
                </c:pt>
                <c:pt idx="6">
                  <c:v>2026</c:v>
                </c:pt>
              </c:numCache>
              <c:extLst/>
            </c:numRef>
          </c:cat>
          <c:val>
            <c:numRef>
              <c:f>Community!$O$16:$U$16</c:f>
              <c:numCache>
                <c:formatCode>#,##0.000,,\M</c:formatCode>
                <c:ptCount val="7"/>
                <c:pt idx="0">
                  <c:v>8722000</c:v>
                </c:pt>
                <c:pt idx="1">
                  <c:v>10071000</c:v>
                </c:pt>
                <c:pt idx="2">
                  <c:v>13485000</c:v>
                </c:pt>
                <c:pt idx="3">
                  <c:v>15950000</c:v>
                </c:pt>
                <c:pt idx="4">
                  <c:v>17314000</c:v>
                </c:pt>
                <c:pt idx="5">
                  <c:v>21723000</c:v>
                </c:pt>
                <c:pt idx="6">
                  <c:v>24510000</c:v>
                </c:pt>
              </c:numCache>
              <c:extLst/>
            </c:numRef>
          </c:val>
          <c:extLst>
            <c:ext xmlns:c16="http://schemas.microsoft.com/office/drawing/2014/chart" uri="{C3380CC4-5D6E-409C-BE32-E72D297353CC}">
              <c16:uniqueId val="{00000000-89BF-4F64-90E5-8A38E72EC366}"/>
            </c:ext>
          </c:extLst>
        </c:ser>
        <c:dLbls>
          <c:showLegendKey val="0"/>
          <c:showVal val="0"/>
          <c:showCatName val="0"/>
          <c:showSerName val="0"/>
          <c:showPercent val="0"/>
          <c:showBubbleSize val="0"/>
        </c:dLbls>
        <c:gapWidth val="150"/>
        <c:axId val="559630280"/>
        <c:axId val="559628320"/>
      </c:barChart>
      <c:catAx>
        <c:axId val="559630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28320"/>
        <c:crosses val="autoZero"/>
        <c:auto val="1"/>
        <c:lblAlgn val="ctr"/>
        <c:lblOffset val="100"/>
        <c:noMultiLvlLbl val="0"/>
      </c:catAx>
      <c:valAx>
        <c:axId val="559628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30280"/>
        <c:crosses val="autoZero"/>
        <c:crossBetween val="between"/>
        <c:dispUnits>
          <c:builtInUnit val="millions"/>
          <c:dispUnitsLbl>
            <c:layout>
              <c:manualLayout>
                <c:xMode val="edge"/>
                <c:yMode val="edge"/>
                <c:x val="8.6918730986527588E-3"/>
                <c:y val="0.41759125642494066"/>
              </c:manualLayout>
            </c:layout>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Millions ($)</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7.7430558147056266E-2"/>
          <c:y val="3.7421330158190165E-2"/>
          <c:w val="0.92256944185294376"/>
          <c:h val="0.81313309216174479"/>
        </c:manualLayout>
      </c:layout>
      <c:barChart>
        <c:barDir val="col"/>
        <c:grouping val="clustered"/>
        <c:varyColors val="0"/>
        <c:ser>
          <c:idx val="8"/>
          <c:order val="8"/>
          <c:tx>
            <c:strRef>
              <c:f>Security!$S$1</c:f>
              <c:strCache>
                <c:ptCount val="1"/>
                <c:pt idx="0">
                  <c:v>2024</c:v>
                </c:pt>
              </c:strCache>
            </c:strRef>
          </c:tx>
          <c:spPr>
            <a:solidFill>
              <a:schemeClr val="accent4"/>
            </a:solidFill>
            <a:ln>
              <a:noFill/>
            </a:ln>
            <a:effectLst/>
          </c:spPr>
          <c:invertIfNegative val="0"/>
          <c:cat>
            <c:strRef>
              <c:f>Security!$A$2:$A$5</c:f>
              <c:strCache>
                <c:ptCount val="3"/>
                <c:pt idx="0">
                  <c:v>Registered employers</c:v>
                </c:pt>
                <c:pt idx="1">
                  <c:v>Active workers</c:v>
                </c:pt>
                <c:pt idx="2">
                  <c:v>Inactive workers</c:v>
                </c:pt>
              </c:strCache>
              <c:extLst/>
            </c:strRef>
          </c:cat>
          <c:val>
            <c:numRef>
              <c:f>Security!$S$2:$S$5</c:f>
              <c:numCache>
                <c:formatCode>#,##0</c:formatCode>
                <c:ptCount val="3"/>
                <c:pt idx="0">
                  <c:v>54</c:v>
                </c:pt>
                <c:pt idx="1">
                  <c:v>3717</c:v>
                </c:pt>
                <c:pt idx="2">
                  <c:v>83</c:v>
                </c:pt>
              </c:numCache>
              <c:extLst/>
            </c:numRef>
          </c:val>
          <c:extLst>
            <c:ext xmlns:c16="http://schemas.microsoft.com/office/drawing/2014/chart" uri="{C3380CC4-5D6E-409C-BE32-E72D297353CC}">
              <c16:uniqueId val="{00000000-8ECE-42E9-B90A-B7EBA32A057F}"/>
            </c:ext>
          </c:extLst>
        </c:ser>
        <c:ser>
          <c:idx val="9"/>
          <c:order val="9"/>
          <c:tx>
            <c:strRef>
              <c:f>Security!$T$1</c:f>
              <c:strCache>
                <c:ptCount val="1"/>
                <c:pt idx="0">
                  <c:v>2025</c:v>
                </c:pt>
              </c:strCache>
            </c:strRef>
          </c:tx>
          <c:spPr>
            <a:solidFill>
              <a:schemeClr val="accent2"/>
            </a:solidFill>
            <a:ln>
              <a:noFill/>
            </a:ln>
            <a:effectLst/>
          </c:spPr>
          <c:invertIfNegative val="0"/>
          <c:cat>
            <c:strRef>
              <c:f>Security!$A$2:$A$5</c:f>
              <c:strCache>
                <c:ptCount val="3"/>
                <c:pt idx="0">
                  <c:v>Registered employers</c:v>
                </c:pt>
                <c:pt idx="1">
                  <c:v>Active workers</c:v>
                </c:pt>
                <c:pt idx="2">
                  <c:v>Inactive workers</c:v>
                </c:pt>
              </c:strCache>
              <c:extLst/>
            </c:strRef>
          </c:cat>
          <c:val>
            <c:numRef>
              <c:f>Security!$T$2:$T$5</c:f>
              <c:numCache>
                <c:formatCode>#,##0</c:formatCode>
                <c:ptCount val="3"/>
                <c:pt idx="0">
                  <c:v>55</c:v>
                </c:pt>
                <c:pt idx="1">
                  <c:v>3717</c:v>
                </c:pt>
                <c:pt idx="2">
                  <c:v>114</c:v>
                </c:pt>
              </c:numCache>
              <c:extLst/>
            </c:numRef>
          </c:val>
          <c:extLst>
            <c:ext xmlns:c16="http://schemas.microsoft.com/office/drawing/2014/chart" uri="{C3380CC4-5D6E-409C-BE32-E72D297353CC}">
              <c16:uniqueId val="{00000001-8ECE-42E9-B90A-B7EBA32A057F}"/>
            </c:ext>
          </c:extLst>
        </c:ser>
        <c:ser>
          <c:idx val="10"/>
          <c:order val="10"/>
          <c:tx>
            <c:strRef>
              <c:f>Security!$U$1</c:f>
              <c:strCache>
                <c:ptCount val="1"/>
                <c:pt idx="0">
                  <c:v>2026</c:v>
                </c:pt>
              </c:strCache>
            </c:strRef>
          </c:tx>
          <c:spPr>
            <a:solidFill>
              <a:schemeClr val="accent1"/>
            </a:solidFill>
            <a:ln>
              <a:noFill/>
            </a:ln>
            <a:effectLst/>
          </c:spPr>
          <c:invertIfNegative val="0"/>
          <c:cat>
            <c:strRef>
              <c:f>Security!$A$2:$A$5</c:f>
              <c:strCache>
                <c:ptCount val="3"/>
                <c:pt idx="0">
                  <c:v>Registered employers</c:v>
                </c:pt>
                <c:pt idx="1">
                  <c:v>Active workers</c:v>
                </c:pt>
                <c:pt idx="2">
                  <c:v>Inactive workers</c:v>
                </c:pt>
              </c:strCache>
              <c:extLst/>
            </c:strRef>
          </c:cat>
          <c:val>
            <c:numRef>
              <c:f>Security!$U$2:$U$5</c:f>
              <c:numCache>
                <c:formatCode>#,##0</c:formatCode>
                <c:ptCount val="3"/>
                <c:pt idx="0">
                  <c:v>58</c:v>
                </c:pt>
                <c:pt idx="1">
                  <c:v>3597</c:v>
                </c:pt>
                <c:pt idx="2">
                  <c:v>173</c:v>
                </c:pt>
              </c:numCache>
              <c:extLst/>
            </c:numRef>
          </c:val>
          <c:extLst>
            <c:ext xmlns:c16="http://schemas.microsoft.com/office/drawing/2014/chart" uri="{C3380CC4-5D6E-409C-BE32-E72D297353CC}">
              <c16:uniqueId val="{00000002-8ECE-42E9-B90A-B7EBA32A057F}"/>
            </c:ext>
          </c:extLst>
        </c:ser>
        <c:dLbls>
          <c:showLegendKey val="0"/>
          <c:showVal val="0"/>
          <c:showCatName val="0"/>
          <c:showSerName val="0"/>
          <c:showPercent val="0"/>
          <c:showBubbleSize val="0"/>
        </c:dLbls>
        <c:gapWidth val="150"/>
        <c:axId val="559632632"/>
        <c:axId val="559633416"/>
        <c:extLst>
          <c:ext xmlns:c15="http://schemas.microsoft.com/office/drawing/2012/chart" uri="{02D57815-91ED-43cb-92C2-25804820EDAC}">
            <c15:filteredBarSeries>
              <c15:ser>
                <c:idx val="0"/>
                <c:order val="0"/>
                <c:tx>
                  <c:strRef>
                    <c:extLst>
                      <c:ext uri="{02D57815-91ED-43cb-92C2-25804820EDAC}">
                        <c15:formulaRef>
                          <c15:sqref>Security!$K$1</c15:sqref>
                        </c15:formulaRef>
                      </c:ext>
                    </c:extLst>
                    <c:strCache>
                      <c:ptCount val="1"/>
                      <c:pt idx="0">
                        <c:v>2016</c:v>
                      </c:pt>
                    </c:strCache>
                  </c:strRef>
                </c:tx>
                <c:spPr>
                  <a:solidFill>
                    <a:schemeClr val="accent5">
                      <a:shade val="41000"/>
                    </a:schemeClr>
                  </a:solidFill>
                  <a:ln>
                    <a:noFill/>
                  </a:ln>
                  <a:effectLst/>
                </c:spPr>
                <c:invertIfNegative val="0"/>
                <c:cat>
                  <c:strRef>
                    <c:extLst>
                      <c:ext uri="{02D57815-91ED-43cb-92C2-25804820EDAC}">
                        <c15:formulaRef>
                          <c15:sqref>Security!$A$2:$A$5</c15:sqref>
                        </c15:formulaRef>
                      </c:ext>
                    </c:extLst>
                    <c:strCache>
                      <c:ptCount val="3"/>
                      <c:pt idx="0">
                        <c:v>Registered employers</c:v>
                      </c:pt>
                      <c:pt idx="1">
                        <c:v>Active workers</c:v>
                      </c:pt>
                      <c:pt idx="2">
                        <c:v>Inactive workers</c:v>
                      </c:pt>
                    </c:strCache>
                  </c:strRef>
                </c:cat>
                <c:val>
                  <c:numRef>
                    <c:extLst>
                      <c:ext uri="{02D57815-91ED-43cb-92C2-25804820EDAC}">
                        <c15:formulaRef>
                          <c15:sqref>Security!$K$2:$K$5</c15:sqref>
                        </c15:formulaRef>
                      </c:ext>
                    </c:extLst>
                    <c:numCache>
                      <c:formatCode>#,##0</c:formatCode>
                      <c:ptCount val="3"/>
                      <c:pt idx="0">
                        <c:v>21</c:v>
                      </c:pt>
                      <c:pt idx="1">
                        <c:v>2500</c:v>
                      </c:pt>
                      <c:pt idx="2">
                        <c:v>0</c:v>
                      </c:pt>
                    </c:numCache>
                  </c:numRef>
                </c:val>
                <c:extLst>
                  <c:ext xmlns:c16="http://schemas.microsoft.com/office/drawing/2014/chart" uri="{C3380CC4-5D6E-409C-BE32-E72D297353CC}">
                    <c16:uniqueId val="{00000003-8ECE-42E9-B90A-B7EBA32A057F}"/>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Security!$L$1</c15:sqref>
                        </c15:formulaRef>
                      </c:ext>
                    </c:extLst>
                    <c:strCache>
                      <c:ptCount val="1"/>
                      <c:pt idx="0">
                        <c:v>2017</c:v>
                      </c:pt>
                    </c:strCache>
                  </c:strRef>
                </c:tx>
                <c:spPr>
                  <a:solidFill>
                    <a:schemeClr val="accent5">
                      <a:shade val="53000"/>
                    </a:schemeClr>
                  </a:solidFill>
                  <a:ln>
                    <a:noFill/>
                  </a:ln>
                  <a:effectLst/>
                </c:spPr>
                <c:invertIfNegative val="0"/>
                <c:cat>
                  <c:strRef>
                    <c:extLst xmlns:c15="http://schemas.microsoft.com/office/drawing/2012/chart">
                      <c:ext xmlns:c15="http://schemas.microsoft.com/office/drawing/2012/chart" uri="{02D57815-91ED-43cb-92C2-25804820EDAC}">
                        <c15:formulaRef>
                          <c15:sqref>Security!$A$2:$A$5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Security!$L$2:$L$5</c15:sqref>
                        </c15:formulaRef>
                      </c:ext>
                    </c:extLst>
                    <c:numCache>
                      <c:formatCode>#,##0</c:formatCode>
                      <c:ptCount val="3"/>
                      <c:pt idx="0">
                        <c:v>29</c:v>
                      </c:pt>
                      <c:pt idx="1">
                        <c:v>2949</c:v>
                      </c:pt>
                      <c:pt idx="2">
                        <c:v>0</c:v>
                      </c:pt>
                    </c:numCache>
                  </c:numRef>
                </c:val>
                <c:extLst xmlns:c15="http://schemas.microsoft.com/office/drawing/2012/chart">
                  <c:ext xmlns:c16="http://schemas.microsoft.com/office/drawing/2014/chart" uri="{C3380CC4-5D6E-409C-BE32-E72D297353CC}">
                    <c16:uniqueId val="{00000004-8ECE-42E9-B90A-B7EBA32A057F}"/>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Security!$M$1</c15:sqref>
                        </c15:formulaRef>
                      </c:ext>
                    </c:extLst>
                    <c:strCache>
                      <c:ptCount val="1"/>
                      <c:pt idx="0">
                        <c:v>2018</c:v>
                      </c:pt>
                    </c:strCache>
                  </c:strRef>
                </c:tx>
                <c:spPr>
                  <a:solidFill>
                    <a:schemeClr val="accent5">
                      <a:shade val="65000"/>
                    </a:schemeClr>
                  </a:solidFill>
                  <a:ln>
                    <a:noFill/>
                  </a:ln>
                  <a:effectLst/>
                </c:spPr>
                <c:invertIfNegative val="0"/>
                <c:cat>
                  <c:strRef>
                    <c:extLst xmlns:c15="http://schemas.microsoft.com/office/drawing/2012/chart">
                      <c:ext xmlns:c15="http://schemas.microsoft.com/office/drawing/2012/chart" uri="{02D57815-91ED-43cb-92C2-25804820EDAC}">
                        <c15:formulaRef>
                          <c15:sqref>Security!$A$2:$A$5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Security!$M$2:$M$5</c15:sqref>
                        </c15:formulaRef>
                      </c:ext>
                    </c:extLst>
                    <c:numCache>
                      <c:formatCode>#,##0</c:formatCode>
                      <c:ptCount val="3"/>
                      <c:pt idx="0">
                        <c:v>28</c:v>
                      </c:pt>
                      <c:pt idx="1">
                        <c:v>2814</c:v>
                      </c:pt>
                      <c:pt idx="2">
                        <c:v>0</c:v>
                      </c:pt>
                    </c:numCache>
                  </c:numRef>
                </c:val>
                <c:extLst xmlns:c15="http://schemas.microsoft.com/office/drawing/2012/chart">
                  <c:ext xmlns:c16="http://schemas.microsoft.com/office/drawing/2014/chart" uri="{C3380CC4-5D6E-409C-BE32-E72D297353CC}">
                    <c16:uniqueId val="{00000005-8ECE-42E9-B90A-B7EBA32A057F}"/>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Security!$N$1</c15:sqref>
                        </c15:formulaRef>
                      </c:ext>
                    </c:extLst>
                    <c:strCache>
                      <c:ptCount val="1"/>
                      <c:pt idx="0">
                        <c:v>2019</c:v>
                      </c:pt>
                    </c:strCache>
                  </c:strRef>
                </c:tx>
                <c:spPr>
                  <a:solidFill>
                    <a:schemeClr val="accent5">
                      <a:shade val="80000"/>
                    </a:schemeClr>
                  </a:solidFill>
                  <a:ln>
                    <a:noFill/>
                  </a:ln>
                  <a:effectLst/>
                </c:spPr>
                <c:invertIfNegative val="0"/>
                <c:cat>
                  <c:strRef>
                    <c:extLst xmlns:c15="http://schemas.microsoft.com/office/drawing/2012/chart">
                      <c:ext xmlns:c15="http://schemas.microsoft.com/office/drawing/2012/chart" uri="{02D57815-91ED-43cb-92C2-25804820EDAC}">
                        <c15:formulaRef>
                          <c15:sqref>Security!$A$2:$A$5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Security!$N$2:$N$5</c15:sqref>
                        </c15:formulaRef>
                      </c:ext>
                    </c:extLst>
                    <c:numCache>
                      <c:formatCode>#,##0</c:formatCode>
                      <c:ptCount val="3"/>
                      <c:pt idx="0">
                        <c:v>34</c:v>
                      </c:pt>
                      <c:pt idx="1">
                        <c:v>3076</c:v>
                      </c:pt>
                      <c:pt idx="2">
                        <c:v>0</c:v>
                      </c:pt>
                    </c:numCache>
                  </c:numRef>
                </c:val>
                <c:extLst xmlns:c15="http://schemas.microsoft.com/office/drawing/2012/chart">
                  <c:ext xmlns:c16="http://schemas.microsoft.com/office/drawing/2014/chart" uri="{C3380CC4-5D6E-409C-BE32-E72D297353CC}">
                    <c16:uniqueId val="{00000006-8ECE-42E9-B90A-B7EBA32A057F}"/>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Security!$O$1</c15:sqref>
                        </c15:formulaRef>
                      </c:ext>
                    </c:extLst>
                    <c:strCache>
                      <c:ptCount val="1"/>
                      <c:pt idx="0">
                        <c:v>2020</c:v>
                      </c:pt>
                    </c:strCache>
                  </c:strRef>
                </c:tx>
                <c:spPr>
                  <a:solidFill>
                    <a:schemeClr val="accent5">
                      <a:shade val="93000"/>
                    </a:schemeClr>
                  </a:solidFill>
                  <a:ln>
                    <a:noFill/>
                  </a:ln>
                  <a:effectLst/>
                </c:spPr>
                <c:invertIfNegative val="0"/>
                <c:cat>
                  <c:strRef>
                    <c:extLst xmlns:c15="http://schemas.microsoft.com/office/drawing/2012/chart">
                      <c:ext xmlns:c15="http://schemas.microsoft.com/office/drawing/2012/chart" uri="{02D57815-91ED-43cb-92C2-25804820EDAC}">
                        <c15:formulaRef>
                          <c15:sqref>Security!$A$2:$A$5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Security!$O$2:$O$5</c15:sqref>
                        </c15:formulaRef>
                      </c:ext>
                    </c:extLst>
                    <c:numCache>
                      <c:formatCode>#,##0</c:formatCode>
                      <c:ptCount val="3"/>
                      <c:pt idx="0">
                        <c:v>40</c:v>
                      </c:pt>
                      <c:pt idx="1">
                        <c:v>3149</c:v>
                      </c:pt>
                      <c:pt idx="2">
                        <c:v>0</c:v>
                      </c:pt>
                    </c:numCache>
                  </c:numRef>
                </c:val>
                <c:extLst xmlns:c15="http://schemas.microsoft.com/office/drawing/2012/chart">
                  <c:ext xmlns:c16="http://schemas.microsoft.com/office/drawing/2014/chart" uri="{C3380CC4-5D6E-409C-BE32-E72D297353CC}">
                    <c16:uniqueId val="{00000007-8ECE-42E9-B90A-B7EBA32A057F}"/>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Security!$P$1</c15:sqref>
                        </c15:formulaRef>
                      </c:ext>
                    </c:extLst>
                    <c:strCache>
                      <c:ptCount val="1"/>
                      <c:pt idx="0">
                        <c:v>2021</c:v>
                      </c:pt>
                    </c:strCache>
                  </c:strRef>
                </c:tx>
                <c:spPr>
                  <a:solidFill>
                    <a:schemeClr val="accent5">
                      <a:tint val="94000"/>
                    </a:schemeClr>
                  </a:solidFill>
                  <a:ln>
                    <a:noFill/>
                  </a:ln>
                  <a:effectLst/>
                </c:spPr>
                <c:invertIfNegative val="0"/>
                <c:cat>
                  <c:strRef>
                    <c:extLst xmlns:c15="http://schemas.microsoft.com/office/drawing/2012/chart">
                      <c:ext xmlns:c15="http://schemas.microsoft.com/office/drawing/2012/chart" uri="{02D57815-91ED-43cb-92C2-25804820EDAC}">
                        <c15:formulaRef>
                          <c15:sqref>Security!$A$2:$A$5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Security!$P$2:$P$5</c15:sqref>
                        </c15:formulaRef>
                      </c:ext>
                    </c:extLst>
                    <c:numCache>
                      <c:formatCode>#,##0</c:formatCode>
                      <c:ptCount val="3"/>
                      <c:pt idx="0">
                        <c:v>43</c:v>
                      </c:pt>
                      <c:pt idx="1">
                        <c:v>3182</c:v>
                      </c:pt>
                      <c:pt idx="2">
                        <c:v>0</c:v>
                      </c:pt>
                    </c:numCache>
                  </c:numRef>
                </c:val>
                <c:extLst xmlns:c15="http://schemas.microsoft.com/office/drawing/2012/chart">
                  <c:ext xmlns:c16="http://schemas.microsoft.com/office/drawing/2014/chart" uri="{C3380CC4-5D6E-409C-BE32-E72D297353CC}">
                    <c16:uniqueId val="{00000008-8ECE-42E9-B90A-B7EBA32A057F}"/>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Security!$Q$1</c15:sqref>
                        </c15:formulaRef>
                      </c:ext>
                    </c:extLst>
                    <c:strCache>
                      <c:ptCount val="1"/>
                      <c:pt idx="0">
                        <c:v>2022</c:v>
                      </c:pt>
                    </c:strCache>
                  </c:strRef>
                </c:tx>
                <c:spPr>
                  <a:solidFill>
                    <a:schemeClr val="accent5">
                      <a:tint val="81000"/>
                    </a:schemeClr>
                  </a:solidFill>
                  <a:ln>
                    <a:noFill/>
                  </a:ln>
                  <a:effectLst/>
                </c:spPr>
                <c:invertIfNegative val="0"/>
                <c:dPt>
                  <c:idx val="1"/>
                  <c:invertIfNegative val="0"/>
                  <c:bubble3D val="0"/>
                  <c:spPr>
                    <a:solidFill>
                      <a:schemeClr val="accent5">
                        <a:tint val="81000"/>
                      </a:schemeClr>
                    </a:solidFill>
                    <a:ln>
                      <a:noFill/>
                    </a:ln>
                    <a:effectLst/>
                  </c:spPr>
                  <c:extLst xmlns:c15="http://schemas.microsoft.com/office/drawing/2012/chart">
                    <c:ext xmlns:c16="http://schemas.microsoft.com/office/drawing/2014/chart" uri="{C3380CC4-5D6E-409C-BE32-E72D297353CC}">
                      <c16:uniqueId val="{0000000A-8ECE-42E9-B90A-B7EBA32A057F}"/>
                    </c:ext>
                  </c:extLst>
                </c:dPt>
                <c:cat>
                  <c:strRef>
                    <c:extLst xmlns:c15="http://schemas.microsoft.com/office/drawing/2012/chart">
                      <c:ext xmlns:c15="http://schemas.microsoft.com/office/drawing/2012/chart" uri="{02D57815-91ED-43cb-92C2-25804820EDAC}">
                        <c15:formulaRef>
                          <c15:sqref>Security!$A$2:$A$5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Security!$Q$2:$Q$5</c15:sqref>
                        </c15:formulaRef>
                      </c:ext>
                    </c:extLst>
                    <c:numCache>
                      <c:formatCode>#,##0</c:formatCode>
                      <c:ptCount val="3"/>
                      <c:pt idx="0">
                        <c:v>48</c:v>
                      </c:pt>
                      <c:pt idx="1">
                        <c:v>3299</c:v>
                      </c:pt>
                      <c:pt idx="2">
                        <c:v>5</c:v>
                      </c:pt>
                    </c:numCache>
                  </c:numRef>
                </c:val>
                <c:extLst xmlns:c15="http://schemas.microsoft.com/office/drawing/2012/chart">
                  <c:ext xmlns:c16="http://schemas.microsoft.com/office/drawing/2014/chart" uri="{C3380CC4-5D6E-409C-BE32-E72D297353CC}">
                    <c16:uniqueId val="{0000000B-8ECE-42E9-B90A-B7EBA32A057F}"/>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Security!$R$1</c15:sqref>
                        </c15:formulaRef>
                      </c:ext>
                    </c:extLst>
                    <c:strCache>
                      <c:ptCount val="1"/>
                      <c:pt idx="0">
                        <c:v>2023</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Security!$A$2:$A$5</c15:sqref>
                        </c15:formulaRef>
                      </c:ext>
                    </c:extLst>
                    <c:strCache>
                      <c:ptCount val="3"/>
                      <c:pt idx="0">
                        <c:v>Registered employers</c:v>
                      </c:pt>
                      <c:pt idx="1">
                        <c:v>Active workers</c:v>
                      </c:pt>
                      <c:pt idx="2">
                        <c:v>Inactive workers</c:v>
                      </c:pt>
                    </c:strCache>
                  </c:strRef>
                </c:cat>
                <c:val>
                  <c:numRef>
                    <c:extLst xmlns:c15="http://schemas.microsoft.com/office/drawing/2012/chart">
                      <c:ext xmlns:c15="http://schemas.microsoft.com/office/drawing/2012/chart" uri="{02D57815-91ED-43cb-92C2-25804820EDAC}">
                        <c15:formulaRef>
                          <c15:sqref>Security!$R$2:$R$5</c15:sqref>
                        </c15:formulaRef>
                      </c:ext>
                    </c:extLst>
                    <c:numCache>
                      <c:formatCode>#,##0</c:formatCode>
                      <c:ptCount val="3"/>
                      <c:pt idx="0">
                        <c:v>53</c:v>
                      </c:pt>
                      <c:pt idx="1">
                        <c:v>3605</c:v>
                      </c:pt>
                      <c:pt idx="2">
                        <c:v>28</c:v>
                      </c:pt>
                    </c:numCache>
                  </c:numRef>
                </c:val>
                <c:extLst xmlns:c15="http://schemas.microsoft.com/office/drawing/2012/chart">
                  <c:ext xmlns:c16="http://schemas.microsoft.com/office/drawing/2014/chart" uri="{C3380CC4-5D6E-409C-BE32-E72D297353CC}">
                    <c16:uniqueId val="{0000000C-8ECE-42E9-B90A-B7EBA32A057F}"/>
                  </c:ext>
                </c:extLst>
              </c15:ser>
            </c15:filteredBarSeries>
          </c:ext>
        </c:extLst>
      </c:barChart>
      <c:catAx>
        <c:axId val="559632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59633416"/>
        <c:crosses val="autoZero"/>
        <c:auto val="1"/>
        <c:lblAlgn val="ctr"/>
        <c:lblOffset val="100"/>
        <c:noMultiLvlLbl val="0"/>
      </c:catAx>
      <c:valAx>
        <c:axId val="559633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59632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12700" cap="flat" cmpd="sng" algn="ctr">
      <a:no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52616447467229"/>
          <c:y val="2.5806442873103758E-2"/>
          <c:w val="0.85002424424467382"/>
          <c:h val="0.80078041121254107"/>
        </c:manualLayout>
      </c:layout>
      <c:barChart>
        <c:barDir val="col"/>
        <c:grouping val="clustered"/>
        <c:varyColors val="0"/>
        <c:ser>
          <c:idx val="0"/>
          <c:order val="0"/>
          <c:tx>
            <c:strRef>
              <c:f>Security!$A$16</c:f>
              <c:strCache>
                <c:ptCount val="1"/>
                <c:pt idx="0">
                  <c:v>Amount ($)</c:v>
                </c:pt>
              </c:strCache>
            </c:strRef>
          </c:tx>
          <c:spPr>
            <a:solidFill>
              <a:schemeClr val="accent1"/>
            </a:solidFill>
            <a:ln>
              <a:noFill/>
            </a:ln>
            <a:effectLst/>
          </c:spPr>
          <c:invertIfNegative val="0"/>
          <c:cat>
            <c:numRef>
              <c:f>Security!$N$1:$U$1</c:f>
              <c:numCache>
                <c:formatCode>General</c:formatCode>
                <c:ptCount val="8"/>
                <c:pt idx="0">
                  <c:v>2019</c:v>
                </c:pt>
                <c:pt idx="1">
                  <c:v>2020</c:v>
                </c:pt>
                <c:pt idx="2">
                  <c:v>2021</c:v>
                </c:pt>
                <c:pt idx="3">
                  <c:v>2022</c:v>
                </c:pt>
                <c:pt idx="4">
                  <c:v>2023</c:v>
                </c:pt>
                <c:pt idx="5">
                  <c:v>2024</c:v>
                </c:pt>
                <c:pt idx="6">
                  <c:v>2025</c:v>
                </c:pt>
                <c:pt idx="7">
                  <c:v>2026</c:v>
                </c:pt>
              </c:numCache>
              <c:extLst/>
            </c:numRef>
          </c:cat>
          <c:val>
            <c:numRef>
              <c:f>Security!$N$16:$U$16</c:f>
              <c:numCache>
                <c:formatCode>#,##0.000,,\M</c:formatCode>
                <c:ptCount val="8"/>
                <c:pt idx="0">
                  <c:v>822000</c:v>
                </c:pt>
                <c:pt idx="1">
                  <c:v>849000</c:v>
                </c:pt>
                <c:pt idx="2">
                  <c:v>867000</c:v>
                </c:pt>
                <c:pt idx="3">
                  <c:v>919000</c:v>
                </c:pt>
                <c:pt idx="4">
                  <c:v>971000</c:v>
                </c:pt>
                <c:pt idx="5">
                  <c:v>1035000</c:v>
                </c:pt>
                <c:pt idx="6">
                  <c:v>1507000</c:v>
                </c:pt>
                <c:pt idx="7">
                  <c:v>1577000</c:v>
                </c:pt>
              </c:numCache>
              <c:extLst/>
            </c:numRef>
          </c:val>
          <c:extLst>
            <c:ext xmlns:c16="http://schemas.microsoft.com/office/drawing/2014/chart" uri="{C3380CC4-5D6E-409C-BE32-E72D297353CC}">
              <c16:uniqueId val="{00000000-612D-4499-B725-C0B53613C03F}"/>
            </c:ext>
          </c:extLst>
        </c:ser>
        <c:dLbls>
          <c:showLegendKey val="0"/>
          <c:showVal val="0"/>
          <c:showCatName val="0"/>
          <c:showSerName val="0"/>
          <c:showPercent val="0"/>
          <c:showBubbleSize val="0"/>
        </c:dLbls>
        <c:gapWidth val="150"/>
        <c:axId val="559633808"/>
        <c:axId val="559626752"/>
      </c:barChart>
      <c:catAx>
        <c:axId val="559633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26752"/>
        <c:crosses val="autoZero"/>
        <c:auto val="1"/>
        <c:lblAlgn val="ctr"/>
        <c:lblOffset val="100"/>
        <c:noMultiLvlLbl val="0"/>
      </c:catAx>
      <c:valAx>
        <c:axId val="559626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33808"/>
        <c:crosses val="autoZero"/>
        <c:crossBetween val="between"/>
        <c:dispUnits>
          <c:builtInUnit val="millions"/>
          <c:dispUnitsLbl>
            <c:layout>
              <c:manualLayout>
                <c:xMode val="edge"/>
                <c:yMode val="edge"/>
                <c:x val="8.6918730986527588E-3"/>
                <c:y val="0.41759125642494066"/>
              </c:manualLayout>
            </c:layout>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Millions ($)</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'Data and Graph'!$A$4</c:f>
              <c:strCache>
                <c:ptCount val="1"/>
                <c:pt idx="0">
                  <c:v>Jul-25</c:v>
                </c:pt>
              </c:strCache>
            </c:strRef>
          </c:tx>
          <c:spPr>
            <a:solidFill>
              <a:schemeClr val="accent1"/>
            </a:solidFill>
            <a:ln>
              <a:noFill/>
            </a:ln>
            <a:effectLst/>
          </c:spPr>
          <c:invertIfNegative val="0"/>
          <c:cat>
            <c:strRef>
              <c:f>'Data and Graph'!$B$3:$G$3</c:f>
              <c:strCache>
                <c:ptCount val="6"/>
                <c:pt idx="0">
                  <c:v>Client Services</c:v>
                </c:pt>
                <c:pt idx="1">
                  <c:v>Benefits</c:v>
                </c:pt>
                <c:pt idx="2">
                  <c:v>Compliance</c:v>
                </c:pt>
                <c:pt idx="3">
                  <c:v>Finance</c:v>
                </c:pt>
                <c:pt idx="4">
                  <c:v>Corporate</c:v>
                </c:pt>
                <c:pt idx="5">
                  <c:v>Executive</c:v>
                </c:pt>
              </c:strCache>
              <c:extLst/>
            </c:strRef>
          </c:cat>
          <c:val>
            <c:numRef>
              <c:f>'Data and Graph'!$B$4:$G$4</c:f>
              <c:numCache>
                <c:formatCode>General</c:formatCode>
                <c:ptCount val="6"/>
                <c:pt idx="0">
                  <c:v>11.1</c:v>
                </c:pt>
                <c:pt idx="1">
                  <c:v>6.5</c:v>
                </c:pt>
                <c:pt idx="2">
                  <c:v>8</c:v>
                </c:pt>
                <c:pt idx="3">
                  <c:v>4.5999999999999996</c:v>
                </c:pt>
                <c:pt idx="4">
                  <c:v>4</c:v>
                </c:pt>
                <c:pt idx="5">
                  <c:v>5</c:v>
                </c:pt>
              </c:numCache>
              <c:extLst/>
            </c:numRef>
          </c:val>
          <c:extLst>
            <c:ext xmlns:c16="http://schemas.microsoft.com/office/drawing/2014/chart" uri="{C3380CC4-5D6E-409C-BE32-E72D297353CC}">
              <c16:uniqueId val="{00000000-4AAD-4350-9EE4-D654730D04BF}"/>
            </c:ext>
          </c:extLst>
        </c:ser>
        <c:ser>
          <c:idx val="1"/>
          <c:order val="1"/>
          <c:tx>
            <c:strRef>
              <c:f>'Data and Graph'!$A$5</c:f>
              <c:strCache>
                <c:ptCount val="1"/>
                <c:pt idx="0">
                  <c:v>Jun-26</c:v>
                </c:pt>
              </c:strCache>
            </c:strRef>
          </c:tx>
          <c:spPr>
            <a:solidFill>
              <a:schemeClr val="accent2"/>
            </a:solidFill>
            <a:ln>
              <a:noFill/>
            </a:ln>
            <a:effectLst/>
          </c:spPr>
          <c:invertIfNegative val="0"/>
          <c:cat>
            <c:strRef>
              <c:f>'Data and Graph'!$B$3:$G$3</c:f>
              <c:strCache>
                <c:ptCount val="6"/>
                <c:pt idx="0">
                  <c:v>Client Services</c:v>
                </c:pt>
                <c:pt idx="1">
                  <c:v>Benefits</c:v>
                </c:pt>
                <c:pt idx="2">
                  <c:v>Compliance</c:v>
                </c:pt>
                <c:pt idx="3">
                  <c:v>Finance</c:v>
                </c:pt>
                <c:pt idx="4">
                  <c:v>Corporate</c:v>
                </c:pt>
                <c:pt idx="5">
                  <c:v>Executive</c:v>
                </c:pt>
              </c:strCache>
              <c:extLst/>
            </c:strRef>
          </c:cat>
          <c:val>
            <c:numRef>
              <c:f>'Data and Graph'!$B$5:$G$5</c:f>
              <c:numCache>
                <c:formatCode>0.0</c:formatCode>
                <c:ptCount val="6"/>
                <c:pt idx="0">
                  <c:v>11.5</c:v>
                </c:pt>
                <c:pt idx="1">
                  <c:v>6.5</c:v>
                </c:pt>
                <c:pt idx="2" formatCode="0">
                  <c:v>9.99</c:v>
                </c:pt>
                <c:pt idx="3">
                  <c:v>3.8</c:v>
                </c:pt>
                <c:pt idx="4" formatCode="0">
                  <c:v>6</c:v>
                </c:pt>
                <c:pt idx="5" formatCode="0">
                  <c:v>5</c:v>
                </c:pt>
              </c:numCache>
              <c:extLst/>
            </c:numRef>
          </c:val>
          <c:extLst>
            <c:ext xmlns:c16="http://schemas.microsoft.com/office/drawing/2014/chart" uri="{C3380CC4-5D6E-409C-BE32-E72D297353CC}">
              <c16:uniqueId val="{00000001-4AAD-4350-9EE4-D654730D04BF}"/>
            </c:ext>
          </c:extLst>
        </c:ser>
        <c:dLbls>
          <c:showLegendKey val="0"/>
          <c:showVal val="0"/>
          <c:showCatName val="0"/>
          <c:showSerName val="0"/>
          <c:showPercent val="0"/>
          <c:showBubbleSize val="0"/>
        </c:dLbls>
        <c:gapWidth val="219"/>
        <c:overlap val="-27"/>
        <c:axId val="187851679"/>
        <c:axId val="657767151"/>
      </c:barChart>
      <c:catAx>
        <c:axId val="1878516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57767151"/>
        <c:crosses val="autoZero"/>
        <c:auto val="1"/>
        <c:lblAlgn val="ctr"/>
        <c:lblOffset val="100"/>
        <c:noMultiLvlLbl val="0"/>
      </c:catAx>
      <c:valAx>
        <c:axId val="6577671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FTE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78516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0"/>
      <c:rotY val="156"/>
      <c:rAngAx val="0"/>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177305738922096"/>
          <c:y val="0.16371873615000196"/>
          <c:w val="0.70571942423599587"/>
          <c:h val="0.6668654557063266"/>
        </c:manualLayout>
      </c:layout>
      <c:pie3DChart>
        <c:varyColors val="1"/>
        <c:ser>
          <c:idx val="0"/>
          <c:order val="0"/>
          <c:dPt>
            <c:idx val="0"/>
            <c:bubble3D val="0"/>
            <c:spPr>
              <a:solidFill>
                <a:schemeClr val="accent1"/>
              </a:solidFill>
              <a:ln>
                <a:noFill/>
              </a:ln>
              <a:effectLst/>
              <a:sp3d/>
            </c:spPr>
            <c:extLst>
              <c:ext xmlns:c16="http://schemas.microsoft.com/office/drawing/2014/chart" uri="{C3380CC4-5D6E-409C-BE32-E72D297353CC}">
                <c16:uniqueId val="{00000001-EB8F-4264-B9BD-A5870B85F6F4}"/>
              </c:ext>
            </c:extLst>
          </c:dPt>
          <c:dPt>
            <c:idx val="1"/>
            <c:bubble3D val="0"/>
            <c:spPr>
              <a:solidFill>
                <a:schemeClr val="accent5"/>
              </a:solidFill>
              <a:ln>
                <a:noFill/>
              </a:ln>
              <a:effectLst/>
              <a:sp3d/>
            </c:spPr>
            <c:extLst>
              <c:ext xmlns:c16="http://schemas.microsoft.com/office/drawing/2014/chart" uri="{C3380CC4-5D6E-409C-BE32-E72D297353CC}">
                <c16:uniqueId val="{00000003-EB8F-4264-B9BD-A5870B85F6F4}"/>
              </c:ext>
            </c:extLst>
          </c:dPt>
          <c:dPt>
            <c:idx val="2"/>
            <c:bubble3D val="0"/>
            <c:spPr>
              <a:solidFill>
                <a:schemeClr val="accent4"/>
              </a:solidFill>
              <a:ln>
                <a:noFill/>
              </a:ln>
              <a:effectLst/>
              <a:sp3d/>
            </c:spPr>
            <c:extLst>
              <c:ext xmlns:c16="http://schemas.microsoft.com/office/drawing/2014/chart" uri="{C3380CC4-5D6E-409C-BE32-E72D297353CC}">
                <c16:uniqueId val="{00000005-EB8F-4264-B9BD-A5870B85F6F4}"/>
              </c:ext>
            </c:extLst>
          </c:dPt>
          <c:dPt>
            <c:idx val="3"/>
            <c:bubble3D val="0"/>
            <c:spPr>
              <a:solidFill>
                <a:schemeClr val="accent2"/>
              </a:solidFill>
              <a:ln>
                <a:noFill/>
              </a:ln>
              <a:effectLst/>
              <a:sp3d/>
            </c:spPr>
            <c:extLst>
              <c:ext xmlns:c16="http://schemas.microsoft.com/office/drawing/2014/chart" uri="{C3380CC4-5D6E-409C-BE32-E72D297353CC}">
                <c16:uniqueId val="{00000007-EB8F-4264-B9BD-A5870B85F6F4}"/>
              </c:ext>
            </c:extLst>
          </c:dPt>
          <c:dPt>
            <c:idx val="4"/>
            <c:bubble3D val="0"/>
            <c:spPr>
              <a:solidFill>
                <a:schemeClr val="accent5"/>
              </a:solidFill>
              <a:ln>
                <a:noFill/>
              </a:ln>
              <a:effectLst/>
              <a:sp3d/>
            </c:spPr>
            <c:extLst>
              <c:ext xmlns:c16="http://schemas.microsoft.com/office/drawing/2014/chart" uri="{C3380CC4-5D6E-409C-BE32-E72D297353CC}">
                <c16:uniqueId val="{00000009-EB8F-4264-B9BD-A5870B85F6F4}"/>
              </c:ext>
            </c:extLst>
          </c:dPt>
          <c:dPt>
            <c:idx val="5"/>
            <c:bubble3D val="0"/>
            <c:spPr>
              <a:solidFill>
                <a:schemeClr val="accent6"/>
              </a:solidFill>
              <a:ln>
                <a:noFill/>
              </a:ln>
              <a:effectLst/>
              <a:sp3d/>
            </c:spPr>
            <c:extLst>
              <c:ext xmlns:c16="http://schemas.microsoft.com/office/drawing/2014/chart" uri="{C3380CC4-5D6E-409C-BE32-E72D297353CC}">
                <c16:uniqueId val="{0000000B-EB8F-4264-B9BD-A5870B85F6F4}"/>
              </c:ext>
            </c:extLst>
          </c:dPt>
          <c:dLbls>
            <c:dLbl>
              <c:idx val="0"/>
              <c:layout>
                <c:manualLayout>
                  <c:x val="-3.1655482555126485E-2"/>
                  <c:y val="5.1805803280114783E-2"/>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B8F-4264-B9BD-A5870B85F6F4}"/>
                </c:ext>
              </c:extLst>
            </c:dLbl>
            <c:dLbl>
              <c:idx val="1"/>
              <c:layout>
                <c:manualLayout>
                  <c:x val="0.12750115515197766"/>
                  <c:y val="-1.1534201365342014E-2"/>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B8F-4264-B9BD-A5870B85F6F4}"/>
                </c:ext>
              </c:extLst>
            </c:dLbl>
            <c:dLbl>
              <c:idx val="2"/>
              <c:layout>
                <c:manualLayout>
                  <c:x val="7.4123785808825018E-2"/>
                  <c:y val="-7.6557665585919449E-2"/>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B8F-4264-B9BD-A5870B85F6F4}"/>
                </c:ext>
              </c:extLst>
            </c:dLbl>
            <c:dLbl>
              <c:idx val="3"/>
              <c:layout>
                <c:manualLayout>
                  <c:x val="0.10939953524917653"/>
                  <c:y val="-1.8160699525818943E-2"/>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B8F-4264-B9BD-A5870B85F6F4}"/>
                </c:ext>
              </c:extLst>
            </c:dLbl>
            <c:dLbl>
              <c:idx val="4"/>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6="http://schemas.microsoft.com/office/drawing/2014/chart" uri="{C3380CC4-5D6E-409C-BE32-E72D297353CC}">
                  <c16:uniqueId val="{00000009-EB8F-4264-B9BD-A5870B85F6F4}"/>
                </c:ext>
              </c:extLst>
            </c:dLbl>
            <c:dLbl>
              <c:idx val="5"/>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6="http://schemas.microsoft.com/office/drawing/2014/chart" uri="{C3380CC4-5D6E-409C-BE32-E72D297353CC}">
                  <c16:uniqueId val="{0000000B-EB8F-4264-B9BD-A5870B85F6F4}"/>
                </c:ext>
              </c:extLst>
            </c:dLbl>
            <c:dLbl>
              <c:idx val="6"/>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6="http://schemas.microsoft.com/office/drawing/2014/chart" uri="{C3380CC4-5D6E-409C-BE32-E72D297353CC}">
                  <c16:uniqueId val="{0000000C-EB8F-4264-B9BD-A5870B85F6F4}"/>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'Fig.1 Auth Income'!$A$3:$A$6</c:f>
              <c:strCache>
                <c:ptCount val="4"/>
                <c:pt idx="0">
                  <c:v>Contributions from Employers and Contractors</c:v>
                </c:pt>
                <c:pt idx="1">
                  <c:v>Gains from Remeasurement of Assets</c:v>
                </c:pt>
                <c:pt idx="2">
                  <c:v>Investment Revenue</c:v>
                </c:pt>
                <c:pt idx="3">
                  <c:v>Other Income</c:v>
                </c:pt>
              </c:strCache>
            </c:strRef>
          </c:cat>
          <c:val>
            <c:numRef>
              <c:f>'Fig.1 Auth Income'!$B$3:$B$6</c:f>
              <c:numCache>
                <c:formatCode>_-"$"* #,##0_-;\-"$"* #,##0_-;_-"$"* "-"??_-;_-@_-</c:formatCode>
                <c:ptCount val="4"/>
                <c:pt idx="0">
                  <c:v>51057</c:v>
                </c:pt>
                <c:pt idx="1">
                  <c:v>9060</c:v>
                </c:pt>
                <c:pt idx="2">
                  <c:v>15574</c:v>
                </c:pt>
                <c:pt idx="3">
                  <c:v>800</c:v>
                </c:pt>
              </c:numCache>
            </c:numRef>
          </c:val>
          <c:extLst>
            <c:ext xmlns:c16="http://schemas.microsoft.com/office/drawing/2014/chart" uri="{C3380CC4-5D6E-409C-BE32-E72D297353CC}">
              <c16:uniqueId val="{0000000D-EB8F-4264-B9BD-A5870B85F6F4}"/>
            </c:ext>
          </c:extLst>
        </c:ser>
        <c:dLbls>
          <c:showLegendKey val="0"/>
          <c:showVal val="0"/>
          <c:showCatName val="0"/>
          <c:showSerName val="0"/>
          <c:showPercent val="0"/>
          <c:showBubbleSize val="0"/>
          <c:showLeaderLines val="1"/>
        </c:dLbls>
      </c:pie3DChart>
      <c:spPr>
        <a:noFill/>
        <a:ln w="25400">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0"/>
      <c:rotY val="93"/>
      <c:rAngAx val="0"/>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9981656413392089E-3"/>
          <c:y val="0.15509250078812462"/>
          <c:w val="0.69408559716485518"/>
          <c:h val="0.65703958903177961"/>
        </c:manualLayout>
      </c:layout>
      <c:pie3DChart>
        <c:varyColors val="1"/>
        <c:ser>
          <c:idx val="0"/>
          <c:order val="0"/>
          <c:spPr>
            <a:solidFill>
              <a:schemeClr val="accent5"/>
            </a:solidFill>
          </c:spPr>
          <c:dPt>
            <c:idx val="0"/>
            <c:bubble3D val="0"/>
            <c:spPr>
              <a:solidFill>
                <a:schemeClr val="accent5"/>
              </a:solidFill>
              <a:ln>
                <a:noFill/>
              </a:ln>
              <a:effectLst/>
              <a:sp3d/>
            </c:spPr>
            <c:extLst>
              <c:ext xmlns:c16="http://schemas.microsoft.com/office/drawing/2014/chart" uri="{C3380CC4-5D6E-409C-BE32-E72D297353CC}">
                <c16:uniqueId val="{00000001-7CB8-4685-9A16-74B15C4373CA}"/>
              </c:ext>
            </c:extLst>
          </c:dPt>
          <c:dPt>
            <c:idx val="1"/>
            <c:bubble3D val="0"/>
            <c:spPr>
              <a:solidFill>
                <a:schemeClr val="accent2"/>
              </a:solidFill>
              <a:ln>
                <a:noFill/>
              </a:ln>
              <a:effectLst/>
              <a:sp3d/>
            </c:spPr>
            <c:extLst>
              <c:ext xmlns:c16="http://schemas.microsoft.com/office/drawing/2014/chart" uri="{C3380CC4-5D6E-409C-BE32-E72D297353CC}">
                <c16:uniqueId val="{00000003-7CB8-4685-9A16-74B15C4373CA}"/>
              </c:ext>
            </c:extLst>
          </c:dPt>
          <c:dPt>
            <c:idx val="2"/>
            <c:bubble3D val="0"/>
            <c:spPr>
              <a:solidFill>
                <a:schemeClr val="accent3"/>
              </a:solidFill>
              <a:ln>
                <a:noFill/>
              </a:ln>
              <a:effectLst/>
              <a:sp3d/>
            </c:spPr>
            <c:extLst>
              <c:ext xmlns:c16="http://schemas.microsoft.com/office/drawing/2014/chart" uri="{C3380CC4-5D6E-409C-BE32-E72D297353CC}">
                <c16:uniqueId val="{00000005-7CB8-4685-9A16-74B15C4373CA}"/>
              </c:ext>
            </c:extLst>
          </c:dPt>
          <c:dPt>
            <c:idx val="3"/>
            <c:bubble3D val="0"/>
            <c:spPr>
              <a:solidFill>
                <a:schemeClr val="accent5"/>
              </a:solidFill>
              <a:ln>
                <a:noFill/>
              </a:ln>
              <a:effectLst/>
              <a:sp3d/>
            </c:spPr>
            <c:extLst>
              <c:ext xmlns:c16="http://schemas.microsoft.com/office/drawing/2014/chart" uri="{C3380CC4-5D6E-409C-BE32-E72D297353CC}">
                <c16:uniqueId val="{00000007-7CB8-4685-9A16-74B15C4373CA}"/>
              </c:ext>
            </c:extLst>
          </c:dPt>
          <c:dPt>
            <c:idx val="4"/>
            <c:bubble3D val="0"/>
            <c:spPr>
              <a:solidFill>
                <a:schemeClr val="accent1"/>
              </a:solidFill>
              <a:ln>
                <a:noFill/>
              </a:ln>
              <a:effectLst/>
              <a:sp3d/>
            </c:spPr>
            <c:extLst>
              <c:ext xmlns:c16="http://schemas.microsoft.com/office/drawing/2014/chart" uri="{C3380CC4-5D6E-409C-BE32-E72D297353CC}">
                <c16:uniqueId val="{00000009-7CB8-4685-9A16-74B15C4373CA}"/>
              </c:ext>
            </c:extLst>
          </c:dPt>
          <c:dPt>
            <c:idx val="5"/>
            <c:bubble3D val="0"/>
            <c:spPr>
              <a:solidFill>
                <a:schemeClr val="accent4"/>
              </a:solidFill>
              <a:ln>
                <a:noFill/>
              </a:ln>
              <a:effectLst/>
              <a:sp3d/>
            </c:spPr>
            <c:extLst>
              <c:ext xmlns:c16="http://schemas.microsoft.com/office/drawing/2014/chart" uri="{C3380CC4-5D6E-409C-BE32-E72D297353CC}">
                <c16:uniqueId val="{0000000B-7CB8-4685-9A16-74B15C4373CA}"/>
              </c:ext>
            </c:extLst>
          </c:dPt>
          <c:dPt>
            <c:idx val="6"/>
            <c:bubble3D val="0"/>
            <c:spPr>
              <a:solidFill>
                <a:schemeClr val="accent6">
                  <a:lumMod val="75000"/>
                </a:schemeClr>
              </a:solidFill>
              <a:ln>
                <a:noFill/>
              </a:ln>
              <a:effectLst/>
              <a:sp3d/>
            </c:spPr>
            <c:extLst>
              <c:ext xmlns:c16="http://schemas.microsoft.com/office/drawing/2014/chart" uri="{C3380CC4-5D6E-409C-BE32-E72D297353CC}">
                <c16:uniqueId val="{0000000D-7CB8-4685-9A16-74B15C4373CA}"/>
              </c:ext>
            </c:extLst>
          </c:dPt>
          <c:dLbls>
            <c:dLbl>
              <c:idx val="0"/>
              <c:layout>
                <c:manualLayout>
                  <c:x val="6.2176165803108807E-2"/>
                  <c:y val="1.430273598951282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CB8-4685-9A16-74B15C4373CA}"/>
                </c:ext>
              </c:extLst>
            </c:dLbl>
            <c:dLbl>
              <c:idx val="1"/>
              <c:layout>
                <c:manualLayout>
                  <c:x val="8.5237260529415104E-2"/>
                  <c:y val="-3.2542815647161029E-2"/>
                </c:manualLayout>
              </c:layout>
              <c:numFmt formatCode="0.00%" sourceLinked="0"/>
              <c:spPr>
                <a:noFill/>
                <a:ln>
                  <a:noFill/>
                </a:ln>
                <a:effectLst/>
              </c:spPr>
              <c:txPr>
                <a:bodyPr rot="0" spcFirstLastPara="1" vertOverflow="overflow" horzOverflow="overflow" vert="horz" wrap="none" anchor="b" anchorCtr="1">
                  <a:no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18972854199676653"/>
                      <c:h val="0.13067933115751554"/>
                    </c:manualLayout>
                  </c15:layout>
                </c:ext>
                <c:ext xmlns:c16="http://schemas.microsoft.com/office/drawing/2014/chart" uri="{C3380CC4-5D6E-409C-BE32-E72D297353CC}">
                  <c16:uniqueId val="{00000003-7CB8-4685-9A16-74B15C4373CA}"/>
                </c:ext>
              </c:extLst>
            </c:dLbl>
            <c:dLbl>
              <c:idx val="2"/>
              <c:layout>
                <c:manualLayout>
                  <c:x val="0.11815351574701076"/>
                  <c:y val="0.12410219653005158"/>
                </c:manualLayout>
              </c:layout>
              <c:tx>
                <c:rich>
                  <a:bodyPr rot="0" spcFirstLastPara="1" vertOverflow="overflow" horzOverflow="overflow" vert="horz" wrap="none" anchor="b" anchorCtr="1">
                    <a:no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          </a:t>
                    </a:r>
                    <a:fld id="{F02DDDB0-188F-4E6C-AB9D-E22385CE02A8}" type="CATEGORYNAME">
                      <a:rPr lang="en-US"/>
                      <a:pPr>
                        <a:defRPr>
                          <a:solidFill>
                            <a:schemeClr val="tx1"/>
                          </a:solidFill>
                          <a:latin typeface="Arial" panose="020B0604020202020204" pitchFamily="34" charset="0"/>
                          <a:cs typeface="Arial" panose="020B0604020202020204" pitchFamily="34" charset="0"/>
                        </a:defRPr>
                      </a:pPr>
                      <a:t>[CATEGORY NAME]</a:t>
                    </a:fld>
                    <a:r>
                      <a:rPr lang="en-US" baseline="0"/>
                      <a:t>
</a:t>
                    </a:r>
                    <a:fld id="{BC9177A8-5DF4-46D6-BBD3-120B2DF70E89}" type="PERCENTAGE">
                      <a:rPr lang="en-US" baseline="0"/>
                      <a:pPr>
                        <a:defRPr>
                          <a:solidFill>
                            <a:schemeClr val="tx1"/>
                          </a:solidFill>
                          <a:latin typeface="Arial" panose="020B0604020202020204" pitchFamily="34" charset="0"/>
                          <a:cs typeface="Arial" panose="020B0604020202020204" pitchFamily="34" charset="0"/>
                        </a:defRPr>
                      </a:pPr>
                      <a:t>[PERCENTAGE]</a:t>
                    </a:fld>
                    <a:endParaRPr lang="en-US" baseline="0"/>
                  </a:p>
                </c:rich>
              </c:tx>
              <c:numFmt formatCode="0.00%" sourceLinked="0"/>
              <c:spPr>
                <a:noFill/>
                <a:ln>
                  <a:noFill/>
                </a:ln>
                <a:effectLst/>
              </c:spPr>
              <c:txPr>
                <a:bodyPr rot="0" spcFirstLastPara="1" vertOverflow="overflow" horzOverflow="overflow" vert="horz" wrap="none" anchor="b" anchorCtr="1">
                  <a:no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
                      <c:h val="0.13067933115751554"/>
                    </c:manualLayout>
                  </c15:layout>
                  <c15:dlblFieldTable/>
                  <c15:showDataLabelsRange val="0"/>
                </c:ext>
                <c:ext xmlns:c16="http://schemas.microsoft.com/office/drawing/2014/chart" uri="{C3380CC4-5D6E-409C-BE32-E72D297353CC}">
                  <c16:uniqueId val="{00000005-7CB8-4685-9A16-74B15C4373CA}"/>
                </c:ext>
              </c:extLst>
            </c:dLbl>
            <c:dLbl>
              <c:idx val="3"/>
              <c:layout>
                <c:manualLayout>
                  <c:x val="-7.5553207393109417E-2"/>
                  <c:y val="0.28188883290211758"/>
                </c:manualLayout>
              </c:layout>
              <c:numFmt formatCode="0.00%" sourceLinked="0"/>
              <c:spPr>
                <a:noFill/>
                <a:ln>
                  <a:noFill/>
                </a:ln>
                <a:effectLst/>
              </c:spPr>
              <c:txPr>
                <a:bodyPr rot="0" spcFirstLastPara="1" vertOverflow="overflow" horzOverflow="overflow" vert="horz" wrap="none" anchor="b" anchorCtr="1">
                  <a:no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
                      <c:h val="0.13067933115751554"/>
                    </c:manualLayout>
                  </c15:layout>
                </c:ext>
                <c:ext xmlns:c16="http://schemas.microsoft.com/office/drawing/2014/chart" uri="{C3380CC4-5D6E-409C-BE32-E72D297353CC}">
                  <c16:uniqueId val="{00000007-7CB8-4685-9A16-74B15C4373CA}"/>
                </c:ext>
              </c:extLst>
            </c:dLbl>
            <c:dLbl>
              <c:idx val="4"/>
              <c:layout>
                <c:manualLayout>
                  <c:x val="0.14494965021802553"/>
                  <c:y val="0.16394647009281593"/>
                </c:manualLayout>
              </c:layout>
              <c:numFmt formatCode="0.00%" sourceLinked="0"/>
              <c:spPr>
                <a:noFill/>
                <a:ln>
                  <a:noFill/>
                </a:ln>
                <a:effectLst/>
              </c:spPr>
              <c:txPr>
                <a:bodyPr rot="0" spcFirstLastPara="1" vertOverflow="overflow" horzOverflow="overflow" vert="horz" wrap="none" anchor="b" anchorCtr="1">
                  <a:no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
                      <c:h val="0.13067933115751554"/>
                    </c:manualLayout>
                  </c15:layout>
                </c:ext>
                <c:ext xmlns:c16="http://schemas.microsoft.com/office/drawing/2014/chart" uri="{C3380CC4-5D6E-409C-BE32-E72D297353CC}">
                  <c16:uniqueId val="{00000009-7CB8-4685-9A16-74B15C4373CA}"/>
                </c:ext>
              </c:extLst>
            </c:dLbl>
            <c:dLbl>
              <c:idx val="5"/>
              <c:layout>
                <c:manualLayout>
                  <c:x val="0.11408336393184013"/>
                  <c:y val="-0.21988485734428601"/>
                </c:manualLayout>
              </c:layout>
              <c:numFmt formatCode="0.00%" sourceLinked="0"/>
              <c:spPr>
                <a:noFill/>
                <a:ln>
                  <a:noFill/>
                </a:ln>
                <a:effectLst/>
              </c:spPr>
              <c:txPr>
                <a:bodyPr rot="0" spcFirstLastPara="1" vertOverflow="overflow" horzOverflow="overflow" vert="horz" wrap="none" anchor="b" anchorCtr="1">
                  <a:no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12581669226830516"/>
                      <c:h val="0.13067933115751554"/>
                    </c:manualLayout>
                  </c15:layout>
                </c:ext>
                <c:ext xmlns:c16="http://schemas.microsoft.com/office/drawing/2014/chart" uri="{C3380CC4-5D6E-409C-BE32-E72D297353CC}">
                  <c16:uniqueId val="{0000000B-7CB8-4685-9A16-74B15C4373CA}"/>
                </c:ext>
              </c:extLst>
            </c:dLbl>
            <c:dLbl>
              <c:idx val="6"/>
              <c:layout>
                <c:manualLayout>
                  <c:x val="0.12933197339969799"/>
                  <c:y val="-0.17880109286417356"/>
                </c:manualLayout>
              </c:layout>
              <c:numFmt formatCode="0.00%" sourceLinked="0"/>
              <c:spPr>
                <a:noFill/>
                <a:ln>
                  <a:noFill/>
                </a:ln>
                <a:effectLst/>
              </c:spPr>
              <c:txPr>
                <a:bodyPr rot="0" spcFirstLastPara="1" vertOverflow="overflow" horzOverflow="overflow" vert="horz" wrap="none" anchor="b" anchorCtr="1">
                  <a:no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14222222222222222"/>
                      <c:h val="0.13067933115751554"/>
                    </c:manualLayout>
                  </c15:layout>
                </c:ext>
                <c:ext xmlns:c16="http://schemas.microsoft.com/office/drawing/2014/chart" uri="{C3380CC4-5D6E-409C-BE32-E72D297353CC}">
                  <c16:uniqueId val="{0000000D-7CB8-4685-9A16-74B15C4373CA}"/>
                </c:ext>
              </c:extLst>
            </c:dLbl>
            <c:numFmt formatCode="0.00%" sourceLinked="0"/>
            <c:spPr>
              <a:noFill/>
              <a:ln>
                <a:noFill/>
              </a:ln>
              <a:effectLst/>
            </c:spPr>
            <c:txPr>
              <a:bodyPr rot="0" spcFirstLastPara="1" vertOverflow="overflow" horzOverflow="overflow" vert="horz" wrap="none" lIns="38100" tIns="19050" rIns="38100" bIns="19050" anchor="b" anchorCtr="1">
                <a:sp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'Fig.2 Comp of Exp Pie'!$A$3:$A$9</c:f>
              <c:strCache>
                <c:ptCount val="7"/>
                <c:pt idx="1">
                  <c:v>Supplies and Services</c:v>
                </c:pt>
                <c:pt idx="2">
                  <c:v>Depreciation and Amortisation</c:v>
                </c:pt>
                <c:pt idx="3">
                  <c:v>Employee and Superannuation Expenses</c:v>
                </c:pt>
                <c:pt idx="4">
                  <c:v>Long Service Leave Benefit Expenses</c:v>
                </c:pt>
                <c:pt idx="5">
                  <c:v>Finance Costs</c:v>
                </c:pt>
                <c:pt idx="6">
                  <c:v>Other Expenses</c:v>
                </c:pt>
              </c:strCache>
            </c:strRef>
          </c:cat>
          <c:val>
            <c:numRef>
              <c:f>'Fig.2 Comp of Exp Pie'!$B$3:$B$9</c:f>
              <c:numCache>
                <c:formatCode>_-"$"* #,##0_-;\-"$"* #,##0_-;_-"$"* "-"??_-;_-@_-</c:formatCode>
                <c:ptCount val="7"/>
                <c:pt idx="1">
                  <c:v>2146.63</c:v>
                </c:pt>
                <c:pt idx="2">
                  <c:v>253.7</c:v>
                </c:pt>
                <c:pt idx="3">
                  <c:v>5367.59</c:v>
                </c:pt>
                <c:pt idx="4">
                  <c:v>38766.86</c:v>
                </c:pt>
                <c:pt idx="5">
                  <c:v>24036.47</c:v>
                </c:pt>
                <c:pt idx="6">
                  <c:v>456.81</c:v>
                </c:pt>
              </c:numCache>
            </c:numRef>
          </c:val>
          <c:extLst>
            <c:ext xmlns:c16="http://schemas.microsoft.com/office/drawing/2014/chart" uri="{C3380CC4-5D6E-409C-BE32-E72D297353CC}">
              <c16:uniqueId val="{0000000E-7CB8-4685-9A16-74B15C4373CA}"/>
            </c:ext>
          </c:extLst>
        </c:ser>
        <c:dLbls>
          <c:showLegendKey val="0"/>
          <c:showVal val="0"/>
          <c:showCatName val="0"/>
          <c:showSerName val="0"/>
          <c:showPercent val="0"/>
          <c:showBubbleSize val="0"/>
          <c:showLeaderLines val="1"/>
        </c:dLbls>
      </c:pie3DChart>
      <c:spPr>
        <a:noFill/>
        <a:ln w="25400">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40"/>
      <c:rotY val="80"/>
      <c:rAngAx val="0"/>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6.1459715709693594E-2"/>
          <c:w val="0.99274512399541304"/>
          <c:h val="0.93854028429030645"/>
        </c:manualLayout>
      </c:layout>
      <c:pie3DChart>
        <c:varyColors val="1"/>
        <c:ser>
          <c:idx val="0"/>
          <c:order val="0"/>
          <c:explosion val="39"/>
          <c:dPt>
            <c:idx val="0"/>
            <c:bubble3D val="0"/>
            <c:spPr>
              <a:solidFill>
                <a:schemeClr val="accent2"/>
              </a:solidFill>
              <a:ln>
                <a:noFill/>
              </a:ln>
              <a:effectLst/>
              <a:sp3d/>
            </c:spPr>
            <c:extLst>
              <c:ext xmlns:c16="http://schemas.microsoft.com/office/drawing/2014/chart" uri="{C3380CC4-5D6E-409C-BE32-E72D297353CC}">
                <c16:uniqueId val="{00000001-7FB0-43C0-96AA-03BCB1B13F99}"/>
              </c:ext>
            </c:extLst>
          </c:dPt>
          <c:dPt>
            <c:idx val="1"/>
            <c:bubble3D val="0"/>
            <c:spPr>
              <a:solidFill>
                <a:schemeClr val="accent1"/>
              </a:solidFill>
              <a:ln>
                <a:noFill/>
              </a:ln>
              <a:effectLst/>
              <a:sp3d/>
            </c:spPr>
            <c:extLst>
              <c:ext xmlns:c16="http://schemas.microsoft.com/office/drawing/2014/chart" uri="{C3380CC4-5D6E-409C-BE32-E72D297353CC}">
                <c16:uniqueId val="{00000003-7FB0-43C0-96AA-03BCB1B13F99}"/>
              </c:ext>
            </c:extLst>
          </c:dPt>
          <c:dPt>
            <c:idx val="2"/>
            <c:bubble3D val="0"/>
            <c:spPr>
              <a:solidFill>
                <a:schemeClr val="accent4"/>
              </a:solidFill>
              <a:ln>
                <a:noFill/>
              </a:ln>
              <a:effectLst/>
              <a:sp3d/>
            </c:spPr>
            <c:extLst>
              <c:ext xmlns:c16="http://schemas.microsoft.com/office/drawing/2014/chart" uri="{C3380CC4-5D6E-409C-BE32-E72D297353CC}">
                <c16:uniqueId val="{00000005-7FB0-43C0-96AA-03BCB1B13F99}"/>
              </c:ext>
            </c:extLst>
          </c:dPt>
          <c:dPt>
            <c:idx val="3"/>
            <c:bubble3D val="0"/>
            <c:spPr>
              <a:solidFill>
                <a:schemeClr val="accent4"/>
              </a:solidFill>
              <a:ln>
                <a:noFill/>
              </a:ln>
              <a:effectLst/>
              <a:sp3d/>
            </c:spPr>
            <c:extLst>
              <c:ext xmlns:c16="http://schemas.microsoft.com/office/drawing/2014/chart" uri="{C3380CC4-5D6E-409C-BE32-E72D297353CC}">
                <c16:uniqueId val="{00000007-7FB0-43C0-96AA-03BCB1B13F99}"/>
              </c:ext>
            </c:extLst>
          </c:dPt>
          <c:dPt>
            <c:idx val="4"/>
            <c:bubble3D val="0"/>
            <c:spPr>
              <a:solidFill>
                <a:schemeClr val="accent5"/>
              </a:solidFill>
              <a:ln>
                <a:noFill/>
              </a:ln>
              <a:effectLst/>
              <a:sp3d/>
            </c:spPr>
            <c:extLst>
              <c:ext xmlns:c16="http://schemas.microsoft.com/office/drawing/2014/chart" uri="{C3380CC4-5D6E-409C-BE32-E72D297353CC}">
                <c16:uniqueId val="{00000009-7FB0-43C0-96AA-03BCB1B13F99}"/>
              </c:ext>
            </c:extLst>
          </c:dPt>
          <c:dPt>
            <c:idx val="5"/>
            <c:bubble3D val="0"/>
            <c:spPr>
              <a:solidFill>
                <a:schemeClr val="accent6"/>
              </a:solidFill>
              <a:ln>
                <a:noFill/>
              </a:ln>
              <a:effectLst/>
              <a:sp3d/>
            </c:spPr>
            <c:extLst>
              <c:ext xmlns:c16="http://schemas.microsoft.com/office/drawing/2014/chart" uri="{C3380CC4-5D6E-409C-BE32-E72D297353CC}">
                <c16:uniqueId val="{0000000B-7FB0-43C0-96AA-03BCB1B13F99}"/>
              </c:ext>
            </c:extLst>
          </c:dPt>
          <c:dLbls>
            <c:dLbl>
              <c:idx val="0"/>
              <c:layout>
                <c:manualLayout>
                  <c:x val="-4.5366260257572059E-2"/>
                  <c:y val="0.22703935751047868"/>
                </c:manualLayout>
              </c:layout>
              <c:numFmt formatCode="0.00%" sourceLinked="0"/>
              <c:spPr>
                <a:noFill/>
                <a:ln>
                  <a:noFill/>
                </a:ln>
                <a:effectLst/>
              </c:spPr>
              <c:txPr>
                <a:bodyPr rot="0" spcFirstLastPara="1" vertOverflow="overflow" horzOverflow="overflow" vert="horz" wrap="square" lIns="0" tIns="0" rIns="0" bIns="0" anchor="ctr" anchorCtr="1">
                  <a:no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6.7134092750959107E-2"/>
                      <c:h val="0.14583665868582069"/>
                    </c:manualLayout>
                  </c15:layout>
                </c:ext>
                <c:ext xmlns:c16="http://schemas.microsoft.com/office/drawing/2014/chart" uri="{C3380CC4-5D6E-409C-BE32-E72D297353CC}">
                  <c16:uniqueId val="{00000001-7FB0-43C0-96AA-03BCB1B13F99}"/>
                </c:ext>
              </c:extLst>
            </c:dLbl>
            <c:dLbl>
              <c:idx val="1"/>
              <c:layout>
                <c:manualLayout>
                  <c:x val="-3.8008022065386594E-2"/>
                  <c:y val="3.6420307796720841E-2"/>
                </c:manualLayout>
              </c:layout>
              <c:numFmt formatCode="0.00%" sourceLinked="0"/>
              <c:spPr>
                <a:noFill/>
                <a:ln>
                  <a:noFill/>
                </a:ln>
                <a:effectLst/>
              </c:spPr>
              <c:txPr>
                <a:bodyPr rot="0" spcFirstLastPara="1" vertOverflow="overflow" horzOverflow="overflow" vert="horz" wrap="square" lIns="0" tIns="0" rIns="0" bIns="0" anchor="ctr" anchorCtr="1">
                  <a:no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2173685332046243"/>
                      <c:h val="0.14583665868582069"/>
                    </c:manualLayout>
                  </c15:layout>
                </c:ext>
                <c:ext xmlns:c16="http://schemas.microsoft.com/office/drawing/2014/chart" uri="{C3380CC4-5D6E-409C-BE32-E72D297353CC}">
                  <c16:uniqueId val="{00000003-7FB0-43C0-96AA-03BCB1B13F99}"/>
                </c:ext>
              </c:extLst>
            </c:dLbl>
            <c:dLbl>
              <c:idx val="2"/>
              <c:layout>
                <c:manualLayout>
                  <c:x val="5.9123323637365673E-2"/>
                  <c:y val="-0.37972655652680287"/>
                </c:manualLayout>
              </c:layout>
              <c:numFmt formatCode="0.00%" sourceLinked="0"/>
              <c:spPr>
                <a:noFill/>
                <a:ln>
                  <a:noFill/>
                </a:ln>
                <a:effectLst/>
              </c:spPr>
              <c:txPr>
                <a:bodyPr rot="0" spcFirstLastPara="1" vertOverflow="overflow" horzOverflow="overflow" vert="horz" wrap="square" lIns="0" tIns="0" rIns="0" bIns="0" anchor="ctr" anchorCtr="1">
                  <a:no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1660697613320017"/>
                      <c:h val="0.14583665868582069"/>
                    </c:manualLayout>
                  </c15:layout>
                </c:ext>
                <c:ext xmlns:c16="http://schemas.microsoft.com/office/drawing/2014/chart" uri="{C3380CC4-5D6E-409C-BE32-E72D297353CC}">
                  <c16:uniqueId val="{00000005-7FB0-43C0-96AA-03BCB1B13F99}"/>
                </c:ext>
              </c:extLst>
            </c:dLbl>
            <c:dLbl>
              <c:idx val="3"/>
              <c:layout>
                <c:manualLayout>
                  <c:x val="1.1773506753644223E-2"/>
                  <c:y val="-1.7994330356802292E-2"/>
                </c:manualLayout>
              </c:layout>
              <c:numFmt formatCode="0.00%" sourceLinked="0"/>
              <c:spPr>
                <a:noFill/>
                <a:ln>
                  <a:noFill/>
                </a:ln>
                <a:effectLst/>
              </c:spPr>
              <c:txPr>
                <a:bodyPr rot="0" spcFirstLastPara="1" vertOverflow="overflow" horzOverflow="overflow" vert="horz" wrap="square" lIns="0" tIns="0" rIns="0" bIns="0" anchor="ctr" anchorCtr="1">
                  <a:no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3599161946861904"/>
                      <c:h val="0.14583658351117326"/>
                    </c:manualLayout>
                  </c15:layout>
                </c:ext>
                <c:ext xmlns:c16="http://schemas.microsoft.com/office/drawing/2014/chart" uri="{C3380CC4-5D6E-409C-BE32-E72D297353CC}">
                  <c16:uniqueId val="{00000007-7FB0-43C0-96AA-03BCB1B13F99}"/>
                </c:ext>
              </c:extLst>
            </c:dLbl>
            <c:dLbl>
              <c:idx val="4"/>
              <c:layout>
                <c:manualLayout>
                  <c:x val="1.1975645256430863E-2"/>
                  <c:y val="0.16435926948070562"/>
                </c:manualLayout>
              </c:layout>
              <c:numFmt formatCode="0.00%" sourceLinked="0"/>
              <c:spPr>
                <a:noFill/>
                <a:ln>
                  <a:noFill/>
                </a:ln>
                <a:effectLst/>
              </c:spPr>
              <c:txPr>
                <a:bodyPr rot="0" spcFirstLastPara="1" vertOverflow="overflow" horzOverflow="overflow" vert="horz" wrap="square" lIns="0" tIns="0" rIns="0" bIns="0" anchor="ctr" anchorCtr="1">
                  <a:no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7628064035855165"/>
                      <c:h val="0.21077440086344348"/>
                    </c:manualLayout>
                  </c15:layout>
                </c:ext>
                <c:ext xmlns:c16="http://schemas.microsoft.com/office/drawing/2014/chart" uri="{C3380CC4-5D6E-409C-BE32-E72D297353CC}">
                  <c16:uniqueId val="{00000009-7FB0-43C0-96AA-03BCB1B13F99}"/>
                </c:ext>
              </c:extLst>
            </c:dLbl>
            <c:dLbl>
              <c:idx val="5"/>
              <c:delete val="1"/>
              <c:extLst>
                <c:ext xmlns:c15="http://schemas.microsoft.com/office/drawing/2012/chart" uri="{CE6537A1-D6FC-4f65-9D91-7224C49458BB}"/>
                <c:ext xmlns:c16="http://schemas.microsoft.com/office/drawing/2014/chart" uri="{C3380CC4-5D6E-409C-BE32-E72D297353CC}">
                  <c16:uniqueId val="{0000000B-7FB0-43C0-96AA-03BCB1B13F99}"/>
                </c:ext>
              </c:extLst>
            </c:dLbl>
            <c:dLbl>
              <c:idx val="6"/>
              <c:numFmt formatCode="0.00%" sourceLinked="0"/>
              <c:spPr>
                <a:noFill/>
                <a:ln>
                  <a:noFill/>
                </a:ln>
                <a:effectLst/>
              </c:spPr>
              <c:txPr>
                <a:bodyPr rot="0" spcFirstLastPara="1" vertOverflow="overflow" horzOverflow="overflow" vert="horz" wrap="square" lIns="0" tIns="0" rIns="0" bIns="0" anchor="ctr" anchorCtr="1">
                  <a:no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6="http://schemas.microsoft.com/office/drawing/2014/chart" uri="{C3380CC4-5D6E-409C-BE32-E72D297353CC}">
                  <c16:uniqueId val="{0000000C-7FB0-43C0-96AA-03BCB1B13F99}"/>
                </c:ext>
              </c:extLst>
            </c:dLbl>
            <c:numFmt formatCode="0.00%" sourceLinked="0"/>
            <c:spPr>
              <a:noFill/>
              <a:ln>
                <a:noFill/>
              </a:ln>
              <a:effectLst/>
            </c:spPr>
            <c:txPr>
              <a:bodyPr rot="0" spcFirstLastPara="1" vertOverflow="overflow" horzOverflow="overflow" vert="horz" wrap="square" lIns="0" tIns="0" rIns="0" bIns="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'Fig.3 Comp of Assets Seperating'!$A$3:$A$8</c:f>
              <c:strCache>
                <c:ptCount val="6"/>
                <c:pt idx="0">
                  <c:v>Cash </c:v>
                </c:pt>
                <c:pt idx="1">
                  <c:v>Investments</c:v>
                </c:pt>
                <c:pt idx="2">
                  <c:v>Receivables</c:v>
                </c:pt>
                <c:pt idx="3">
                  <c:v>Intangible Assets</c:v>
                </c:pt>
                <c:pt idx="4">
                  <c:v>Property, Plant and Equipment</c:v>
                </c:pt>
                <c:pt idx="5">
                  <c:v>Prepayments</c:v>
                </c:pt>
              </c:strCache>
            </c:strRef>
          </c:cat>
          <c:val>
            <c:numRef>
              <c:f>'Fig.3 Comp of Assets Seperating'!$B$3:$B$8</c:f>
              <c:numCache>
                <c:formatCode>_-"$"* #,##0_-;\-"$"* #,##0_-;_-"$"* "-"??_-;_-@_-</c:formatCode>
                <c:ptCount val="6"/>
                <c:pt idx="0">
                  <c:v>8501</c:v>
                </c:pt>
                <c:pt idx="1">
                  <c:v>380271</c:v>
                </c:pt>
                <c:pt idx="2">
                  <c:v>19075</c:v>
                </c:pt>
                <c:pt idx="3">
                  <c:v>28</c:v>
                </c:pt>
                <c:pt idx="4">
                  <c:v>1493</c:v>
                </c:pt>
                <c:pt idx="5">
                  <c:v>13</c:v>
                </c:pt>
              </c:numCache>
            </c:numRef>
          </c:val>
          <c:extLst>
            <c:ext xmlns:c16="http://schemas.microsoft.com/office/drawing/2014/chart" uri="{C3380CC4-5D6E-409C-BE32-E72D297353CC}">
              <c16:uniqueId val="{0000000D-7FB0-43C0-96AA-03BCB1B13F99}"/>
            </c:ext>
          </c:extLst>
        </c:ser>
        <c:dLbls>
          <c:showLegendKey val="0"/>
          <c:showVal val="0"/>
          <c:showCatName val="0"/>
          <c:showSerName val="0"/>
          <c:showPercent val="0"/>
          <c:showBubbleSize val="0"/>
          <c:showLeaderLines val="1"/>
        </c:dLbls>
      </c:pie3DChart>
      <c:spPr>
        <a:noFill/>
        <a:ln w="25400">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0"/>
      <c:rotY val="83"/>
      <c:rAngAx val="0"/>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4912546044745226E-2"/>
          <c:y val="0.11574366771145898"/>
          <c:w val="0.80013058012693206"/>
          <c:h val="0.75603779663935167"/>
        </c:manualLayout>
      </c:layout>
      <c:pie3DChart>
        <c:varyColors val="1"/>
        <c:ser>
          <c:idx val="0"/>
          <c:order val="0"/>
          <c:spPr>
            <a:solidFill>
              <a:schemeClr val="accent4"/>
            </a:solidFill>
          </c:spPr>
          <c:explosion val="13"/>
          <c:dPt>
            <c:idx val="0"/>
            <c:bubble3D val="0"/>
            <c:explosion val="0"/>
            <c:spPr>
              <a:solidFill>
                <a:schemeClr val="accent2"/>
              </a:solidFill>
              <a:ln>
                <a:noFill/>
              </a:ln>
              <a:effectLst/>
              <a:sp3d/>
            </c:spPr>
            <c:extLst>
              <c:ext xmlns:c16="http://schemas.microsoft.com/office/drawing/2014/chart" uri="{C3380CC4-5D6E-409C-BE32-E72D297353CC}">
                <c16:uniqueId val="{00000001-0B98-439A-ABE9-56E1F348D1F5}"/>
              </c:ext>
            </c:extLst>
          </c:dPt>
          <c:dPt>
            <c:idx val="1"/>
            <c:bubble3D val="0"/>
            <c:explosion val="0"/>
            <c:spPr>
              <a:solidFill>
                <a:schemeClr val="accent5"/>
              </a:solidFill>
              <a:ln>
                <a:noFill/>
              </a:ln>
              <a:effectLst/>
              <a:sp3d/>
            </c:spPr>
            <c:extLst>
              <c:ext xmlns:c16="http://schemas.microsoft.com/office/drawing/2014/chart" uri="{C3380CC4-5D6E-409C-BE32-E72D297353CC}">
                <c16:uniqueId val="{00000003-0B98-439A-ABE9-56E1F348D1F5}"/>
              </c:ext>
            </c:extLst>
          </c:dPt>
          <c:dPt>
            <c:idx val="2"/>
            <c:bubble3D val="0"/>
            <c:explosion val="0"/>
            <c:spPr>
              <a:solidFill>
                <a:schemeClr val="accent4"/>
              </a:solidFill>
              <a:ln>
                <a:noFill/>
              </a:ln>
              <a:effectLst/>
              <a:sp3d/>
            </c:spPr>
            <c:extLst>
              <c:ext xmlns:c16="http://schemas.microsoft.com/office/drawing/2014/chart" uri="{C3380CC4-5D6E-409C-BE32-E72D297353CC}">
                <c16:uniqueId val="{00000005-0B98-439A-ABE9-56E1F348D1F5}"/>
              </c:ext>
            </c:extLst>
          </c:dPt>
          <c:dPt>
            <c:idx val="3"/>
            <c:bubble3D val="0"/>
            <c:explosion val="0"/>
            <c:spPr>
              <a:solidFill>
                <a:schemeClr val="accent1"/>
              </a:solidFill>
              <a:ln>
                <a:noFill/>
              </a:ln>
              <a:effectLst/>
              <a:sp3d/>
            </c:spPr>
            <c:extLst>
              <c:ext xmlns:c16="http://schemas.microsoft.com/office/drawing/2014/chart" uri="{C3380CC4-5D6E-409C-BE32-E72D297353CC}">
                <c16:uniqueId val="{00000007-0B98-439A-ABE9-56E1F348D1F5}"/>
              </c:ext>
            </c:extLst>
          </c:dPt>
          <c:dPt>
            <c:idx val="4"/>
            <c:bubble3D val="0"/>
            <c:spPr>
              <a:solidFill>
                <a:schemeClr val="accent4"/>
              </a:solidFill>
              <a:ln>
                <a:noFill/>
              </a:ln>
              <a:effectLst/>
              <a:sp3d/>
            </c:spPr>
            <c:extLst>
              <c:ext xmlns:c16="http://schemas.microsoft.com/office/drawing/2014/chart" uri="{C3380CC4-5D6E-409C-BE32-E72D297353CC}">
                <c16:uniqueId val="{00000009-0B98-439A-ABE9-56E1F348D1F5}"/>
              </c:ext>
            </c:extLst>
          </c:dPt>
          <c:dPt>
            <c:idx val="5"/>
            <c:bubble3D val="0"/>
            <c:spPr>
              <a:solidFill>
                <a:schemeClr val="accent4"/>
              </a:solidFill>
              <a:ln>
                <a:noFill/>
              </a:ln>
              <a:effectLst/>
              <a:sp3d/>
            </c:spPr>
            <c:extLst>
              <c:ext xmlns:c16="http://schemas.microsoft.com/office/drawing/2014/chart" uri="{C3380CC4-5D6E-409C-BE32-E72D297353CC}">
                <c16:uniqueId val="{0000000B-0B98-439A-ABE9-56E1F348D1F5}"/>
              </c:ext>
            </c:extLst>
          </c:dPt>
          <c:dLbls>
            <c:dLbl>
              <c:idx val="0"/>
              <c:layout>
                <c:manualLayout>
                  <c:x val="8.2171231663526717E-2"/>
                  <c:y val="-0.17278349705423265"/>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B98-439A-ABE9-56E1F348D1F5}"/>
                </c:ext>
              </c:extLst>
            </c:dLbl>
            <c:dLbl>
              <c:idx val="1"/>
              <c:layout>
                <c:manualLayout>
                  <c:x val="8.4731368233149529E-2"/>
                  <c:y val="-3.3044641460119803E-2"/>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B98-439A-ABE9-56E1F348D1F5}"/>
                </c:ext>
              </c:extLst>
            </c:dLbl>
            <c:dLbl>
              <c:idx val="2"/>
              <c:layout>
                <c:manualLayout>
                  <c:x val="6.5327705794700736E-2"/>
                  <c:y val="0.1329965996064093"/>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B98-439A-ABE9-56E1F348D1F5}"/>
                </c:ext>
              </c:extLst>
            </c:dLbl>
            <c:dLbl>
              <c:idx val="3"/>
              <c:layout>
                <c:manualLayout>
                  <c:x val="-2.5255945767515258E-2"/>
                  <c:y val="-8.027024005366469E-2"/>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B98-439A-ABE9-56E1F348D1F5}"/>
                </c:ext>
              </c:extLst>
            </c:dLbl>
            <c:dLbl>
              <c:idx val="4"/>
              <c:layout>
                <c:manualLayout>
                  <c:x val="-6.3492063492063489E-2"/>
                  <c:y val="8.3333333333333329E-2"/>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B98-439A-ABE9-56E1F348D1F5}"/>
                </c:ext>
              </c:extLst>
            </c:dLbl>
            <c:dLbl>
              <c:idx val="5"/>
              <c:layout>
                <c:manualLayout>
                  <c:x val="-4.1229154048051685E-2"/>
                  <c:y val="-8.3333333333333329E-2"/>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0B98-439A-ABE9-56E1F348D1F5}"/>
                </c:ext>
              </c:extLst>
            </c:dLbl>
            <c:dLbl>
              <c:idx val="6"/>
              <c:layout>
                <c:manualLayout>
                  <c:x val="-0.12499999999999999"/>
                  <c:y val="0"/>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C-0B98-439A-ABE9-56E1F348D1F5}"/>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'Fig.4 Comp of Liabilities'!$A$3:$A$6</c:f>
              <c:strCache>
                <c:ptCount val="4"/>
                <c:pt idx="0">
                  <c:v>Payables</c:v>
                </c:pt>
                <c:pt idx="1">
                  <c:v>Lease Liabilities</c:v>
                </c:pt>
                <c:pt idx="2">
                  <c:v>Employee Benefits</c:v>
                </c:pt>
                <c:pt idx="3">
                  <c:v>Provision for Long Service Leave Benefits</c:v>
                </c:pt>
              </c:strCache>
            </c:strRef>
          </c:cat>
          <c:val>
            <c:numRef>
              <c:f>'Fig.4 Comp of Liabilities'!$B$3:$B$6</c:f>
              <c:numCache>
                <c:formatCode>_-"$"* #,##0_-;\-"$"* #,##0_-;_-"$"* "-"??_-;_-@_-</c:formatCode>
                <c:ptCount val="4"/>
                <c:pt idx="0">
                  <c:v>3460.49</c:v>
                </c:pt>
                <c:pt idx="1">
                  <c:v>1346.56</c:v>
                </c:pt>
                <c:pt idx="2">
                  <c:v>1455.54</c:v>
                </c:pt>
                <c:pt idx="3">
                  <c:v>305342</c:v>
                </c:pt>
              </c:numCache>
            </c:numRef>
          </c:val>
          <c:extLst>
            <c:ext xmlns:c16="http://schemas.microsoft.com/office/drawing/2014/chart" uri="{C3380CC4-5D6E-409C-BE32-E72D297353CC}">
              <c16:uniqueId val="{0000000D-0B98-439A-ABE9-56E1F348D1F5}"/>
            </c:ext>
          </c:extLst>
        </c:ser>
        <c:dLbls>
          <c:showLegendKey val="0"/>
          <c:showVal val="0"/>
          <c:showCatName val="0"/>
          <c:showSerName val="0"/>
          <c:showPercent val="0"/>
          <c:showBubbleSize val="0"/>
          <c:showLeaderLines val="1"/>
        </c:dLbls>
      </c:pie3DChart>
      <c:spPr>
        <a:noFill/>
        <a:ln w="25400">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8">
  <a:schemeClr val="accent5"/>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101">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8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2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105">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101">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8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2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101">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8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2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ACT leave">
  <a:themeElements>
    <a:clrScheme name="ACT LEAVE">
      <a:dk1>
        <a:srgbClr val="000000"/>
      </a:dk1>
      <a:lt1>
        <a:srgbClr val="FFFFFF"/>
      </a:lt1>
      <a:dk2>
        <a:srgbClr val="081DA4"/>
      </a:dk2>
      <a:lt2>
        <a:srgbClr val="E7E6E6"/>
      </a:lt2>
      <a:accent1>
        <a:srgbClr val="081DA4"/>
      </a:accent1>
      <a:accent2>
        <a:srgbClr val="58C17F"/>
      </a:accent2>
      <a:accent3>
        <a:srgbClr val="ECD0CC"/>
      </a:accent3>
      <a:accent4>
        <a:srgbClr val="CEE1FB"/>
      </a:accent4>
      <a:accent5>
        <a:srgbClr val="FBEC92"/>
      </a:accent5>
      <a:accent6>
        <a:srgbClr val="FFFFFF"/>
      </a:accent6>
      <a:hlink>
        <a:srgbClr val="0563C1"/>
      </a:hlink>
      <a:folHlink>
        <a:srgbClr val="919191"/>
      </a:folHlink>
    </a:clrScheme>
    <a:fontScheme name="ACT Leave - Arial">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CT leave" id="{406BFB7B-C6DE-1E46-AE0A-6F1D1399502A}" vid="{CC26B9E9-41E4-904E-9D8B-94272BE9E5A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{3A7A7CA0-1FA1-4C1B-B0E2-88FF7AF236CA}</b:Guid>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62f35029-7248-4ebe-882d-0b38ebcda775" xsi:nil="true"/>
    <lcf76f155ced4ddcb4097134ff3c332f xmlns="a0fc0745-6a38-4db4-ac08-e8ee7f0af6e6">
      <Terms xmlns="http://schemas.microsoft.com/office/infopath/2007/PartnerControls"/>
    </lcf76f155ced4ddcb4097134ff3c332f>
    <Comments xmlns="a0fc0745-6a38-4db4-ac08-e8ee7f0af6e6" xsi:nil="true"/>
    <kwizcomcontrollerfield xmlns="a0fc0745-6a38-4db4-ac08-e8ee7f0af6e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380990E2EF0149A2CE8B03A0657BAD" ma:contentTypeVersion="14" ma:contentTypeDescription="Create a new document." ma:contentTypeScope="" ma:versionID="6c31b1880b3ff977c3ecfcab580c7567">
  <xsd:schema xmlns:xsd="http://www.w3.org/2001/XMLSchema" xmlns:xs="http://www.w3.org/2001/XMLSchema" xmlns:p="http://schemas.microsoft.com/office/2006/metadata/properties" xmlns:ns2="a0fc0745-6a38-4db4-ac08-e8ee7f0af6e6" xmlns:ns3="62f35029-7248-4ebe-882d-0b38ebcda775" targetNamespace="http://schemas.microsoft.com/office/2006/metadata/properties" ma:root="true" ma:fieldsID="5aeda3acf5b81fb7e07c39814f2c1483" ns2:_="" ns3:_="">
    <xsd:import namespace="a0fc0745-6a38-4db4-ac08-e8ee7f0af6e6"/>
    <xsd:import namespace="62f35029-7248-4ebe-882d-0b38ebcda7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Comments" minOccurs="0"/>
                <xsd:element ref="ns2:kwizcomcontroller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fc0745-6a38-4db4-ac08-e8ee7f0af6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Comments" ma:index="20" nillable="true" ma:displayName="Comments" ma:internalName="Comments">
      <xsd:simpleType>
        <xsd:restriction base="dms:Text">
          <xsd:maxLength value="255"/>
        </xsd:restriction>
      </xsd:simpleType>
    </xsd:element>
    <xsd:element name="kwizcomcontrollerfield" ma:index="21" nillable="true" ma:displayName="kwizcomcontrollerfield" ma:internalName="kwizcomcontrollerfiel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f35029-7248-4ebe-882d-0b38ebcda7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5dcd17-c8b2-4750-8f21-5c6ef1488193}" ma:internalName="TaxCatchAll" ma:showField="CatchAllData" ma:web="62f35029-7248-4ebe-882d-0b38ebcda7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2AB2F2-5F2A-4E85-9AE5-CAFC7C5F418F}">
  <ds:schemaRefs>
    <ds:schemaRef ds:uri="http://schemas.microsoft.com/sharepoint/v3/contenttype/forms"/>
  </ds:schemaRefs>
</ds:datastoreItem>
</file>

<file path=customXml/itemProps2.xml><?xml version="1.0" encoding="utf-8"?>
<ds:datastoreItem xmlns:ds="http://schemas.openxmlformats.org/officeDocument/2006/customXml" ds:itemID="{307A17EA-80D3-4521-B3B9-7F820A5B2E8F}">
  <ds:schemaRefs>
    <ds:schemaRef ds:uri="http://schemas.openxmlformats.org/officeDocument/2006/bibliography"/>
  </ds:schemaRefs>
</ds:datastoreItem>
</file>

<file path=customXml/itemProps3.xml><?xml version="1.0" encoding="utf-8"?>
<ds:datastoreItem xmlns:ds="http://schemas.openxmlformats.org/officeDocument/2006/customXml" ds:itemID="{0E37BD65-EC4D-4D23-B78D-64CD884937B0}">
  <ds:schemaRefs>
    <ds:schemaRef ds:uri="http://schemas.microsoft.com/office/2006/metadata/properties"/>
    <ds:schemaRef ds:uri="http://schemas.microsoft.com/office/infopath/2007/PartnerControls"/>
    <ds:schemaRef ds:uri="62f35029-7248-4ebe-882d-0b38ebcda775"/>
    <ds:schemaRef ds:uri="a0fc0745-6a38-4db4-ac08-e8ee7f0af6e6"/>
  </ds:schemaRefs>
</ds:datastoreItem>
</file>

<file path=customXml/itemProps4.xml><?xml version="1.0" encoding="utf-8"?>
<ds:datastoreItem xmlns:ds="http://schemas.openxmlformats.org/officeDocument/2006/customXml" ds:itemID="{A7C69B79-295D-41D0-BD97-A750B9CDE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fc0745-6a38-4db4-ac08-e8ee7f0af6e6"/>
    <ds:schemaRef ds:uri="62f35029-7248-4ebe-882d-0b38ebcda7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129</Pages>
  <Words>34097</Words>
  <Characters>194359</Characters>
  <Application>Microsoft Office Word</Application>
  <DocSecurity>0</DocSecurity>
  <Lines>1619</Lines>
  <Paragraphs>455</Paragraphs>
  <ScaleCrop>false</ScaleCrop>
  <Company/>
  <LinksUpToDate>false</LinksUpToDate>
  <CharactersWithSpaces>228001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McFarlane</dc:creator>
  <cp:keywords/>
  <dc:description/>
  <cp:lastModifiedBy>McFarlane, Kristie</cp:lastModifiedBy>
  <cp:revision>2535</cp:revision>
  <cp:lastPrinted>2019-03-23T18:22:00Z</cp:lastPrinted>
  <dcterms:created xsi:type="dcterms:W3CDTF">2026-06-15T12:08:00Z</dcterms:created>
  <dcterms:modified xsi:type="dcterms:W3CDTF">2026-10-12T05:36:00Z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9892a8-cfeb-40c1-b778-e755dedf718f_Enabled">
    <vt:lpwstr>true</vt:lpwstr>
  </property>
  <property fmtid="{D5CDD505-2E9C-101B-9397-08002B2CF9AE}" pid="3" name="MSIP_Label_f49892a8-cfeb-40c1-b778-e755dedf718f_SetDate">
    <vt:lpwstr>2024-07-05T05:30:09Z</vt:lpwstr>
  </property>
  <property fmtid="{D5CDD505-2E9C-101B-9397-08002B2CF9AE}" pid="4" name="MSIP_Label_f49892a8-cfeb-40c1-b778-e755dedf718f_Method">
    <vt:lpwstr>Privileged</vt:lpwstr>
  </property>
  <property fmtid="{D5CDD505-2E9C-101B-9397-08002B2CF9AE}" pid="5" name="MSIP_Label_f49892a8-cfeb-40c1-b778-e755dedf718f_Name">
    <vt:lpwstr>Official - No headers</vt:lpwstr>
  </property>
  <property fmtid="{D5CDD505-2E9C-101B-9397-08002B2CF9AE}" pid="6" name="MSIP_Label_f49892a8-cfeb-40c1-b778-e755dedf718f_SiteId">
    <vt:lpwstr>5f1ebeb3-aacc-4c4c-94b1-c4a9e9306228</vt:lpwstr>
  </property>
  <property fmtid="{D5CDD505-2E9C-101B-9397-08002B2CF9AE}" pid="7" name="MSIP_Label_f49892a8-cfeb-40c1-b778-e755dedf718f_ActionId">
    <vt:lpwstr>30ee4618-f9ff-4cca-b767-4f0edc8b6c7f</vt:lpwstr>
  </property>
  <property fmtid="{D5CDD505-2E9C-101B-9397-08002B2CF9AE}" pid="8" name="MSIP_Label_f49892a8-cfeb-40c1-b778-e755dedf718f_ContentBits">
    <vt:lpwstr>0</vt:lpwstr>
  </property>
  <property fmtid="{D5CDD505-2E9C-101B-9397-08002B2CF9AE}" pid="9" name="ContentTypeId">
    <vt:lpwstr>0x01010088380990E2EF0149A2CE8B03A0657BAD</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MigrationWizIdVersion">
    <vt:lpwstr>eb189f31-6c6d-4ccd-bd05-2daee90e9823-638948770280000000</vt:lpwstr>
  </property>
  <property fmtid="{D5CDD505-2E9C-101B-9397-08002B2CF9AE}" pid="16" name="TriggerFlowInfo">
    <vt:lpwstr/>
  </property>
  <property fmtid="{D5CDD505-2E9C-101B-9397-08002B2CF9AE}" pid="17" name="xd_Signature">
    <vt:bool>false</vt:bool>
  </property>
  <property fmtid="{D5CDD505-2E9C-101B-9397-08002B2CF9AE}" pid="18" name="MigrationWizId">
    <vt:lpwstr>eb189f31-6c6d-4ccd-bd05-2daee90e9823</vt:lpwstr>
  </property>
  <property fmtid="{D5CDD505-2E9C-101B-9397-08002B2CF9AE}" pid="19" name="MSIP_Label_69af8531-eb46-4968-8cb3-105d2f5ea87e_Enabled">
    <vt:lpwstr>true</vt:lpwstr>
  </property>
  <property fmtid="{D5CDD505-2E9C-101B-9397-08002B2CF9AE}" pid="20" name="MSIP_Label_69af8531-eb46-4968-8cb3-105d2f5ea87e_SetDate">
    <vt:lpwstr>2026-06-16T05:08:30Z</vt:lpwstr>
  </property>
  <property fmtid="{D5CDD505-2E9C-101B-9397-08002B2CF9AE}" pid="21" name="MSIP_Label_69af8531-eb46-4968-8cb3-105d2f5ea87e_Method">
    <vt:lpwstr>Standard</vt:lpwstr>
  </property>
  <property fmtid="{D5CDD505-2E9C-101B-9397-08002B2CF9AE}" pid="22" name="MSIP_Label_69af8531-eb46-4968-8cb3-105d2f5ea87e_Name">
    <vt:lpwstr>Official - No Marking</vt:lpwstr>
  </property>
  <property fmtid="{D5CDD505-2E9C-101B-9397-08002B2CF9AE}" pid="23" name="MSIP_Label_69af8531-eb46-4968-8cb3-105d2f5ea87e_SiteId">
    <vt:lpwstr>b46c1908-0334-4236-b978-585ee88e4199</vt:lpwstr>
  </property>
  <property fmtid="{D5CDD505-2E9C-101B-9397-08002B2CF9AE}" pid="24" name="MSIP_Label_69af8531-eb46-4968-8cb3-105d2f5ea87e_ActionId">
    <vt:lpwstr>c170aa8a-0ae3-427c-8687-e308a604b712</vt:lpwstr>
  </property>
  <property fmtid="{D5CDD505-2E9C-101B-9397-08002B2CF9AE}" pid="25" name="MSIP_Label_69af8531-eb46-4968-8cb3-105d2f5ea87e_ContentBits">
    <vt:lpwstr>0</vt:lpwstr>
  </property>
  <property fmtid="{D5CDD505-2E9C-101B-9397-08002B2CF9AE}" pid="26" name="MSIP_Label_69af8531-eb46-4968-8cb3-105d2f5ea87e_Tag">
    <vt:lpwstr>10, 3, 0, 2</vt:lpwstr>
  </property>
</Properties>
</file>